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24" w:rsidRDefault="00504524" w:rsidP="00504524">
      <w:pPr>
        <w:outlineLvl w:val="0"/>
        <w:rPr>
          <w:lang w:val="en-US"/>
        </w:rPr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</w:t>
      </w:r>
      <w:hyperlink r:id="rId5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 &lt;</w:t>
      </w:r>
      <w:hyperlink r:id="rId6" w:history="1">
        <w:r>
          <w:rPr>
            <w:rStyle w:val="Hyperlink"/>
            <w:lang w:val="en-US"/>
          </w:rPr>
          <w:t>publicaccess@cherwell-dc.gov.uk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26 June 2019 14:12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Public Access DC Comments &lt;</w:t>
      </w:r>
      <w:hyperlink r:id="rId7" w:history="1">
        <w:r>
          <w:rPr>
            <w:rStyle w:val="Hyperlink"/>
            <w:lang w:val="en-US"/>
          </w:rPr>
          <w:t>PublicAccessDC.Comments@Cherwell-DC.gov.uk</w:t>
        </w:r>
      </w:hyperlink>
      <w:r>
        <w:rPr>
          <w:lang w:val="en-US"/>
        </w:rPr>
        <w:t>&gt;</w:t>
      </w:r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Comments for Planning Application </w:t>
      </w:r>
      <w:bookmarkStart w:id="0" w:name="_GoBack"/>
      <w:r>
        <w:rPr>
          <w:lang w:val="en-US"/>
        </w:rPr>
        <w:t>19/01047/OUT</w:t>
      </w:r>
      <w:bookmarkEnd w:id="0"/>
    </w:p>
    <w:p w:rsidR="00504524" w:rsidRDefault="00504524" w:rsidP="00504524"/>
    <w:p w:rsidR="00504524" w:rsidRDefault="00504524" w:rsidP="00504524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504524" w:rsidRDefault="00504524" w:rsidP="00504524">
      <w:pPr>
        <w:pStyle w:val="NormalWeb"/>
      </w:pPr>
      <w:r>
        <w:rPr>
          <w:rFonts w:ascii="Verdana" w:hAnsi="Verdana"/>
          <w:sz w:val="20"/>
          <w:szCs w:val="20"/>
        </w:rPr>
        <w:t>Comments were submitted at 2:12 PM on 26 Jun 2019 from Mrs Georgina Wilkinson.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5971"/>
      </w:tblGrid>
      <w:tr w:rsidR="00504524" w:rsidTr="00504524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4"/>
                <w:szCs w:val="24"/>
              </w:rPr>
              <w:t>Application Summary</w:t>
            </w:r>
          </w:p>
        </w:tc>
      </w:tr>
      <w:tr w:rsidR="00504524" w:rsidTr="00504524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sz w:val="20"/>
                <w:szCs w:val="20"/>
              </w:rPr>
              <w:t xml:space="preserve">Land North East Of Oxford Road West Of Oxford Canal And East Of Bankside Banbury </w:t>
            </w:r>
          </w:p>
        </w:tc>
      </w:tr>
      <w:tr w:rsidR="00504524" w:rsidTr="00504524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sz w:val="20"/>
                <w:szCs w:val="20"/>
              </w:rPr>
              <w:t xml:space="preserve">Outline planning application for a residential development of up to 850 dwellings; green infrastructure including formal (playing fields with changing rooms, allotments) and informal open space, landscaping; and associated infrastructure including a balancing pond; on land off the A4260, with access off the existing Longford Park access off the A4260 (Oxford Road), and a new access off the A4260 (Banbury Road). All matters of detail reserved, save for access. </w:t>
            </w:r>
          </w:p>
        </w:tc>
      </w:tr>
      <w:tr w:rsidR="00504524" w:rsidTr="00504524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sz w:val="20"/>
                <w:szCs w:val="20"/>
              </w:rPr>
              <w:t xml:space="preserve">Samantha Taylor </w:t>
            </w:r>
          </w:p>
        </w:tc>
      </w:tr>
      <w:tr w:rsidR="00504524" w:rsidTr="00504524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hyperlink r:id="rId8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504524" w:rsidRDefault="00504524" w:rsidP="00504524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504524" w:rsidTr="00504524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4"/>
                <w:szCs w:val="24"/>
              </w:rPr>
              <w:t>Customer Details</w:t>
            </w:r>
          </w:p>
        </w:tc>
      </w:tr>
      <w:tr w:rsidR="00504524" w:rsidTr="00504524">
        <w:trPr>
          <w:tblCellSpacing w:w="7" w:type="dxa"/>
        </w:trPr>
        <w:tc>
          <w:tcPr>
            <w:tcW w:w="1500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sz w:val="20"/>
                <w:szCs w:val="20"/>
              </w:rPr>
              <w:t>Mrs Georgina Wilkinson</w:t>
            </w:r>
          </w:p>
        </w:tc>
      </w:tr>
      <w:tr w:rsidR="00504524" w:rsidTr="00504524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/>
        </w:tc>
      </w:tr>
      <w:tr w:rsidR="00504524" w:rsidTr="00504524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sz w:val="20"/>
                <w:szCs w:val="20"/>
              </w:rPr>
              <w:t>48 Swift Drive, Banbury OX15 4GQ</w:t>
            </w:r>
          </w:p>
        </w:tc>
      </w:tr>
    </w:tbl>
    <w:p w:rsidR="00504524" w:rsidRDefault="00504524" w:rsidP="00504524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5925"/>
      </w:tblGrid>
      <w:tr w:rsidR="00504524" w:rsidTr="00504524">
        <w:trPr>
          <w:tblCellSpacing w:w="7" w:type="dxa"/>
        </w:trPr>
        <w:tc>
          <w:tcPr>
            <w:tcW w:w="0" w:type="auto"/>
            <w:gridSpan w:val="2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4"/>
                <w:szCs w:val="24"/>
              </w:rPr>
              <w:t>Comments Details</w:t>
            </w:r>
          </w:p>
        </w:tc>
      </w:tr>
      <w:tr w:rsidR="00504524" w:rsidTr="00504524">
        <w:trPr>
          <w:tblCellSpacing w:w="7" w:type="dxa"/>
        </w:trPr>
        <w:tc>
          <w:tcPr>
            <w:tcW w:w="20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504524" w:rsidTr="00504524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504524" w:rsidTr="00504524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4524" w:rsidTr="00504524">
        <w:trPr>
          <w:tblCellSpacing w:w="7" w:type="dxa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04524" w:rsidRDefault="00504524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504524" w:rsidRDefault="00504524">
            <w:r>
              <w:rPr>
                <w:rFonts w:ascii="Verdana" w:hAnsi="Verdana"/>
                <w:sz w:val="20"/>
                <w:szCs w:val="20"/>
              </w:rPr>
              <w:t>I object to this new development having direct roads into the existing Longford Park estate. If access from this new development to Longford Park was allowed there would be a significant increase in traffic, through what is already a busy new development at points that the new development residents would drive along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Songthrush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Road and Longford Park Road). Car already use the estate as a cut through to avoid traffic on Oxford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this would just increase significantly with proposed new development. The infrastructure on Longford Park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can not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could with the traffic as it is now without having to support such a large influx of residents. There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are a lack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of facilities on Longford Park already without adding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to the need for facilities. We would be unduly disturbed with continued construction and increased traffic, which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effects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our right to enjoy our homes. The construction of 850 homes, amounts to approximately a further 1700 cars using the local infrastructure, which just won't be able to cope. The proposed access to the new development off the Oxford Road is also in a potential dangerous spot, being on a bend and a slight brow of a hill, not to mention the housing developments on the opposite site of the road, by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Cotefield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Garden Centre being built and adding to the increased traffic in the area.</w:t>
            </w:r>
          </w:p>
        </w:tc>
      </w:tr>
    </w:tbl>
    <w:p w:rsidR="00504524" w:rsidRDefault="00504524" w:rsidP="00504524">
      <w:pPr>
        <w:spacing w:after="240"/>
      </w:pPr>
    </w:p>
    <w:p w:rsidR="000C1BBC" w:rsidRDefault="000C1BBC"/>
    <w:sectPr w:rsidR="000C1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24"/>
    <w:rsid w:val="000C1BBC"/>
    <w:rsid w:val="0050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2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5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45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2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5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452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access.cherwell.gov.uk/online-applications/centralDistribution.do?caseType=Application&amp;keyVal=PSMVWGEMHKF0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AccessDC.Comments@Cherwell-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blicaccess@cherwell-dc.gov.uk" TargetMode="External"/><Relationship Id="rId5" Type="http://schemas.openxmlformats.org/officeDocument/2006/relationships/hyperlink" Target="mailto:publicaccess@cherwell-d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2493</Characters>
  <Application>Microsoft Office Word</Application>
  <DocSecurity>0</DocSecurity>
  <Lines>20</Lines>
  <Paragraphs>5</Paragraphs>
  <ScaleCrop>false</ScaleCrop>
  <Company>Cherwell District Council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2019-07-02T10:30:00Z</dcterms:created>
  <dcterms:modified xsi:type="dcterms:W3CDTF">2019-07-02T10:30:00Z</dcterms:modified>
</cp:coreProperties>
</file>