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72" w:rsidRDefault="00B21AF0" w:rsidP="00A93C3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North Arms </w:t>
      </w:r>
      <w:r w:rsidR="00CB7472" w:rsidRPr="00425572">
        <w:rPr>
          <w:b/>
          <w:sz w:val="24"/>
          <w:szCs w:val="24"/>
          <w:u w:val="single"/>
        </w:rPr>
        <w:t>Heritage Report</w:t>
      </w:r>
    </w:p>
    <w:p w:rsidR="00A93C33" w:rsidRPr="00A93C33" w:rsidRDefault="00A93C33" w:rsidP="00A93C33">
      <w:pPr>
        <w:jc w:val="center"/>
        <w:rPr>
          <w:b/>
          <w:sz w:val="24"/>
          <w:szCs w:val="24"/>
          <w:u w:val="single"/>
        </w:rPr>
      </w:pPr>
    </w:p>
    <w:p w:rsidR="00285DA2" w:rsidRDefault="001102DF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North Arms public house was named in honour of the Lords North that lived in nearby Wroxton Abbey. The North Arms, </w:t>
      </w:r>
      <w:r w:rsidR="00E26A68" w:rsidRPr="00744660">
        <w:rPr>
          <w:rFonts w:cstheme="minorHAnsi"/>
          <w:sz w:val="24"/>
          <w:szCs w:val="24"/>
        </w:rPr>
        <w:t>a grade two listed building</w:t>
      </w:r>
      <w:r w:rsidR="00F54DE8">
        <w:rPr>
          <w:rFonts w:cstheme="minorHAnsi"/>
          <w:sz w:val="24"/>
          <w:szCs w:val="24"/>
        </w:rPr>
        <w:t xml:space="preserve"> since 1955</w:t>
      </w:r>
      <w:r w:rsidR="00E26A68" w:rsidRPr="00744660">
        <w:rPr>
          <w:rFonts w:cstheme="minorHAnsi"/>
          <w:sz w:val="24"/>
          <w:szCs w:val="24"/>
        </w:rPr>
        <w:t>,</w:t>
      </w:r>
      <w:r w:rsidR="00850950">
        <w:rPr>
          <w:rStyle w:val="FootnoteReference"/>
          <w:rFonts w:cstheme="minorHAnsi"/>
          <w:sz w:val="24"/>
          <w:szCs w:val="24"/>
        </w:rPr>
        <w:footnoteReference w:id="1"/>
      </w:r>
      <w:r w:rsidR="00E26A68" w:rsidRPr="00744660">
        <w:rPr>
          <w:rFonts w:cstheme="minorHAnsi"/>
          <w:sz w:val="24"/>
          <w:szCs w:val="24"/>
        </w:rPr>
        <w:t xml:space="preserve"> </w:t>
      </w:r>
      <w:r w:rsidR="00CB7472" w:rsidRPr="00744660">
        <w:rPr>
          <w:rFonts w:cstheme="minorHAnsi"/>
          <w:sz w:val="24"/>
          <w:szCs w:val="24"/>
        </w:rPr>
        <w:t>was built in the 17</w:t>
      </w:r>
      <w:r w:rsidR="00CB7472" w:rsidRPr="00744660">
        <w:rPr>
          <w:rFonts w:cstheme="minorHAnsi"/>
          <w:sz w:val="24"/>
          <w:szCs w:val="24"/>
          <w:vertAlign w:val="superscript"/>
        </w:rPr>
        <w:t>th</w:t>
      </w:r>
      <w:r w:rsidR="00E26A68" w:rsidRPr="00744660">
        <w:rPr>
          <w:rFonts w:cstheme="minorHAnsi"/>
          <w:sz w:val="24"/>
          <w:szCs w:val="24"/>
        </w:rPr>
        <w:t xml:space="preserve"> Century</w:t>
      </w:r>
      <w:r w:rsidR="00425572" w:rsidRPr="00744660">
        <w:rPr>
          <w:rFonts w:cstheme="minorHAnsi"/>
          <w:sz w:val="24"/>
          <w:szCs w:val="24"/>
        </w:rPr>
        <w:t>.</w:t>
      </w:r>
      <w:r w:rsidR="00850950">
        <w:rPr>
          <w:rStyle w:val="FootnoteReference"/>
          <w:rFonts w:cstheme="minorHAnsi"/>
          <w:sz w:val="24"/>
          <w:szCs w:val="24"/>
        </w:rPr>
        <w:footnoteReference w:id="2"/>
      </w:r>
      <w:r w:rsidR="00425572" w:rsidRPr="00744660">
        <w:rPr>
          <w:rFonts w:cstheme="minorHAnsi"/>
          <w:sz w:val="24"/>
          <w:szCs w:val="24"/>
        </w:rPr>
        <w:t xml:space="preserve"> </w:t>
      </w:r>
      <w:r w:rsidR="00A32E51">
        <w:rPr>
          <w:rFonts w:cstheme="minorHAnsi"/>
          <w:sz w:val="24"/>
          <w:szCs w:val="24"/>
        </w:rPr>
        <w:t>A gr</w:t>
      </w:r>
      <w:r w:rsidR="00867D5F">
        <w:rPr>
          <w:rFonts w:cstheme="minorHAnsi"/>
          <w:sz w:val="24"/>
          <w:szCs w:val="24"/>
        </w:rPr>
        <w:t>ea</w:t>
      </w:r>
      <w:r w:rsidR="00A32E51">
        <w:rPr>
          <w:rFonts w:cstheme="minorHAnsi"/>
          <w:sz w:val="24"/>
          <w:szCs w:val="24"/>
        </w:rPr>
        <w:t>t fire spread through Wroxton i</w:t>
      </w:r>
      <w:r w:rsidR="00867D5F">
        <w:rPr>
          <w:rFonts w:cstheme="minorHAnsi"/>
          <w:sz w:val="24"/>
          <w:szCs w:val="24"/>
        </w:rPr>
        <w:t>n 1666,</w:t>
      </w:r>
      <w:r w:rsidR="00A32E51">
        <w:rPr>
          <w:rStyle w:val="FootnoteReference"/>
          <w:rFonts w:cstheme="minorHAnsi"/>
          <w:sz w:val="24"/>
          <w:szCs w:val="24"/>
        </w:rPr>
        <w:footnoteReference w:id="3"/>
      </w:r>
      <w:r w:rsidR="00A32E51">
        <w:rPr>
          <w:rFonts w:cstheme="minorHAnsi"/>
          <w:sz w:val="24"/>
          <w:szCs w:val="24"/>
        </w:rPr>
        <w:t xml:space="preserve"> burning down most of the buildings,</w:t>
      </w:r>
      <w:r w:rsidR="00867D5F">
        <w:rPr>
          <w:rFonts w:cstheme="minorHAnsi"/>
          <w:sz w:val="24"/>
          <w:szCs w:val="24"/>
        </w:rPr>
        <w:t xml:space="preserve"> so it’</w:t>
      </w:r>
      <w:r w:rsidR="00A32E51">
        <w:rPr>
          <w:rFonts w:cstheme="minorHAnsi"/>
          <w:sz w:val="24"/>
          <w:szCs w:val="24"/>
        </w:rPr>
        <w:t>s likely that the North Arms was built</w:t>
      </w:r>
      <w:r w:rsidR="00867D5F">
        <w:rPr>
          <w:rFonts w:cstheme="minorHAnsi"/>
          <w:sz w:val="24"/>
          <w:szCs w:val="24"/>
        </w:rPr>
        <w:t xml:space="preserve"> </w:t>
      </w:r>
      <w:r w:rsidR="00A32E51">
        <w:rPr>
          <w:rFonts w:cstheme="minorHAnsi"/>
          <w:sz w:val="24"/>
          <w:szCs w:val="24"/>
        </w:rPr>
        <w:t>post</w:t>
      </w:r>
      <w:r w:rsidR="00867D5F">
        <w:rPr>
          <w:rFonts w:cstheme="minorHAnsi"/>
          <w:sz w:val="24"/>
          <w:szCs w:val="24"/>
        </w:rPr>
        <w:t xml:space="preserve"> 1666. </w:t>
      </w:r>
      <w:r w:rsidR="00CD63DC">
        <w:rPr>
          <w:rFonts w:cstheme="minorHAnsi"/>
          <w:sz w:val="24"/>
          <w:szCs w:val="24"/>
        </w:rPr>
        <w:t xml:space="preserve">According to Lester, </w:t>
      </w:r>
      <w:r w:rsidR="00AA5EC8">
        <w:rPr>
          <w:rFonts w:cstheme="minorHAnsi"/>
          <w:sz w:val="24"/>
          <w:szCs w:val="24"/>
        </w:rPr>
        <w:t xml:space="preserve">author of </w:t>
      </w:r>
      <w:r w:rsidR="00AA5EC8" w:rsidRPr="00AA5EC8">
        <w:rPr>
          <w:rFonts w:cstheme="minorHAnsi"/>
          <w:i/>
          <w:sz w:val="24"/>
          <w:szCs w:val="24"/>
        </w:rPr>
        <w:t>A Short History of Wroxton</w:t>
      </w:r>
      <w:r w:rsidR="00AA5EC8">
        <w:rPr>
          <w:rFonts w:cstheme="minorHAnsi"/>
          <w:sz w:val="24"/>
          <w:szCs w:val="24"/>
        </w:rPr>
        <w:t xml:space="preserve">, </w:t>
      </w:r>
      <w:r w:rsidR="00CD63DC">
        <w:rPr>
          <w:rFonts w:cstheme="minorHAnsi"/>
          <w:sz w:val="24"/>
          <w:szCs w:val="24"/>
        </w:rPr>
        <w:t>i</w:t>
      </w:r>
      <w:r w:rsidR="0099106A">
        <w:rPr>
          <w:rFonts w:cstheme="minorHAnsi"/>
          <w:sz w:val="24"/>
          <w:szCs w:val="24"/>
        </w:rPr>
        <w:t>t wasn’t licensed</w:t>
      </w:r>
      <w:r w:rsidR="00425572" w:rsidRPr="00744660">
        <w:rPr>
          <w:rFonts w:cstheme="minorHAnsi"/>
          <w:sz w:val="24"/>
          <w:szCs w:val="24"/>
        </w:rPr>
        <w:t xml:space="preserve"> </w:t>
      </w:r>
      <w:r w:rsidR="00E26A68" w:rsidRPr="00744660">
        <w:rPr>
          <w:rFonts w:cstheme="minorHAnsi"/>
          <w:sz w:val="24"/>
          <w:szCs w:val="24"/>
        </w:rPr>
        <w:t>until 1850.</w:t>
      </w:r>
      <w:r w:rsidR="00EE6EC4">
        <w:rPr>
          <w:rStyle w:val="FootnoteReference"/>
          <w:rFonts w:cstheme="minorHAnsi"/>
          <w:sz w:val="24"/>
          <w:szCs w:val="24"/>
        </w:rPr>
        <w:footnoteReference w:id="4"/>
      </w:r>
      <w:r w:rsidR="00E26A68" w:rsidRPr="00744660">
        <w:rPr>
          <w:rFonts w:cstheme="minorHAnsi"/>
          <w:sz w:val="24"/>
          <w:szCs w:val="24"/>
        </w:rPr>
        <w:t xml:space="preserve"> </w:t>
      </w:r>
    </w:p>
    <w:p w:rsidR="00CD63DC" w:rsidRDefault="00CD63DC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Although Lester states that the North Arms wasn’t licensed until 1850, a newspaper report from the </w:t>
      </w:r>
      <w:r w:rsidRPr="00CD63DC">
        <w:rPr>
          <w:rFonts w:cstheme="minorHAnsi"/>
          <w:i/>
          <w:sz w:val="24"/>
          <w:szCs w:val="24"/>
        </w:rPr>
        <w:t>Banbury Guardian</w:t>
      </w:r>
      <w:r>
        <w:rPr>
          <w:rFonts w:cstheme="minorHAnsi"/>
          <w:sz w:val="24"/>
          <w:szCs w:val="24"/>
        </w:rPr>
        <w:t xml:space="preserve"> on the 25</w:t>
      </w:r>
      <w:r w:rsidRPr="00CD63D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1844 says that the North Arms Inn was used as a base for the OddFellows Friendship Society.</w:t>
      </w:r>
      <w:r>
        <w:rPr>
          <w:rStyle w:val="FootnoteReference"/>
          <w:rFonts w:cstheme="minorHAnsi"/>
          <w:sz w:val="24"/>
          <w:szCs w:val="24"/>
        </w:rPr>
        <w:footnoteReference w:id="5"/>
      </w:r>
      <w:r>
        <w:rPr>
          <w:rFonts w:cstheme="minorHAnsi"/>
          <w:sz w:val="24"/>
          <w:szCs w:val="24"/>
        </w:rPr>
        <w:t xml:space="preserve"> The newspaper says, “the first anniversary of the Loyal Good Intent Lodge, Wroxton, was held yesterday at the house of Host Pearson, North Arms Inn, Wroxton.”</w:t>
      </w:r>
      <w:r>
        <w:rPr>
          <w:rStyle w:val="FootnoteReference"/>
          <w:rFonts w:cstheme="minorHAnsi"/>
          <w:sz w:val="24"/>
          <w:szCs w:val="24"/>
        </w:rPr>
        <w:footnoteReference w:id="6"/>
      </w:r>
      <w:r>
        <w:rPr>
          <w:rFonts w:cstheme="minorHAnsi"/>
          <w:sz w:val="24"/>
          <w:szCs w:val="24"/>
        </w:rPr>
        <w:t xml:space="preserve"> This leads to some conjecture as to when the North Arms </w:t>
      </w:r>
      <w:r w:rsidR="0099106A">
        <w:rPr>
          <w:rFonts w:cstheme="minorHAnsi"/>
          <w:sz w:val="24"/>
          <w:szCs w:val="24"/>
        </w:rPr>
        <w:t xml:space="preserve">first </w:t>
      </w:r>
      <w:r>
        <w:rPr>
          <w:rFonts w:cstheme="minorHAnsi"/>
          <w:sz w:val="24"/>
          <w:szCs w:val="24"/>
        </w:rPr>
        <w:t xml:space="preserve">opened. Perhaps it was being run as an unlicensed pub </w:t>
      </w:r>
      <w:r w:rsidR="008F541A">
        <w:rPr>
          <w:rFonts w:cstheme="minorHAnsi"/>
          <w:sz w:val="24"/>
          <w:szCs w:val="24"/>
        </w:rPr>
        <w:t>before 1850.</w:t>
      </w:r>
    </w:p>
    <w:p w:rsidR="008F541A" w:rsidRDefault="008F541A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However an advertisement in the Leamington Spa Courier, dated 31</w:t>
      </w:r>
      <w:r w:rsidRPr="008F541A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July 1841, seems to suggest that the North Arms may</w:t>
      </w:r>
      <w:r w:rsidR="005524BD">
        <w:rPr>
          <w:rFonts w:cstheme="minorHAnsi"/>
          <w:sz w:val="24"/>
          <w:szCs w:val="24"/>
        </w:rPr>
        <w:t xml:space="preserve"> have already been licensed as it was looking for a new landlord.</w:t>
      </w:r>
      <w:r>
        <w:rPr>
          <w:rFonts w:cstheme="minorHAnsi"/>
          <w:sz w:val="24"/>
          <w:szCs w:val="24"/>
        </w:rPr>
        <w:t xml:space="preserve"> “</w:t>
      </w:r>
      <w:r w:rsidR="005524BD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hat well known public house at Wroxton, known by the name, the North Arms, now in the occupation of Mr Charles Pearson, may be entered upon at Michaelmas next.”</w:t>
      </w:r>
      <w:r>
        <w:rPr>
          <w:rStyle w:val="FootnoteReference"/>
          <w:rFonts w:cstheme="minorHAnsi"/>
          <w:sz w:val="24"/>
          <w:szCs w:val="24"/>
        </w:rPr>
        <w:footnoteReference w:id="7"/>
      </w:r>
      <w:r>
        <w:rPr>
          <w:rFonts w:cstheme="minorHAnsi"/>
          <w:sz w:val="24"/>
          <w:szCs w:val="24"/>
        </w:rPr>
        <w:t xml:space="preserve">  </w:t>
      </w:r>
    </w:p>
    <w:p w:rsidR="00DE5D72" w:rsidRDefault="00DE5D72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North Arms was again up for sale in 1852. The advertisement in the Banbury Guardian, 14</w:t>
      </w:r>
      <w:r w:rsidRPr="00DE5D7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 1852 s</w:t>
      </w:r>
      <w:r w:rsidR="0099106A">
        <w:rPr>
          <w:rFonts w:cstheme="minorHAnsi"/>
          <w:sz w:val="24"/>
          <w:szCs w:val="24"/>
        </w:rPr>
        <w:t>aid that the North Arms had</w:t>
      </w:r>
      <w:r w:rsidR="00E34D9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sitting room, parlour, bar, two kitchens, a cellar, a club room, bedrooms, </w:t>
      </w:r>
      <w:r w:rsidR="00E34D92">
        <w:rPr>
          <w:rFonts w:cstheme="minorHAnsi"/>
          <w:sz w:val="24"/>
          <w:szCs w:val="24"/>
        </w:rPr>
        <w:t xml:space="preserve">a brewhouse, a large yard, garden </w:t>
      </w:r>
      <w:r>
        <w:rPr>
          <w:rFonts w:cstheme="minorHAnsi"/>
          <w:sz w:val="24"/>
          <w:szCs w:val="24"/>
        </w:rPr>
        <w:t>stables and piggeries.</w:t>
      </w:r>
      <w:r w:rsidR="00E34D92">
        <w:rPr>
          <w:rStyle w:val="FootnoteReference"/>
          <w:rFonts w:cstheme="minorHAnsi"/>
          <w:sz w:val="24"/>
          <w:szCs w:val="24"/>
        </w:rPr>
        <w:footnoteReference w:id="8"/>
      </w:r>
      <w:r>
        <w:rPr>
          <w:rFonts w:cstheme="minorHAnsi"/>
          <w:sz w:val="24"/>
          <w:szCs w:val="24"/>
        </w:rPr>
        <w:t xml:space="preserve"> </w:t>
      </w:r>
    </w:p>
    <w:p w:rsidR="00285DA2" w:rsidRPr="00CD63DC" w:rsidRDefault="00285DA2" w:rsidP="00425572">
      <w:pPr>
        <w:spacing w:line="360" w:lineRule="auto"/>
        <w:rPr>
          <w:rFonts w:cstheme="minorHAnsi"/>
          <w:sz w:val="24"/>
          <w:szCs w:val="24"/>
        </w:rPr>
      </w:pPr>
      <w:r w:rsidRPr="00D92335">
        <w:rPr>
          <w:rFonts w:cstheme="minorHAnsi"/>
          <w:sz w:val="24"/>
          <w:szCs w:val="24"/>
        </w:rPr>
        <w:t>The North Arms</w:t>
      </w:r>
      <w:r w:rsidR="00E26A68" w:rsidRPr="00D92335">
        <w:rPr>
          <w:rFonts w:cstheme="minorHAnsi"/>
          <w:sz w:val="24"/>
          <w:szCs w:val="24"/>
        </w:rPr>
        <w:t xml:space="preserve"> </w:t>
      </w:r>
      <w:r w:rsidR="00E34D92">
        <w:rPr>
          <w:rFonts w:cstheme="minorHAnsi"/>
          <w:sz w:val="24"/>
          <w:szCs w:val="24"/>
        </w:rPr>
        <w:t xml:space="preserve">today </w:t>
      </w:r>
      <w:r w:rsidR="00E26A68" w:rsidRPr="00D92335">
        <w:rPr>
          <w:rFonts w:cstheme="minorHAnsi"/>
          <w:sz w:val="24"/>
          <w:szCs w:val="24"/>
        </w:rPr>
        <w:t>consists of two buildings with some early 19</w:t>
      </w:r>
      <w:r w:rsidR="00E26A68" w:rsidRPr="00D92335">
        <w:rPr>
          <w:rFonts w:cstheme="minorHAnsi"/>
          <w:sz w:val="24"/>
          <w:szCs w:val="24"/>
          <w:vertAlign w:val="superscript"/>
        </w:rPr>
        <w:t>th</w:t>
      </w:r>
      <w:r w:rsidR="00E26A68" w:rsidRPr="00D92335">
        <w:rPr>
          <w:rFonts w:cstheme="minorHAnsi"/>
          <w:sz w:val="24"/>
          <w:szCs w:val="24"/>
        </w:rPr>
        <w:t xml:space="preserve"> Century refacing.</w:t>
      </w:r>
      <w:r w:rsidR="00850950" w:rsidRPr="00D92335">
        <w:rPr>
          <w:rStyle w:val="FootnoteReference"/>
          <w:rFonts w:cstheme="minorHAnsi"/>
          <w:sz w:val="24"/>
          <w:szCs w:val="24"/>
        </w:rPr>
        <w:footnoteReference w:id="9"/>
      </w:r>
      <w:r w:rsidR="00BC655D" w:rsidRPr="00D92335">
        <w:rPr>
          <w:rFonts w:cstheme="minorHAnsi"/>
          <w:sz w:val="24"/>
          <w:szCs w:val="24"/>
        </w:rPr>
        <w:t xml:space="preserve"> </w:t>
      </w:r>
      <w:r w:rsidRPr="00D92335">
        <w:rPr>
          <w:rFonts w:cstheme="minorHAnsi"/>
          <w:sz w:val="24"/>
          <w:szCs w:val="24"/>
          <w:shd w:val="clear" w:color="auto" w:fill="FFFFFF"/>
        </w:rPr>
        <w:t xml:space="preserve">According to </w:t>
      </w:r>
      <w:r w:rsidRPr="00D92335">
        <w:rPr>
          <w:rFonts w:cstheme="minorHAnsi"/>
          <w:i/>
          <w:sz w:val="24"/>
          <w:szCs w:val="24"/>
          <w:shd w:val="clear" w:color="auto" w:fill="FFFFFF"/>
        </w:rPr>
        <w:t>Historic England</w:t>
      </w:r>
      <w:r w:rsidRPr="00D92335">
        <w:rPr>
          <w:rFonts w:cstheme="minorHAnsi"/>
          <w:sz w:val="24"/>
          <w:szCs w:val="24"/>
          <w:shd w:val="clear" w:color="auto" w:fill="FFFFFF"/>
        </w:rPr>
        <w:t xml:space="preserve">, the North Arms was constructed from </w:t>
      </w:r>
      <w:r w:rsidR="00D92335">
        <w:rPr>
          <w:rFonts w:cstheme="minorHAnsi"/>
          <w:sz w:val="24"/>
          <w:szCs w:val="24"/>
          <w:shd w:val="clear" w:color="auto" w:fill="FFFFFF"/>
        </w:rPr>
        <w:t>i</w:t>
      </w:r>
      <w:r w:rsidRPr="00D92335">
        <w:rPr>
          <w:rFonts w:cstheme="minorHAnsi"/>
          <w:sz w:val="24"/>
          <w:szCs w:val="24"/>
          <w:shd w:val="clear" w:color="auto" w:fill="FFFFFF"/>
        </w:rPr>
        <w:t xml:space="preserve">ronstone ashlar and </w:t>
      </w:r>
      <w:r w:rsidRPr="00D92335">
        <w:rPr>
          <w:rFonts w:cstheme="minorHAnsi"/>
          <w:sz w:val="24"/>
          <w:szCs w:val="24"/>
          <w:shd w:val="clear" w:color="auto" w:fill="FFFFFF"/>
        </w:rPr>
        <w:lastRenderedPageBreak/>
        <w:t xml:space="preserve">coursed ironstone rubble and has </w:t>
      </w:r>
      <w:r w:rsidR="00D92335" w:rsidRPr="00D92335">
        <w:rPr>
          <w:rFonts w:cstheme="minorHAnsi"/>
          <w:sz w:val="24"/>
          <w:szCs w:val="24"/>
          <w:shd w:val="clear" w:color="auto" w:fill="FFFFFF"/>
        </w:rPr>
        <w:t>a steeply pitched thatched roof</w:t>
      </w:r>
      <w:r w:rsidRPr="00D92335">
        <w:rPr>
          <w:rFonts w:cstheme="minorHAnsi"/>
          <w:sz w:val="24"/>
          <w:szCs w:val="24"/>
          <w:shd w:val="clear" w:color="auto" w:fill="FFFFFF"/>
        </w:rPr>
        <w:t xml:space="preserve"> and renewed brick ridge and end stacks.</w:t>
      </w:r>
      <w:r w:rsidR="00D92335">
        <w:rPr>
          <w:rStyle w:val="FootnoteReference"/>
          <w:rFonts w:cstheme="minorHAnsi"/>
          <w:sz w:val="24"/>
          <w:szCs w:val="24"/>
          <w:shd w:val="clear" w:color="auto" w:fill="FFFFFF"/>
        </w:rPr>
        <w:footnoteReference w:id="10"/>
      </w:r>
      <w:r w:rsidRPr="00D92335">
        <w:rPr>
          <w:rFonts w:cstheme="minorHAnsi"/>
          <w:sz w:val="24"/>
          <w:szCs w:val="24"/>
          <w:shd w:val="clear" w:color="auto" w:fill="FFFFFF"/>
        </w:rPr>
        <w:t xml:space="preserve"> The main buildin</w:t>
      </w:r>
      <w:r w:rsidR="00D92335" w:rsidRPr="00D92335">
        <w:rPr>
          <w:rFonts w:cstheme="minorHAnsi"/>
          <w:sz w:val="24"/>
          <w:szCs w:val="24"/>
          <w:shd w:val="clear" w:color="auto" w:fill="FFFFFF"/>
        </w:rPr>
        <w:t xml:space="preserve">g comprises two floors and </w:t>
      </w:r>
      <w:r w:rsidRPr="00D92335">
        <w:rPr>
          <w:rFonts w:cstheme="minorHAnsi"/>
          <w:sz w:val="24"/>
          <w:szCs w:val="24"/>
          <w:shd w:val="clear" w:color="auto" w:fill="FFFFFF"/>
        </w:rPr>
        <w:t xml:space="preserve">an attic. </w:t>
      </w:r>
      <w:r w:rsidR="00BE4F18">
        <w:rPr>
          <w:rFonts w:cstheme="minorHAnsi"/>
          <w:sz w:val="24"/>
          <w:szCs w:val="24"/>
          <w:shd w:val="clear" w:color="auto" w:fill="FFFFFF"/>
        </w:rPr>
        <w:t xml:space="preserve">For architectural interest, please see the end note. </w:t>
      </w:r>
      <w:r w:rsidR="00BE4F18">
        <w:rPr>
          <w:rStyle w:val="EndnoteReference"/>
          <w:rFonts w:cstheme="minorHAnsi"/>
          <w:sz w:val="24"/>
          <w:szCs w:val="24"/>
          <w:shd w:val="clear" w:color="auto" w:fill="FFFFFF"/>
        </w:rPr>
        <w:endnoteReference w:id="1"/>
      </w:r>
    </w:p>
    <w:p w:rsidR="00DE0048" w:rsidRDefault="00DE0048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Trinity College, Oxford owned a number of buildings in the village including W</w:t>
      </w:r>
      <w:r w:rsidR="0099106A">
        <w:rPr>
          <w:rFonts w:cstheme="minorHAnsi"/>
          <w:sz w:val="24"/>
          <w:szCs w:val="24"/>
        </w:rPr>
        <w:t>roxton Abbey and the North Arms. Tenants of the North Arms held copyhold ownership.</w:t>
      </w:r>
      <w:r w:rsidR="0099106A">
        <w:rPr>
          <w:rStyle w:val="FootnoteReference"/>
          <w:rFonts w:cstheme="minorHAnsi"/>
          <w:sz w:val="24"/>
          <w:szCs w:val="24"/>
        </w:rPr>
        <w:footnoteReference w:id="11"/>
      </w:r>
      <w:r w:rsidR="009910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Trinity College sold the North Arms in 1958 to Chesham and Brackley Brewers.</w:t>
      </w:r>
      <w:r>
        <w:rPr>
          <w:rStyle w:val="FootnoteReference"/>
          <w:rFonts w:cstheme="minorHAnsi"/>
          <w:sz w:val="24"/>
          <w:szCs w:val="24"/>
        </w:rPr>
        <w:footnoteReference w:id="12"/>
      </w:r>
      <w:r>
        <w:rPr>
          <w:rFonts w:cstheme="minorHAnsi"/>
          <w:sz w:val="24"/>
          <w:szCs w:val="24"/>
        </w:rPr>
        <w:t xml:space="preserve"> </w:t>
      </w:r>
      <w:r w:rsidR="00AE4193">
        <w:rPr>
          <w:rFonts w:cstheme="minorHAnsi"/>
          <w:sz w:val="24"/>
          <w:szCs w:val="24"/>
        </w:rPr>
        <w:t xml:space="preserve"> </w:t>
      </w:r>
      <w:r w:rsidR="00EC63F1">
        <w:rPr>
          <w:rFonts w:cstheme="minorHAnsi"/>
          <w:sz w:val="24"/>
          <w:szCs w:val="24"/>
        </w:rPr>
        <w:t xml:space="preserve">It has changed hands several times since then. </w:t>
      </w:r>
    </w:p>
    <w:p w:rsidR="00425572" w:rsidRDefault="00E26A68" w:rsidP="00425572">
      <w:pPr>
        <w:spacing w:line="360" w:lineRule="auto"/>
        <w:rPr>
          <w:rFonts w:cstheme="minorHAnsi"/>
          <w:sz w:val="24"/>
          <w:szCs w:val="24"/>
        </w:rPr>
      </w:pPr>
      <w:r w:rsidRPr="00744660">
        <w:rPr>
          <w:rFonts w:cstheme="minorHAnsi"/>
          <w:sz w:val="24"/>
          <w:szCs w:val="24"/>
        </w:rPr>
        <w:t>In 1852, William Kalabergo</w:t>
      </w:r>
      <w:r w:rsidR="00E43C2C" w:rsidRPr="00744660">
        <w:rPr>
          <w:rFonts w:cstheme="minorHAnsi"/>
          <w:sz w:val="24"/>
          <w:szCs w:val="24"/>
        </w:rPr>
        <w:t>, a twenty-two year old, from Italy,</w:t>
      </w:r>
      <w:r w:rsidRPr="00744660">
        <w:rPr>
          <w:rFonts w:cstheme="minorHAnsi"/>
          <w:sz w:val="24"/>
          <w:szCs w:val="24"/>
        </w:rPr>
        <w:t xml:space="preserve"> was detained in the attic of the North Arms </w:t>
      </w:r>
      <w:r w:rsidR="00E43C2C" w:rsidRPr="00744660">
        <w:rPr>
          <w:rFonts w:cstheme="minorHAnsi"/>
          <w:sz w:val="24"/>
          <w:szCs w:val="24"/>
        </w:rPr>
        <w:t>for the murder of his uncle, John Kalabergo. It was alleged that he had shot his uncle</w:t>
      </w:r>
      <w:r w:rsidR="00425572" w:rsidRPr="00744660">
        <w:rPr>
          <w:rFonts w:cstheme="minorHAnsi"/>
          <w:sz w:val="24"/>
          <w:szCs w:val="24"/>
        </w:rPr>
        <w:t xml:space="preserve"> whilst they had been walking up Williamscot Hill. Kalabergo</w:t>
      </w:r>
      <w:r w:rsidR="00E43C2C" w:rsidRPr="00744660">
        <w:rPr>
          <w:rFonts w:cstheme="minorHAnsi"/>
          <w:sz w:val="24"/>
          <w:szCs w:val="24"/>
        </w:rPr>
        <w:t xml:space="preserve"> was being kept in the attic room while the police mad</w:t>
      </w:r>
      <w:r w:rsidR="00425572" w:rsidRPr="00744660">
        <w:rPr>
          <w:rFonts w:cstheme="minorHAnsi"/>
          <w:sz w:val="24"/>
          <w:szCs w:val="24"/>
        </w:rPr>
        <w:t>e</w:t>
      </w:r>
      <w:r w:rsidR="00E43C2C" w:rsidRPr="00744660">
        <w:rPr>
          <w:rFonts w:cstheme="minorHAnsi"/>
          <w:sz w:val="24"/>
          <w:szCs w:val="24"/>
        </w:rPr>
        <w:t xml:space="preserve"> further enquiries. Having complained that </w:t>
      </w:r>
      <w:r w:rsidR="00425572" w:rsidRPr="00744660">
        <w:rPr>
          <w:rFonts w:cstheme="minorHAnsi"/>
          <w:sz w:val="24"/>
          <w:szCs w:val="24"/>
        </w:rPr>
        <w:t>his handcuffs were too tight, Kalabergo</w:t>
      </w:r>
      <w:r w:rsidR="00E43C2C" w:rsidRPr="00744660">
        <w:rPr>
          <w:rFonts w:cstheme="minorHAnsi"/>
          <w:sz w:val="24"/>
          <w:szCs w:val="24"/>
        </w:rPr>
        <w:t xml:space="preserve"> persuaded the guards to unshackle him. He then</w:t>
      </w:r>
      <w:r w:rsidR="00425572" w:rsidRPr="00744660">
        <w:rPr>
          <w:rFonts w:cstheme="minorHAnsi"/>
          <w:sz w:val="24"/>
          <w:szCs w:val="24"/>
        </w:rPr>
        <w:t xml:space="preserve"> proceeded to</w:t>
      </w:r>
      <w:r w:rsidR="00E43C2C" w:rsidRPr="00744660">
        <w:rPr>
          <w:rFonts w:cstheme="minorHAnsi"/>
          <w:sz w:val="24"/>
          <w:szCs w:val="24"/>
        </w:rPr>
        <w:t xml:space="preserve"> esca</w:t>
      </w:r>
      <w:r w:rsidR="00425572" w:rsidRPr="00744660">
        <w:rPr>
          <w:rFonts w:cstheme="minorHAnsi"/>
          <w:sz w:val="24"/>
          <w:szCs w:val="24"/>
        </w:rPr>
        <w:t>pe</w:t>
      </w:r>
      <w:r w:rsidR="00E43C2C" w:rsidRPr="00744660">
        <w:rPr>
          <w:rFonts w:cstheme="minorHAnsi"/>
          <w:sz w:val="24"/>
          <w:szCs w:val="24"/>
        </w:rPr>
        <w:t xml:space="preserve"> through the window. He slid down the tha</w:t>
      </w:r>
      <w:r w:rsidR="00425572" w:rsidRPr="00744660">
        <w:rPr>
          <w:rFonts w:cstheme="minorHAnsi"/>
          <w:sz w:val="24"/>
          <w:szCs w:val="24"/>
        </w:rPr>
        <w:t>tched roof, then plunged thirty-</w:t>
      </w:r>
      <w:r w:rsidR="00E43C2C" w:rsidRPr="00744660">
        <w:rPr>
          <w:rFonts w:cstheme="minorHAnsi"/>
          <w:sz w:val="24"/>
          <w:szCs w:val="24"/>
        </w:rPr>
        <w:t>two feet to the ground. The landlady, a Mrs Harris, saw William hobbling aw</w:t>
      </w:r>
      <w:r w:rsidR="00DE5D72">
        <w:rPr>
          <w:rFonts w:cstheme="minorHAnsi"/>
          <w:sz w:val="24"/>
          <w:szCs w:val="24"/>
        </w:rPr>
        <w:t>ay and informed her husband. Mr</w:t>
      </w:r>
      <w:r w:rsidR="0085245C">
        <w:rPr>
          <w:rFonts w:cstheme="minorHAnsi"/>
          <w:sz w:val="24"/>
          <w:szCs w:val="24"/>
        </w:rPr>
        <w:t xml:space="preserve"> </w:t>
      </w:r>
      <w:r w:rsidR="00E43C2C" w:rsidRPr="00744660">
        <w:rPr>
          <w:rFonts w:cstheme="minorHAnsi"/>
          <w:sz w:val="24"/>
          <w:szCs w:val="24"/>
        </w:rPr>
        <w:t>Harri</w:t>
      </w:r>
      <w:r w:rsidR="00425572" w:rsidRPr="00744660">
        <w:rPr>
          <w:rFonts w:cstheme="minorHAnsi"/>
          <w:sz w:val="24"/>
          <w:szCs w:val="24"/>
        </w:rPr>
        <w:t>s soon caught up with him. It w</w:t>
      </w:r>
      <w:r w:rsidR="00E43C2C" w:rsidRPr="00744660">
        <w:rPr>
          <w:rFonts w:cstheme="minorHAnsi"/>
          <w:sz w:val="24"/>
          <w:szCs w:val="24"/>
        </w:rPr>
        <w:t>as later found that Kalabergo had broken bones in his right leg and left wrist, and he’d dislocated a bone in his foot. He was found guilt</w:t>
      </w:r>
      <w:r w:rsidR="00425572" w:rsidRPr="00744660">
        <w:rPr>
          <w:rFonts w:cstheme="minorHAnsi"/>
          <w:sz w:val="24"/>
          <w:szCs w:val="24"/>
        </w:rPr>
        <w:t>y of the murder of his uncle. William Kalabergo</w:t>
      </w:r>
      <w:r w:rsidR="00E43C2C" w:rsidRPr="00744660">
        <w:rPr>
          <w:rFonts w:cstheme="minorHAnsi"/>
          <w:sz w:val="24"/>
          <w:szCs w:val="24"/>
        </w:rPr>
        <w:t xml:space="preserve"> was the last person to be pu</w:t>
      </w:r>
      <w:r w:rsidR="000D00A8" w:rsidRPr="00744660">
        <w:rPr>
          <w:rFonts w:cstheme="minorHAnsi"/>
          <w:sz w:val="24"/>
          <w:szCs w:val="24"/>
        </w:rPr>
        <w:t>b</w:t>
      </w:r>
      <w:r w:rsidR="00E43C2C" w:rsidRPr="00744660">
        <w:rPr>
          <w:rFonts w:cstheme="minorHAnsi"/>
          <w:sz w:val="24"/>
          <w:szCs w:val="24"/>
        </w:rPr>
        <w:t>lically hanged at O</w:t>
      </w:r>
      <w:r w:rsidR="00425572" w:rsidRPr="00744660">
        <w:rPr>
          <w:rFonts w:cstheme="minorHAnsi"/>
          <w:sz w:val="24"/>
          <w:szCs w:val="24"/>
        </w:rPr>
        <w:t>xford.</w:t>
      </w:r>
      <w:r w:rsidR="00850950">
        <w:rPr>
          <w:rStyle w:val="FootnoteReference"/>
          <w:rFonts w:cstheme="minorHAnsi"/>
          <w:sz w:val="24"/>
          <w:szCs w:val="24"/>
        </w:rPr>
        <w:footnoteReference w:id="13"/>
      </w:r>
    </w:p>
    <w:p w:rsidR="0099106A" w:rsidRDefault="005524BD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William Kalabergo wasn’t the only suspect </w:t>
      </w:r>
      <w:r w:rsidR="00CE1DCF">
        <w:rPr>
          <w:rFonts w:cstheme="minorHAnsi"/>
          <w:sz w:val="24"/>
          <w:szCs w:val="24"/>
        </w:rPr>
        <w:t xml:space="preserve">to be </w:t>
      </w:r>
      <w:r>
        <w:rPr>
          <w:rFonts w:cstheme="minorHAnsi"/>
          <w:sz w:val="24"/>
          <w:szCs w:val="24"/>
        </w:rPr>
        <w:t xml:space="preserve">detained in the North Arms attic. </w:t>
      </w:r>
      <w:r w:rsidR="00CE1DCF">
        <w:rPr>
          <w:rFonts w:cstheme="minorHAnsi"/>
          <w:sz w:val="24"/>
          <w:szCs w:val="24"/>
        </w:rPr>
        <w:t>William Keeley was held in the attic under guard on 16</w:t>
      </w:r>
      <w:r w:rsidR="00CE1DCF" w:rsidRPr="00CE1DCF">
        <w:rPr>
          <w:rFonts w:cstheme="minorHAnsi"/>
          <w:sz w:val="24"/>
          <w:szCs w:val="24"/>
          <w:vertAlign w:val="superscript"/>
        </w:rPr>
        <w:t>th</w:t>
      </w:r>
      <w:r w:rsidR="00CE1DCF">
        <w:rPr>
          <w:rFonts w:cstheme="minorHAnsi"/>
          <w:sz w:val="24"/>
          <w:szCs w:val="24"/>
        </w:rPr>
        <w:t xml:space="preserve"> October 1850.</w:t>
      </w:r>
      <w:r w:rsidR="00CE1DCF">
        <w:rPr>
          <w:rStyle w:val="FootnoteReference"/>
          <w:rFonts w:cstheme="minorHAnsi"/>
          <w:sz w:val="24"/>
          <w:szCs w:val="24"/>
        </w:rPr>
        <w:footnoteReference w:id="14"/>
      </w:r>
      <w:r w:rsidR="00CE1DCF">
        <w:rPr>
          <w:rFonts w:cstheme="minorHAnsi"/>
          <w:sz w:val="24"/>
          <w:szCs w:val="24"/>
        </w:rPr>
        <w:t xml:space="preserve"> Keeley was accused of stealing a bag of watches. </w:t>
      </w:r>
    </w:p>
    <w:p w:rsidR="005524BD" w:rsidRDefault="00E34D92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North Arms </w:t>
      </w:r>
      <w:r w:rsidR="00AA5EC8">
        <w:rPr>
          <w:rFonts w:cstheme="minorHAnsi"/>
          <w:sz w:val="24"/>
          <w:szCs w:val="24"/>
        </w:rPr>
        <w:t>was also</w:t>
      </w:r>
      <w:r>
        <w:rPr>
          <w:rFonts w:cstheme="minorHAnsi"/>
          <w:sz w:val="24"/>
          <w:szCs w:val="24"/>
        </w:rPr>
        <w:t xml:space="preserve"> used as an auction house.  </w:t>
      </w:r>
      <w:r w:rsidR="005524BD">
        <w:rPr>
          <w:rFonts w:cstheme="minorHAnsi"/>
          <w:sz w:val="24"/>
          <w:szCs w:val="24"/>
        </w:rPr>
        <w:t>In 1</w:t>
      </w:r>
      <w:r>
        <w:rPr>
          <w:rFonts w:cstheme="minorHAnsi"/>
          <w:sz w:val="24"/>
          <w:szCs w:val="24"/>
        </w:rPr>
        <w:t>853, the North Arms was used for a horse auction</w:t>
      </w:r>
      <w:r>
        <w:rPr>
          <w:rStyle w:val="FootnoteReference"/>
          <w:rFonts w:cstheme="minorHAnsi"/>
          <w:sz w:val="24"/>
          <w:szCs w:val="24"/>
        </w:rPr>
        <w:footnoteReference w:id="15"/>
      </w:r>
      <w:r>
        <w:rPr>
          <w:rFonts w:cstheme="minorHAnsi"/>
          <w:sz w:val="24"/>
          <w:szCs w:val="24"/>
        </w:rPr>
        <w:t xml:space="preserve"> and in 1</w:t>
      </w:r>
      <w:r w:rsidR="005524BD">
        <w:rPr>
          <w:rFonts w:cstheme="minorHAnsi"/>
          <w:sz w:val="24"/>
          <w:szCs w:val="24"/>
        </w:rPr>
        <w:t>859, t</w:t>
      </w:r>
      <w:r>
        <w:rPr>
          <w:rFonts w:cstheme="minorHAnsi"/>
          <w:sz w:val="24"/>
          <w:szCs w:val="24"/>
        </w:rPr>
        <w:t xml:space="preserve">he North Arms was used </w:t>
      </w:r>
      <w:r w:rsidR="005524BD">
        <w:rPr>
          <w:rFonts w:cstheme="minorHAnsi"/>
          <w:sz w:val="24"/>
          <w:szCs w:val="24"/>
        </w:rPr>
        <w:t>for the auction of oak, ash and elm tinder.</w:t>
      </w:r>
      <w:r w:rsidR="005524BD">
        <w:rPr>
          <w:rStyle w:val="FootnoteReference"/>
          <w:rFonts w:cstheme="minorHAnsi"/>
          <w:sz w:val="24"/>
          <w:szCs w:val="24"/>
        </w:rPr>
        <w:footnoteReference w:id="16"/>
      </w:r>
      <w:r w:rsidR="00EF3214">
        <w:rPr>
          <w:rFonts w:cstheme="minorHAnsi"/>
          <w:sz w:val="24"/>
          <w:szCs w:val="24"/>
        </w:rPr>
        <w:t xml:space="preserve"> These auctions took place </w:t>
      </w:r>
      <w:r w:rsidR="001E1FC4">
        <w:rPr>
          <w:rFonts w:cstheme="minorHAnsi"/>
          <w:sz w:val="24"/>
          <w:szCs w:val="24"/>
        </w:rPr>
        <w:t xml:space="preserve">fairly </w:t>
      </w:r>
      <w:r w:rsidR="00EF3214">
        <w:rPr>
          <w:rFonts w:cstheme="minorHAnsi"/>
          <w:sz w:val="24"/>
          <w:szCs w:val="24"/>
        </w:rPr>
        <w:t>regularly.</w:t>
      </w:r>
    </w:p>
    <w:p w:rsidR="00084912" w:rsidRDefault="00084912" w:rsidP="0042557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North Arms </w:t>
      </w:r>
      <w:r w:rsidR="00EF3214">
        <w:rPr>
          <w:rFonts w:cstheme="minorHAnsi"/>
          <w:sz w:val="24"/>
          <w:szCs w:val="24"/>
        </w:rPr>
        <w:t>was also re</w:t>
      </w:r>
      <w:r w:rsidR="00AA5EC8">
        <w:rPr>
          <w:rFonts w:cstheme="minorHAnsi"/>
          <w:sz w:val="24"/>
          <w:szCs w:val="24"/>
        </w:rPr>
        <w:t xml:space="preserve">gularly used for </w:t>
      </w:r>
      <w:r>
        <w:rPr>
          <w:rFonts w:cstheme="minorHAnsi"/>
          <w:sz w:val="24"/>
          <w:szCs w:val="24"/>
        </w:rPr>
        <w:t>coroner’s inquest</w:t>
      </w:r>
      <w:r w:rsidR="00AA5EC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 On 5</w:t>
      </w:r>
      <w:r w:rsidRPr="0008491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December 1853 it was used for the inquest of a five year old boy who burned to death.</w:t>
      </w:r>
      <w:r>
        <w:rPr>
          <w:rStyle w:val="FootnoteReference"/>
          <w:rFonts w:cstheme="minorHAnsi"/>
          <w:sz w:val="24"/>
          <w:szCs w:val="24"/>
        </w:rPr>
        <w:footnoteReference w:id="17"/>
      </w:r>
      <w:r>
        <w:rPr>
          <w:rFonts w:cstheme="minorHAnsi"/>
          <w:sz w:val="24"/>
          <w:szCs w:val="24"/>
        </w:rPr>
        <w:t xml:space="preserve"> </w:t>
      </w:r>
      <w:r w:rsidR="007403CA">
        <w:rPr>
          <w:rFonts w:cstheme="minorHAnsi"/>
          <w:sz w:val="24"/>
          <w:szCs w:val="24"/>
        </w:rPr>
        <w:t>Another inquest is recorded as taking place on 30</w:t>
      </w:r>
      <w:r w:rsidR="007403CA" w:rsidRPr="007403CA">
        <w:rPr>
          <w:rFonts w:cstheme="minorHAnsi"/>
          <w:sz w:val="24"/>
          <w:szCs w:val="24"/>
          <w:vertAlign w:val="superscript"/>
        </w:rPr>
        <w:t>th</w:t>
      </w:r>
      <w:r w:rsidR="007403CA">
        <w:rPr>
          <w:rFonts w:cstheme="minorHAnsi"/>
          <w:sz w:val="24"/>
          <w:szCs w:val="24"/>
        </w:rPr>
        <w:t xml:space="preserve"> December 1865.</w:t>
      </w:r>
      <w:r w:rsidR="007403CA">
        <w:rPr>
          <w:rStyle w:val="FootnoteReference"/>
          <w:rFonts w:cstheme="minorHAnsi"/>
          <w:sz w:val="24"/>
          <w:szCs w:val="24"/>
        </w:rPr>
        <w:footnoteReference w:id="18"/>
      </w:r>
      <w:r w:rsidR="007403CA">
        <w:rPr>
          <w:rFonts w:cstheme="minorHAnsi"/>
          <w:sz w:val="24"/>
          <w:szCs w:val="24"/>
        </w:rPr>
        <w:t xml:space="preserve"> </w:t>
      </w:r>
    </w:p>
    <w:p w:rsidR="00425572" w:rsidRDefault="00425572" w:rsidP="00425572">
      <w:pPr>
        <w:spacing w:line="360" w:lineRule="auto"/>
        <w:rPr>
          <w:rFonts w:cstheme="minorHAnsi"/>
          <w:iCs/>
          <w:sz w:val="24"/>
          <w:szCs w:val="24"/>
        </w:rPr>
      </w:pPr>
      <w:r w:rsidRPr="00744660">
        <w:rPr>
          <w:rFonts w:cstheme="minorHAnsi"/>
          <w:iCs/>
          <w:sz w:val="24"/>
          <w:szCs w:val="24"/>
        </w:rPr>
        <w:t>In 1882, a room was hired in the North Arms by F</w:t>
      </w:r>
      <w:r w:rsidR="00B21AF0">
        <w:rPr>
          <w:rFonts w:cstheme="minorHAnsi"/>
          <w:iCs/>
          <w:sz w:val="24"/>
          <w:szCs w:val="24"/>
        </w:rPr>
        <w:t>ather</w:t>
      </w:r>
      <w:r w:rsidRPr="00744660">
        <w:rPr>
          <w:rFonts w:cstheme="minorHAnsi"/>
          <w:iCs/>
          <w:sz w:val="24"/>
          <w:szCs w:val="24"/>
        </w:rPr>
        <w:t xml:space="preserve"> Bowen of Banbury for £5 a year. </w:t>
      </w:r>
      <w:r w:rsidR="00C432D4">
        <w:rPr>
          <w:rFonts w:cstheme="minorHAnsi"/>
          <w:iCs/>
          <w:sz w:val="24"/>
          <w:szCs w:val="24"/>
        </w:rPr>
        <w:t xml:space="preserve">The room was fitted up as a chapel. </w:t>
      </w:r>
      <w:r w:rsidRPr="00744660">
        <w:rPr>
          <w:rFonts w:cstheme="minorHAnsi"/>
          <w:iCs/>
          <w:sz w:val="24"/>
          <w:szCs w:val="24"/>
        </w:rPr>
        <w:t>Mass was said for the first time in this room on Friday, November 22</w:t>
      </w:r>
      <w:r w:rsidRPr="00744660">
        <w:rPr>
          <w:rFonts w:cstheme="minorHAnsi"/>
          <w:iCs/>
          <w:sz w:val="24"/>
          <w:szCs w:val="24"/>
          <w:vertAlign w:val="superscript"/>
        </w:rPr>
        <w:t>nd</w:t>
      </w:r>
      <w:r w:rsidRPr="00744660">
        <w:rPr>
          <w:rFonts w:cstheme="minorHAnsi"/>
          <w:iCs/>
          <w:sz w:val="24"/>
          <w:szCs w:val="24"/>
        </w:rPr>
        <w:t xml:space="preserve"> 1882. However, by the next year the room was found too small for the congregation, so it was given up.</w:t>
      </w:r>
      <w:r w:rsidR="00850950">
        <w:rPr>
          <w:rStyle w:val="FootnoteReference"/>
          <w:rFonts w:cstheme="minorHAnsi"/>
          <w:iCs/>
          <w:sz w:val="24"/>
          <w:szCs w:val="24"/>
        </w:rPr>
        <w:footnoteReference w:id="19"/>
      </w:r>
    </w:p>
    <w:p w:rsidR="007403CA" w:rsidRDefault="007403CA" w:rsidP="00425572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An article from the Banbury Advertiser makes mention of a North Arms Friendly Society</w:t>
      </w:r>
      <w:r w:rsidR="007B52D6">
        <w:rPr>
          <w:rFonts w:cstheme="minorHAnsi"/>
          <w:iCs/>
          <w:sz w:val="24"/>
          <w:szCs w:val="24"/>
        </w:rPr>
        <w:t xml:space="preserve"> which existed in 1893. The society did not exist solely </w:t>
      </w:r>
      <w:r w:rsidR="001102DF">
        <w:rPr>
          <w:rFonts w:cstheme="minorHAnsi"/>
          <w:iCs/>
          <w:sz w:val="24"/>
          <w:szCs w:val="24"/>
        </w:rPr>
        <w:t>for the sake of quenchin</w:t>
      </w:r>
      <w:r w:rsidR="007B52D6">
        <w:rPr>
          <w:rFonts w:cstheme="minorHAnsi"/>
          <w:iCs/>
          <w:sz w:val="24"/>
          <w:szCs w:val="24"/>
        </w:rPr>
        <w:t xml:space="preserve">g one’s palette. </w:t>
      </w:r>
      <w:r w:rsidR="0099106A">
        <w:rPr>
          <w:rFonts w:cstheme="minorHAnsi"/>
          <w:iCs/>
          <w:sz w:val="24"/>
          <w:szCs w:val="24"/>
        </w:rPr>
        <w:t>“</w:t>
      </w:r>
      <w:r w:rsidR="007B52D6">
        <w:rPr>
          <w:rFonts w:cstheme="minorHAnsi"/>
          <w:iCs/>
          <w:sz w:val="24"/>
          <w:szCs w:val="24"/>
        </w:rPr>
        <w:t xml:space="preserve">In the morning, the members attended divine service in the Church, after which they went </w:t>
      </w:r>
      <w:r w:rsidR="0099106A">
        <w:rPr>
          <w:rFonts w:cstheme="minorHAnsi"/>
          <w:iCs/>
          <w:sz w:val="24"/>
          <w:szCs w:val="24"/>
        </w:rPr>
        <w:t>in procession round the village</w:t>
      </w:r>
      <w:r w:rsidR="007B52D6">
        <w:rPr>
          <w:rFonts w:cstheme="minorHAnsi"/>
          <w:iCs/>
          <w:sz w:val="24"/>
          <w:szCs w:val="24"/>
        </w:rPr>
        <w:t>, to the strains of the band.”</w:t>
      </w:r>
      <w:r w:rsidR="007B52D6">
        <w:rPr>
          <w:rStyle w:val="FootnoteReference"/>
          <w:rFonts w:cstheme="minorHAnsi"/>
          <w:iCs/>
          <w:sz w:val="24"/>
          <w:szCs w:val="24"/>
        </w:rPr>
        <w:footnoteReference w:id="20"/>
      </w:r>
      <w:r w:rsidR="007B52D6">
        <w:rPr>
          <w:rFonts w:cstheme="minorHAnsi"/>
          <w:iCs/>
          <w:sz w:val="24"/>
          <w:szCs w:val="24"/>
        </w:rPr>
        <w:t xml:space="preserve"> </w:t>
      </w:r>
      <w:r w:rsidR="002E5ADE">
        <w:rPr>
          <w:rFonts w:cstheme="minorHAnsi"/>
          <w:iCs/>
          <w:sz w:val="24"/>
          <w:szCs w:val="24"/>
        </w:rPr>
        <w:t>The North Arms Friendly Society, like the Oddfellows or the Lions, were a club</w:t>
      </w:r>
      <w:r w:rsidR="007807EE">
        <w:rPr>
          <w:rFonts w:cstheme="minorHAnsi"/>
          <w:iCs/>
          <w:sz w:val="24"/>
          <w:szCs w:val="24"/>
        </w:rPr>
        <w:t xml:space="preserve"> helping their members and the local community.</w:t>
      </w:r>
      <w:r w:rsidR="002E5ADE">
        <w:rPr>
          <w:rFonts w:cstheme="minorHAnsi"/>
          <w:iCs/>
          <w:sz w:val="24"/>
          <w:szCs w:val="24"/>
        </w:rPr>
        <w:t xml:space="preserve"> </w:t>
      </w:r>
      <w:r w:rsidR="007807EE">
        <w:rPr>
          <w:rFonts w:cstheme="minorHAnsi"/>
          <w:iCs/>
          <w:sz w:val="24"/>
          <w:szCs w:val="24"/>
        </w:rPr>
        <w:t>They also organized various events. The North Arms was the base of their activities.</w:t>
      </w:r>
      <w:r w:rsidR="002E5ADE">
        <w:rPr>
          <w:rFonts w:cstheme="minorHAnsi"/>
          <w:iCs/>
          <w:sz w:val="24"/>
          <w:szCs w:val="24"/>
        </w:rPr>
        <w:t xml:space="preserve"> </w:t>
      </w:r>
      <w:r w:rsidR="00E417B1">
        <w:rPr>
          <w:rFonts w:cstheme="minorHAnsi"/>
          <w:iCs/>
          <w:sz w:val="24"/>
          <w:szCs w:val="24"/>
        </w:rPr>
        <w:t>A further article taken from the Banbury Advertiser</w:t>
      </w:r>
      <w:r w:rsidR="00E417B1">
        <w:rPr>
          <w:rStyle w:val="FootnoteReference"/>
          <w:rFonts w:cstheme="minorHAnsi"/>
          <w:iCs/>
          <w:sz w:val="24"/>
          <w:szCs w:val="24"/>
        </w:rPr>
        <w:footnoteReference w:id="21"/>
      </w:r>
      <w:r w:rsidR="002E5ADE">
        <w:rPr>
          <w:rFonts w:cstheme="minorHAnsi"/>
          <w:iCs/>
          <w:sz w:val="24"/>
          <w:szCs w:val="24"/>
        </w:rPr>
        <w:t xml:space="preserve"> in 1921</w:t>
      </w:r>
      <w:r w:rsidR="00E417B1">
        <w:rPr>
          <w:rFonts w:cstheme="minorHAnsi"/>
          <w:iCs/>
          <w:sz w:val="24"/>
          <w:szCs w:val="24"/>
        </w:rPr>
        <w:t xml:space="preserve"> mentions that the North Arms Friendly Society was celebrating its </w:t>
      </w:r>
      <w:r w:rsidR="002E5ADE">
        <w:rPr>
          <w:rFonts w:cstheme="minorHAnsi"/>
          <w:iCs/>
          <w:sz w:val="24"/>
          <w:szCs w:val="24"/>
        </w:rPr>
        <w:t>sixty</w:t>
      </w:r>
      <w:r w:rsidR="00E417B1">
        <w:rPr>
          <w:rFonts w:cstheme="minorHAnsi"/>
          <w:iCs/>
          <w:sz w:val="24"/>
          <w:szCs w:val="24"/>
        </w:rPr>
        <w:t>-</w:t>
      </w:r>
      <w:r w:rsidR="002E5ADE">
        <w:rPr>
          <w:rFonts w:cstheme="minorHAnsi"/>
          <w:iCs/>
          <w:sz w:val="24"/>
          <w:szCs w:val="24"/>
        </w:rPr>
        <w:t>second</w:t>
      </w:r>
      <w:r w:rsidR="003D7621">
        <w:rPr>
          <w:rFonts w:cstheme="minorHAnsi"/>
          <w:iCs/>
          <w:sz w:val="24"/>
          <w:szCs w:val="24"/>
        </w:rPr>
        <w:t xml:space="preserve"> anniversary</w:t>
      </w:r>
      <w:r w:rsidR="00E417B1">
        <w:rPr>
          <w:rFonts w:cstheme="minorHAnsi"/>
          <w:iCs/>
          <w:sz w:val="24"/>
          <w:szCs w:val="24"/>
        </w:rPr>
        <w:t xml:space="preserve">, so </w:t>
      </w:r>
      <w:r w:rsidR="002E5ADE">
        <w:rPr>
          <w:rFonts w:cstheme="minorHAnsi"/>
          <w:iCs/>
          <w:sz w:val="24"/>
          <w:szCs w:val="24"/>
        </w:rPr>
        <w:t xml:space="preserve">it </w:t>
      </w:r>
      <w:r w:rsidR="00E417B1">
        <w:rPr>
          <w:rFonts w:cstheme="minorHAnsi"/>
          <w:iCs/>
          <w:sz w:val="24"/>
          <w:szCs w:val="24"/>
        </w:rPr>
        <w:t xml:space="preserve">was in existence for a long while. </w:t>
      </w:r>
      <w:r w:rsidR="00EB407C">
        <w:rPr>
          <w:rFonts w:cstheme="minorHAnsi"/>
          <w:iCs/>
          <w:sz w:val="24"/>
          <w:szCs w:val="24"/>
        </w:rPr>
        <w:t>Lord North was the Society’s president.</w:t>
      </w:r>
      <w:r w:rsidR="00EB407C">
        <w:rPr>
          <w:rStyle w:val="FootnoteReference"/>
          <w:rFonts w:cstheme="minorHAnsi"/>
          <w:iCs/>
          <w:sz w:val="24"/>
          <w:szCs w:val="24"/>
        </w:rPr>
        <w:footnoteReference w:id="22"/>
      </w:r>
      <w:r w:rsidR="00EB407C">
        <w:rPr>
          <w:rFonts w:cstheme="minorHAnsi"/>
          <w:iCs/>
          <w:sz w:val="24"/>
          <w:szCs w:val="24"/>
        </w:rPr>
        <w:t xml:space="preserve"> The North Arms Friendly Society dissolved in 1950.</w:t>
      </w:r>
      <w:r w:rsidR="00EB407C">
        <w:rPr>
          <w:rStyle w:val="FootnoteReference"/>
          <w:rFonts w:cstheme="minorHAnsi"/>
          <w:iCs/>
          <w:sz w:val="24"/>
          <w:szCs w:val="24"/>
        </w:rPr>
        <w:footnoteReference w:id="23"/>
      </w:r>
      <w:r w:rsidR="00EB407C">
        <w:rPr>
          <w:rFonts w:cstheme="minorHAnsi"/>
          <w:iCs/>
          <w:sz w:val="24"/>
          <w:szCs w:val="24"/>
        </w:rPr>
        <w:t xml:space="preserve">  </w:t>
      </w:r>
      <w:r w:rsidR="00E417B1">
        <w:rPr>
          <w:rFonts w:cstheme="minorHAnsi"/>
          <w:iCs/>
          <w:sz w:val="24"/>
          <w:szCs w:val="24"/>
        </w:rPr>
        <w:t xml:space="preserve"> </w:t>
      </w:r>
    </w:p>
    <w:p w:rsidR="003D7621" w:rsidRDefault="00BE4F18" w:rsidP="00425572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The landlord in 1939, a Mr Fred Arris ran the North Arms as a boarding house as well as a pub.</w:t>
      </w:r>
      <w:r>
        <w:rPr>
          <w:rStyle w:val="FootnoteReference"/>
          <w:rFonts w:cstheme="minorHAnsi"/>
          <w:iCs/>
          <w:sz w:val="24"/>
          <w:szCs w:val="24"/>
        </w:rPr>
        <w:footnoteReference w:id="24"/>
      </w:r>
      <w:r>
        <w:rPr>
          <w:rFonts w:cstheme="minorHAnsi"/>
          <w:iCs/>
          <w:sz w:val="24"/>
          <w:szCs w:val="24"/>
        </w:rPr>
        <w:t xml:space="preserve"> </w:t>
      </w:r>
    </w:p>
    <w:p w:rsidR="003D7621" w:rsidRDefault="003D7621" w:rsidP="00425572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In 1973, there was a fire in one of the bedrooms. A guest was able to put the fire out before the firemen arrived. Damage was confined to the one room.</w:t>
      </w:r>
      <w:r>
        <w:rPr>
          <w:rStyle w:val="FootnoteReference"/>
          <w:rFonts w:cstheme="minorHAnsi"/>
          <w:iCs/>
          <w:sz w:val="24"/>
          <w:szCs w:val="24"/>
        </w:rPr>
        <w:footnoteReference w:id="25"/>
      </w:r>
      <w:r>
        <w:rPr>
          <w:rFonts w:cstheme="minorHAnsi"/>
          <w:iCs/>
          <w:sz w:val="24"/>
          <w:szCs w:val="24"/>
        </w:rPr>
        <w:t xml:space="preserve"> </w:t>
      </w:r>
    </w:p>
    <w:p w:rsidR="00EC63F1" w:rsidRDefault="00EC63F1" w:rsidP="00425572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Planning applications for the North Ar</w:t>
      </w:r>
      <w:r w:rsidR="00A93C33">
        <w:rPr>
          <w:rFonts w:cstheme="minorHAnsi"/>
          <w:iCs/>
          <w:sz w:val="24"/>
          <w:szCs w:val="24"/>
        </w:rPr>
        <w:t xml:space="preserve">ms from 1995 to the present </w:t>
      </w:r>
      <w:r>
        <w:rPr>
          <w:rFonts w:cstheme="minorHAnsi"/>
          <w:iCs/>
          <w:sz w:val="24"/>
          <w:szCs w:val="24"/>
        </w:rPr>
        <w:t xml:space="preserve">can be viewed on Cherwell District Council’s website. </w:t>
      </w:r>
      <w:r w:rsidR="00B21CBF">
        <w:rPr>
          <w:rFonts w:cstheme="minorHAnsi"/>
          <w:iCs/>
          <w:sz w:val="24"/>
          <w:szCs w:val="24"/>
        </w:rPr>
        <w:t xml:space="preserve">There have </w:t>
      </w:r>
      <w:r>
        <w:rPr>
          <w:rFonts w:cstheme="minorHAnsi"/>
          <w:iCs/>
          <w:sz w:val="24"/>
          <w:szCs w:val="24"/>
        </w:rPr>
        <w:t>been no significant planning applications</w:t>
      </w:r>
      <w:r w:rsidR="00A93C33">
        <w:rPr>
          <w:rFonts w:cstheme="minorHAnsi"/>
          <w:iCs/>
          <w:sz w:val="24"/>
          <w:szCs w:val="24"/>
        </w:rPr>
        <w:t xml:space="preserve"> since</w:t>
      </w:r>
      <w:r w:rsidR="00B21CBF">
        <w:rPr>
          <w:rFonts w:cstheme="minorHAnsi"/>
          <w:iCs/>
          <w:sz w:val="24"/>
          <w:szCs w:val="24"/>
        </w:rPr>
        <w:t xml:space="preserve"> 1995.  </w:t>
      </w:r>
      <w:r>
        <w:rPr>
          <w:rFonts w:cstheme="minorHAnsi"/>
          <w:iCs/>
          <w:sz w:val="24"/>
          <w:szCs w:val="24"/>
        </w:rPr>
        <w:t xml:space="preserve">   </w:t>
      </w:r>
    </w:p>
    <w:p w:rsidR="003D7621" w:rsidRDefault="003D7621" w:rsidP="00425572">
      <w:pPr>
        <w:spacing w:line="360" w:lineRule="auto"/>
        <w:rPr>
          <w:rFonts w:cstheme="minorHAnsi"/>
          <w:iCs/>
          <w:sz w:val="24"/>
          <w:szCs w:val="24"/>
        </w:rPr>
      </w:pPr>
    </w:p>
    <w:p w:rsidR="00B21CBF" w:rsidRDefault="00B21CBF" w:rsidP="00425572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The following sources ha</w:t>
      </w:r>
      <w:r w:rsidR="002F3F0C">
        <w:rPr>
          <w:rFonts w:cstheme="minorHAnsi"/>
          <w:iCs/>
          <w:sz w:val="24"/>
          <w:szCs w:val="24"/>
        </w:rPr>
        <w:t xml:space="preserve">ve been </w:t>
      </w:r>
      <w:r>
        <w:rPr>
          <w:rFonts w:cstheme="minorHAnsi"/>
          <w:iCs/>
          <w:sz w:val="24"/>
          <w:szCs w:val="24"/>
        </w:rPr>
        <w:t>consulted in</w:t>
      </w:r>
      <w:r w:rsidR="00996ED6">
        <w:rPr>
          <w:rFonts w:cstheme="minorHAnsi"/>
          <w:iCs/>
          <w:sz w:val="24"/>
          <w:szCs w:val="24"/>
        </w:rPr>
        <w:t xml:space="preserve"> the preparation of this report</w:t>
      </w:r>
    </w:p>
    <w:p w:rsidR="00B21CBF" w:rsidRPr="00996ED6" w:rsidRDefault="00B21CBF" w:rsidP="00996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 w:rsidRPr="00996ED6">
        <w:rPr>
          <w:rFonts w:cstheme="minorHAnsi"/>
          <w:iCs/>
          <w:sz w:val="24"/>
          <w:szCs w:val="24"/>
        </w:rPr>
        <w:t>The Wroxton College Archives</w:t>
      </w:r>
    </w:p>
    <w:p w:rsidR="00B21CBF" w:rsidRPr="00996ED6" w:rsidRDefault="00B21CBF" w:rsidP="00996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 w:rsidRPr="00996ED6">
        <w:rPr>
          <w:rFonts w:cstheme="minorHAnsi"/>
          <w:iCs/>
          <w:sz w:val="24"/>
          <w:szCs w:val="24"/>
        </w:rPr>
        <w:t>Trinity College Oxford Archives</w:t>
      </w:r>
    </w:p>
    <w:p w:rsidR="00B21CBF" w:rsidRPr="00996ED6" w:rsidRDefault="00B21CBF" w:rsidP="00996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 w:rsidRPr="00996ED6">
        <w:rPr>
          <w:rFonts w:cstheme="minorHAnsi"/>
          <w:iCs/>
          <w:sz w:val="24"/>
          <w:szCs w:val="24"/>
        </w:rPr>
        <w:t>Banbury Museum</w:t>
      </w:r>
    </w:p>
    <w:p w:rsidR="00B21CBF" w:rsidRDefault="00B21CBF" w:rsidP="00996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 w:rsidRPr="00996ED6">
        <w:rPr>
          <w:rFonts w:cstheme="minorHAnsi"/>
          <w:iCs/>
          <w:sz w:val="24"/>
          <w:szCs w:val="24"/>
        </w:rPr>
        <w:t>Wroxton Village History Group</w:t>
      </w:r>
    </w:p>
    <w:p w:rsidR="00996ED6" w:rsidRPr="00996ED6" w:rsidRDefault="00996ED6" w:rsidP="00996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The Weston Library, Oxford</w:t>
      </w:r>
    </w:p>
    <w:p w:rsidR="00B21CBF" w:rsidRPr="00996ED6" w:rsidRDefault="00B21CBF" w:rsidP="00996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 w:rsidRPr="00996ED6">
        <w:rPr>
          <w:rFonts w:cstheme="minorHAnsi"/>
          <w:iCs/>
          <w:sz w:val="24"/>
          <w:szCs w:val="24"/>
        </w:rPr>
        <w:t>Cherwell District Council</w:t>
      </w:r>
    </w:p>
    <w:p w:rsidR="00B21CBF" w:rsidRDefault="00B21CBF" w:rsidP="00996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  <w:sz w:val="24"/>
          <w:szCs w:val="24"/>
        </w:rPr>
      </w:pPr>
      <w:r w:rsidRPr="00996ED6">
        <w:rPr>
          <w:rFonts w:cstheme="minorHAnsi"/>
          <w:iCs/>
          <w:sz w:val="24"/>
          <w:szCs w:val="24"/>
        </w:rPr>
        <w:t>Greene King Brewery</w:t>
      </w:r>
    </w:p>
    <w:p w:rsidR="00425572" w:rsidRPr="00A93EEE" w:rsidRDefault="00F54DE8" w:rsidP="00BF160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i/>
          <w:iCs/>
          <w:color w:val="1F497D"/>
        </w:rPr>
      </w:pPr>
      <w:r w:rsidRPr="00A93C33">
        <w:rPr>
          <w:rFonts w:cstheme="minorHAnsi"/>
          <w:iCs/>
          <w:sz w:val="24"/>
          <w:szCs w:val="24"/>
        </w:rPr>
        <w:t>Historic England</w:t>
      </w:r>
    </w:p>
    <w:p w:rsidR="00A93EEE" w:rsidRPr="00A93C33" w:rsidRDefault="00A93EEE" w:rsidP="00BF160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i/>
          <w:iCs/>
          <w:color w:val="1F497D"/>
        </w:rPr>
      </w:pPr>
      <w:r>
        <w:rPr>
          <w:rFonts w:cstheme="minorHAnsi"/>
          <w:iCs/>
          <w:sz w:val="24"/>
          <w:szCs w:val="24"/>
        </w:rPr>
        <w:t>The British Newspaper Archive</w:t>
      </w:r>
    </w:p>
    <w:sectPr w:rsidR="00A93EEE" w:rsidRPr="00A93C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D2" w:rsidRDefault="00356AD2" w:rsidP="00850950">
      <w:pPr>
        <w:spacing w:after="0" w:line="240" w:lineRule="auto"/>
      </w:pPr>
      <w:r>
        <w:separator/>
      </w:r>
    </w:p>
  </w:endnote>
  <w:endnote w:type="continuationSeparator" w:id="0">
    <w:p w:rsidR="00356AD2" w:rsidRDefault="00356AD2" w:rsidP="00850950">
      <w:pPr>
        <w:spacing w:after="0" w:line="240" w:lineRule="auto"/>
      </w:pPr>
      <w:r>
        <w:continuationSeparator/>
      </w:r>
    </w:p>
  </w:endnote>
  <w:endnote w:id="1">
    <w:p w:rsidR="00BE4F18" w:rsidRDefault="00BE4F18">
      <w:pPr>
        <w:pStyle w:val="EndnoteText"/>
        <w:rPr>
          <w:rFonts w:cstheme="minorHAnsi"/>
          <w:sz w:val="24"/>
          <w:szCs w:val="24"/>
          <w:shd w:val="clear" w:color="auto" w:fill="FFFFFF"/>
        </w:rPr>
      </w:pPr>
      <w:r w:rsidRPr="00BE4F18">
        <w:rPr>
          <w:rStyle w:val="EndnoteReference"/>
        </w:rPr>
        <w:endnoteRef/>
      </w:r>
      <w:r w:rsidRPr="00BE4F18">
        <w:t xml:space="preserve"> </w:t>
      </w:r>
      <w:r w:rsidRPr="00BE4F18">
        <w:rPr>
          <w:rStyle w:val="EndnoteReference"/>
          <w:rFonts w:cstheme="minorHAnsi"/>
          <w:sz w:val="24"/>
          <w:szCs w:val="24"/>
          <w:shd w:val="clear" w:color="auto" w:fill="FFFFFF"/>
        </w:rPr>
        <w:endnoteRef/>
      </w:r>
      <w:r w:rsidRPr="00BE4F18">
        <w:rPr>
          <w:rFonts w:cstheme="minorHAnsi"/>
          <w:i/>
          <w:sz w:val="24"/>
          <w:szCs w:val="24"/>
          <w:shd w:val="clear" w:color="auto" w:fill="FFFFFF"/>
        </w:rPr>
        <w:t>Historic England</w:t>
      </w:r>
      <w:r w:rsidR="001E1FC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E4F18">
        <w:rPr>
          <w:rFonts w:cstheme="minorHAnsi"/>
          <w:sz w:val="24"/>
          <w:szCs w:val="24"/>
          <w:shd w:val="clear" w:color="auto" w:fill="FFFFFF"/>
        </w:rPr>
        <w:t>claim that the North Arms has renewed plank doors with stone flat arches or wood lintel</w:t>
      </w:r>
      <w:r w:rsidR="00A43324">
        <w:rPr>
          <w:rFonts w:cstheme="minorHAnsi"/>
          <w:sz w:val="24"/>
          <w:szCs w:val="24"/>
          <w:shd w:val="clear" w:color="auto" w:fill="FFFFFF"/>
        </w:rPr>
        <w:t xml:space="preserve">s. There are </w:t>
      </w:r>
      <w:r w:rsidRPr="00BE4F18">
        <w:rPr>
          <w:rFonts w:cstheme="minorHAnsi"/>
          <w:sz w:val="24"/>
          <w:szCs w:val="24"/>
          <w:shd w:val="clear" w:color="auto" w:fill="FFFFFF"/>
        </w:rPr>
        <w:t xml:space="preserve">two imitation wood mullioned and transomed windows on the ground floor and two, originally three-light wood mullioned and transomed windows on the first floor, with renewed wood casements. </w:t>
      </w:r>
      <w:r w:rsidRPr="00BE4F18">
        <w:rPr>
          <w:rFonts w:cstheme="minorHAnsi"/>
          <w:i/>
          <w:sz w:val="24"/>
          <w:szCs w:val="24"/>
          <w:shd w:val="clear" w:color="auto" w:fill="FFFFFF"/>
        </w:rPr>
        <w:t>Historic England</w:t>
      </w:r>
      <w:r w:rsidRPr="00BE4F18">
        <w:rPr>
          <w:rFonts w:cstheme="minorHAnsi"/>
          <w:sz w:val="24"/>
          <w:szCs w:val="24"/>
          <w:shd w:val="clear" w:color="auto" w:fill="FFFFFF"/>
        </w:rPr>
        <w:t xml:space="preserve"> state that two roof dormers have three-light wood casements, there’s a stone coped gable on the left with moulded kneeler and an arris on the left chamfered up to the first floor. There is a sundial above the doorway and the right part of the main building has renewed casements and an imitation stone mullioned and transomed window with chamfered wood lintels. The interior has a fireplace with bressumer and chamfered beams.</w:t>
      </w:r>
    </w:p>
    <w:p w:rsidR="001102DF" w:rsidRDefault="001102DF">
      <w:pPr>
        <w:pStyle w:val="EndnoteText"/>
        <w:rPr>
          <w:rFonts w:cstheme="minorHAnsi"/>
          <w:sz w:val="24"/>
          <w:szCs w:val="24"/>
          <w:shd w:val="clear" w:color="auto" w:fill="FFFFFF"/>
        </w:rPr>
      </w:pPr>
    </w:p>
    <w:p w:rsidR="001102DF" w:rsidRPr="001102DF" w:rsidRDefault="001102DF" w:rsidP="001102DF">
      <w:pPr>
        <w:pStyle w:val="EndnoteText"/>
        <w:rPr>
          <w:rFonts w:cstheme="minorHAnsi"/>
          <w:sz w:val="24"/>
          <w:szCs w:val="24"/>
          <w:shd w:val="clear" w:color="auto" w:fill="FFFFFF"/>
        </w:rPr>
      </w:pPr>
      <w:r w:rsidRPr="001102DF">
        <w:rPr>
          <w:sz w:val="24"/>
          <w:szCs w:val="24"/>
        </w:rPr>
        <w:t xml:space="preserve">Historic England (2018) </w:t>
      </w:r>
      <w:r w:rsidRPr="001102DF">
        <w:rPr>
          <w:i/>
          <w:sz w:val="24"/>
          <w:szCs w:val="24"/>
        </w:rPr>
        <w:t>The North Arms Public House</w:t>
      </w:r>
      <w:r w:rsidRPr="001102DF">
        <w:rPr>
          <w:sz w:val="24"/>
          <w:szCs w:val="24"/>
        </w:rPr>
        <w:t xml:space="preserve">. Available at  </w:t>
      </w:r>
      <w:hyperlink r:id="rId1" w:history="1">
        <w:r w:rsidRPr="001102DF">
          <w:rPr>
            <w:rStyle w:val="Hyperlink"/>
            <w:sz w:val="24"/>
            <w:szCs w:val="24"/>
          </w:rPr>
          <w:t>https://historicengland.org.uk/listing/the-list/list-entry/1185033</w:t>
        </w:r>
      </w:hyperlink>
    </w:p>
    <w:p w:rsidR="001102DF" w:rsidRDefault="001102D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74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78B" w:rsidRDefault="00A85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F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578B" w:rsidRDefault="00A85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D2" w:rsidRDefault="00356AD2" w:rsidP="00850950">
      <w:pPr>
        <w:spacing w:after="0" w:line="240" w:lineRule="auto"/>
      </w:pPr>
      <w:r>
        <w:separator/>
      </w:r>
    </w:p>
  </w:footnote>
  <w:footnote w:type="continuationSeparator" w:id="0">
    <w:p w:rsidR="00356AD2" w:rsidRDefault="00356AD2" w:rsidP="00850950">
      <w:pPr>
        <w:spacing w:after="0" w:line="240" w:lineRule="auto"/>
      </w:pPr>
      <w:r>
        <w:continuationSeparator/>
      </w:r>
    </w:p>
  </w:footnote>
  <w:footnote w:id="1">
    <w:p w:rsidR="00850950" w:rsidRDefault="008509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6EC4">
        <w:t>Historic England (2018</w:t>
      </w:r>
      <w:r w:rsidR="00BD6961">
        <w:t xml:space="preserve">) </w:t>
      </w:r>
      <w:r w:rsidR="00BD6961" w:rsidRPr="00BD6961">
        <w:rPr>
          <w:i/>
        </w:rPr>
        <w:t>The North Arms Public House</w:t>
      </w:r>
      <w:r w:rsidR="00BD6961">
        <w:t xml:space="preserve">. Available at  </w:t>
      </w:r>
      <w:hyperlink r:id="rId1" w:history="1">
        <w:r w:rsidR="00EE6EC4" w:rsidRPr="00E964AA">
          <w:rPr>
            <w:rStyle w:val="Hyperlink"/>
          </w:rPr>
          <w:t>https://historicengland.org.uk/listing/the-list/list-entry/1185033</w:t>
        </w:r>
      </w:hyperlink>
      <w:r w:rsidR="00EE6EC4">
        <w:t xml:space="preserve"> </w:t>
      </w:r>
    </w:p>
  </w:footnote>
  <w:footnote w:id="2">
    <w:p w:rsidR="00850950" w:rsidRDefault="008509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3262" w:rsidRPr="002309ED">
        <w:rPr>
          <w:i/>
        </w:rPr>
        <w:t>A History of the County of Oxford: Volume 9, Bloxham Hundred</w:t>
      </w:r>
      <w:r w:rsidR="002309ED">
        <w:t xml:space="preserve"> (Oxford: Victoria County History, 1969) p.171</w:t>
      </w:r>
    </w:p>
  </w:footnote>
  <w:footnote w:id="3">
    <w:p w:rsidR="00A32E51" w:rsidRDefault="00A32E51">
      <w:pPr>
        <w:pStyle w:val="FootnoteText"/>
      </w:pPr>
      <w:r>
        <w:rPr>
          <w:rStyle w:val="FootnoteReference"/>
        </w:rPr>
        <w:footnoteRef/>
      </w:r>
      <w:r>
        <w:t xml:space="preserve"> Woolacott, M (2018), </w:t>
      </w:r>
      <w:r w:rsidRPr="00A32E51">
        <w:rPr>
          <w:i/>
        </w:rPr>
        <w:t>The Great Fire of Wroxton</w:t>
      </w:r>
      <w:r>
        <w:t xml:space="preserve"> available at </w:t>
      </w:r>
      <w:hyperlink r:id="rId2" w:history="1">
        <w:r w:rsidRPr="007D77AA">
          <w:rPr>
            <w:rStyle w:val="Hyperlink"/>
          </w:rPr>
          <w:t>http://www.wroxton.org.uk/village%20history.htm</w:t>
        </w:r>
      </w:hyperlink>
      <w:r>
        <w:t xml:space="preserve"> </w:t>
      </w:r>
    </w:p>
  </w:footnote>
  <w:footnote w:id="4">
    <w:p w:rsidR="00EE6EC4" w:rsidRDefault="00EE6EC4">
      <w:pPr>
        <w:pStyle w:val="FootnoteText"/>
      </w:pPr>
      <w:r>
        <w:rPr>
          <w:rStyle w:val="FootnoteReference"/>
        </w:rPr>
        <w:footnoteRef/>
      </w:r>
      <w:r>
        <w:t xml:space="preserve"> Lester, E, </w:t>
      </w:r>
      <w:r w:rsidRPr="00EE6EC4">
        <w:rPr>
          <w:i/>
        </w:rPr>
        <w:t>A Short History of Wroxton</w:t>
      </w:r>
      <w:r w:rsidR="00B21AF0">
        <w:t xml:space="preserve"> p.</w:t>
      </w:r>
      <w:r>
        <w:t>3</w:t>
      </w:r>
    </w:p>
  </w:footnote>
  <w:footnote w:id="5">
    <w:p w:rsidR="00CD63DC" w:rsidRDefault="00CD63DC">
      <w:pPr>
        <w:pStyle w:val="FootnoteText"/>
      </w:pPr>
      <w:r>
        <w:rPr>
          <w:rStyle w:val="FootnoteReference"/>
        </w:rPr>
        <w:footnoteRef/>
      </w:r>
      <w:r>
        <w:t xml:space="preserve"> Banbury Guardian, Thursday 25</w:t>
      </w:r>
      <w:r w:rsidRPr="00CD63DC">
        <w:rPr>
          <w:vertAlign w:val="superscript"/>
        </w:rPr>
        <w:t>th</w:t>
      </w:r>
      <w:r>
        <w:t xml:space="preserve"> July 1844</w:t>
      </w:r>
    </w:p>
  </w:footnote>
  <w:footnote w:id="6">
    <w:p w:rsidR="00CD63DC" w:rsidRDefault="00CD63D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7">
    <w:p w:rsidR="008F541A" w:rsidRDefault="008F541A">
      <w:pPr>
        <w:pStyle w:val="FootnoteText"/>
      </w:pPr>
      <w:r>
        <w:rPr>
          <w:rStyle w:val="FootnoteReference"/>
        </w:rPr>
        <w:footnoteRef/>
      </w:r>
      <w:r>
        <w:t xml:space="preserve"> Leamington Spa Courier, Saturday 31</w:t>
      </w:r>
      <w:r w:rsidRPr="008F541A">
        <w:rPr>
          <w:vertAlign w:val="superscript"/>
        </w:rPr>
        <w:t>st</w:t>
      </w:r>
      <w:r>
        <w:t xml:space="preserve"> July 1841</w:t>
      </w:r>
    </w:p>
  </w:footnote>
  <w:footnote w:id="8">
    <w:p w:rsidR="00E34D92" w:rsidRDefault="00E34D92">
      <w:pPr>
        <w:pStyle w:val="FootnoteText"/>
      </w:pPr>
      <w:r>
        <w:rPr>
          <w:rStyle w:val="FootnoteReference"/>
        </w:rPr>
        <w:footnoteRef/>
      </w:r>
      <w:r>
        <w:t xml:space="preserve"> Banbury Guardian, Thursday 14</w:t>
      </w:r>
      <w:r w:rsidRPr="00E34D92">
        <w:rPr>
          <w:vertAlign w:val="superscript"/>
        </w:rPr>
        <w:t>th</w:t>
      </w:r>
      <w:r>
        <w:t xml:space="preserve"> October 1852</w:t>
      </w:r>
    </w:p>
  </w:footnote>
  <w:footnote w:id="9">
    <w:p w:rsidR="00850950" w:rsidRDefault="008509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6EC4">
        <w:t xml:space="preserve">Historic England (2018) </w:t>
      </w:r>
      <w:r w:rsidR="00EE6EC4" w:rsidRPr="00BD6961">
        <w:rPr>
          <w:i/>
        </w:rPr>
        <w:t>The North Arms Public House</w:t>
      </w:r>
      <w:r w:rsidR="00EE6EC4">
        <w:t xml:space="preserve">. Available at  </w:t>
      </w:r>
      <w:hyperlink r:id="rId3" w:history="1">
        <w:r w:rsidR="00EE6EC4" w:rsidRPr="00E964AA">
          <w:rPr>
            <w:rStyle w:val="Hyperlink"/>
          </w:rPr>
          <w:t>https://historicengland.org.uk/listing/the-list/list-entry/1185033</w:t>
        </w:r>
      </w:hyperlink>
      <w:r w:rsidR="00EE6EC4">
        <w:t xml:space="preserve"> </w:t>
      </w:r>
    </w:p>
  </w:footnote>
  <w:footnote w:id="10">
    <w:p w:rsidR="00D92335" w:rsidRDefault="00D92335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11">
    <w:p w:rsidR="0099106A" w:rsidRDefault="0099106A">
      <w:pPr>
        <w:pStyle w:val="FootnoteText"/>
      </w:pPr>
      <w:r>
        <w:rPr>
          <w:rStyle w:val="FootnoteReference"/>
        </w:rPr>
        <w:footnoteRef/>
      </w:r>
      <w:r>
        <w:t xml:space="preserve"> Hopkins, Clare. “The North Arms.” Message to Andrew Rose. 3</w:t>
      </w:r>
      <w:r w:rsidRPr="00DE0048">
        <w:rPr>
          <w:vertAlign w:val="superscript"/>
        </w:rPr>
        <w:t>rd</w:t>
      </w:r>
      <w:r>
        <w:t xml:space="preserve"> August 2018. E-mail.</w:t>
      </w:r>
    </w:p>
  </w:footnote>
  <w:footnote w:id="12">
    <w:p w:rsidR="00DE0048" w:rsidRDefault="00DE0048">
      <w:pPr>
        <w:pStyle w:val="FootnoteText"/>
      </w:pPr>
      <w:r>
        <w:rPr>
          <w:rStyle w:val="FootnoteReference"/>
        </w:rPr>
        <w:footnoteRef/>
      </w:r>
      <w:r w:rsidR="0099106A">
        <w:t xml:space="preserve"> Ibid</w:t>
      </w:r>
    </w:p>
  </w:footnote>
  <w:footnote w:id="13">
    <w:p w:rsidR="00850950" w:rsidRDefault="00850950">
      <w:pPr>
        <w:pStyle w:val="FootnoteText"/>
      </w:pPr>
      <w:r>
        <w:rPr>
          <w:rStyle w:val="FootnoteReference"/>
        </w:rPr>
        <w:footnoteRef/>
      </w:r>
      <w:r>
        <w:t xml:space="preserve"> Nicola Sly, </w:t>
      </w:r>
      <w:r w:rsidRPr="00850950">
        <w:rPr>
          <w:i/>
        </w:rPr>
        <w:t>Oxfordshire Murders</w:t>
      </w:r>
      <w:r>
        <w:t xml:space="preserve"> (Stroud: The History Press, 2010) p.37-42</w:t>
      </w:r>
    </w:p>
  </w:footnote>
  <w:footnote w:id="14">
    <w:p w:rsidR="00CE1DCF" w:rsidRDefault="00CE1D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E5D72">
        <w:t>Oxford Chronicle and Reading Gazette, Saturday 19</w:t>
      </w:r>
      <w:r w:rsidR="00DE5D72" w:rsidRPr="00DE5D72">
        <w:rPr>
          <w:vertAlign w:val="superscript"/>
        </w:rPr>
        <w:t>th</w:t>
      </w:r>
      <w:r w:rsidR="00DE5D72">
        <w:t xml:space="preserve"> October, 1850</w:t>
      </w:r>
    </w:p>
  </w:footnote>
  <w:footnote w:id="15">
    <w:p w:rsidR="00E34D92" w:rsidRDefault="00E34D92">
      <w:pPr>
        <w:pStyle w:val="FootnoteText"/>
      </w:pPr>
      <w:r>
        <w:rPr>
          <w:rStyle w:val="FootnoteReference"/>
        </w:rPr>
        <w:footnoteRef/>
      </w:r>
      <w:r>
        <w:t xml:space="preserve"> Banbury Guardian, Thursday 15</w:t>
      </w:r>
      <w:r w:rsidRPr="00E34D92">
        <w:rPr>
          <w:vertAlign w:val="superscript"/>
        </w:rPr>
        <w:t>th</w:t>
      </w:r>
      <w:r>
        <w:t xml:space="preserve"> September 1853</w:t>
      </w:r>
    </w:p>
  </w:footnote>
  <w:footnote w:id="16">
    <w:p w:rsidR="005524BD" w:rsidRDefault="005524BD">
      <w:pPr>
        <w:pStyle w:val="FootnoteText"/>
      </w:pPr>
      <w:r>
        <w:rPr>
          <w:rStyle w:val="FootnoteReference"/>
        </w:rPr>
        <w:footnoteRef/>
      </w:r>
      <w:r>
        <w:t xml:space="preserve"> Oxford Chronicle and Reading Gazette, Saturday 22</w:t>
      </w:r>
      <w:r w:rsidRPr="005524BD">
        <w:rPr>
          <w:vertAlign w:val="superscript"/>
        </w:rPr>
        <w:t>nd</w:t>
      </w:r>
      <w:r>
        <w:t xml:space="preserve"> January, 1859</w:t>
      </w:r>
    </w:p>
  </w:footnote>
  <w:footnote w:id="17">
    <w:p w:rsidR="00084912" w:rsidRDefault="00084912">
      <w:pPr>
        <w:pStyle w:val="FootnoteText"/>
      </w:pPr>
      <w:r>
        <w:rPr>
          <w:rStyle w:val="FootnoteReference"/>
        </w:rPr>
        <w:footnoteRef/>
      </w:r>
      <w:r>
        <w:t xml:space="preserve"> Banbury Advertiser, Thursday 6</w:t>
      </w:r>
      <w:r w:rsidRPr="00084912">
        <w:rPr>
          <w:vertAlign w:val="superscript"/>
        </w:rPr>
        <w:t>th</w:t>
      </w:r>
      <w:r>
        <w:t xml:space="preserve"> December 1855</w:t>
      </w:r>
    </w:p>
  </w:footnote>
  <w:footnote w:id="18">
    <w:p w:rsidR="007403CA" w:rsidRDefault="007403CA">
      <w:pPr>
        <w:pStyle w:val="FootnoteText"/>
      </w:pPr>
      <w:r>
        <w:rPr>
          <w:rStyle w:val="FootnoteReference"/>
        </w:rPr>
        <w:footnoteRef/>
      </w:r>
      <w:r>
        <w:t xml:space="preserve"> Bicester Advertiser, Friday 5</w:t>
      </w:r>
      <w:r w:rsidRPr="007403CA">
        <w:rPr>
          <w:vertAlign w:val="superscript"/>
        </w:rPr>
        <w:t>th</w:t>
      </w:r>
      <w:r>
        <w:t xml:space="preserve"> January, 1866</w:t>
      </w:r>
    </w:p>
  </w:footnote>
  <w:footnote w:id="19">
    <w:p w:rsidR="00850950" w:rsidRDefault="008509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4513" w:rsidRPr="00424513">
        <w:rPr>
          <w:rFonts w:ascii="Calibri" w:hAnsi="Calibri" w:cs="Calibri"/>
        </w:rPr>
        <w:t>Oxfordshire Catholic Magazine, May 1933, Volume 1, No 5</w:t>
      </w:r>
    </w:p>
  </w:footnote>
  <w:footnote w:id="20">
    <w:p w:rsidR="007B52D6" w:rsidRDefault="007B52D6">
      <w:pPr>
        <w:pStyle w:val="FootnoteText"/>
      </w:pPr>
      <w:r>
        <w:rPr>
          <w:rStyle w:val="FootnoteReference"/>
        </w:rPr>
        <w:footnoteRef/>
      </w:r>
      <w:r>
        <w:t xml:space="preserve"> Banbury Advertiser, Thursday 1</w:t>
      </w:r>
      <w:r w:rsidRPr="007B52D6">
        <w:rPr>
          <w:vertAlign w:val="superscript"/>
        </w:rPr>
        <w:t>st</w:t>
      </w:r>
      <w:r w:rsidR="00E417B1">
        <w:t xml:space="preserve"> Ju</w:t>
      </w:r>
      <w:r>
        <w:t>ne, 1893</w:t>
      </w:r>
    </w:p>
  </w:footnote>
  <w:footnote w:id="21">
    <w:p w:rsidR="00E417B1" w:rsidRDefault="00E417B1">
      <w:pPr>
        <w:pStyle w:val="FootnoteText"/>
      </w:pPr>
      <w:r>
        <w:rPr>
          <w:rStyle w:val="FootnoteReference"/>
        </w:rPr>
        <w:footnoteRef/>
      </w:r>
      <w:r w:rsidR="002E5ADE">
        <w:t xml:space="preserve"> Banbury Advertiser, Thursday 2</w:t>
      </w:r>
      <w:r w:rsidR="002E5ADE" w:rsidRPr="002E5ADE">
        <w:rPr>
          <w:vertAlign w:val="superscript"/>
        </w:rPr>
        <w:t>nd</w:t>
      </w:r>
      <w:r w:rsidR="002E5ADE">
        <w:t xml:space="preserve"> June, 1921</w:t>
      </w:r>
    </w:p>
  </w:footnote>
  <w:footnote w:id="22">
    <w:p w:rsidR="00EB407C" w:rsidRDefault="00EB407C">
      <w:pPr>
        <w:pStyle w:val="FootnoteText"/>
      </w:pPr>
      <w:r>
        <w:rPr>
          <w:rStyle w:val="FootnoteReference"/>
        </w:rPr>
        <w:footnoteRef/>
      </w:r>
      <w:r>
        <w:t xml:space="preserve"> Banbury Guardian, Thursday 7</w:t>
      </w:r>
      <w:r w:rsidRPr="00EB407C">
        <w:rPr>
          <w:vertAlign w:val="superscript"/>
        </w:rPr>
        <w:t>th</w:t>
      </w:r>
      <w:r>
        <w:t xml:space="preserve"> June 1928</w:t>
      </w:r>
    </w:p>
  </w:footnote>
  <w:footnote w:id="23">
    <w:p w:rsidR="00EB407C" w:rsidRDefault="00EB407C">
      <w:pPr>
        <w:pStyle w:val="FootnoteText"/>
      </w:pPr>
      <w:r>
        <w:rPr>
          <w:rStyle w:val="FootnoteReference"/>
        </w:rPr>
        <w:footnoteRef/>
      </w:r>
      <w:r>
        <w:t xml:space="preserve"> Banbury Guardian, Thursday 16</w:t>
      </w:r>
      <w:r w:rsidRPr="00EB407C">
        <w:rPr>
          <w:vertAlign w:val="superscript"/>
        </w:rPr>
        <w:t>th</w:t>
      </w:r>
      <w:r>
        <w:t xml:space="preserve"> November 1950</w:t>
      </w:r>
    </w:p>
  </w:footnote>
  <w:footnote w:id="24">
    <w:p w:rsidR="00BE4F18" w:rsidRPr="00A8578B" w:rsidRDefault="00BE4F18" w:rsidP="0085245C">
      <w:pPr>
        <w:rPr>
          <w:sz w:val="20"/>
          <w:szCs w:val="20"/>
        </w:rPr>
      </w:pPr>
      <w:r w:rsidRPr="00A8578B">
        <w:rPr>
          <w:rStyle w:val="FootnoteReference"/>
          <w:sz w:val="20"/>
          <w:szCs w:val="20"/>
        </w:rPr>
        <w:footnoteRef/>
      </w:r>
      <w:r w:rsidR="0085245C" w:rsidRPr="00A8578B">
        <w:rPr>
          <w:sz w:val="20"/>
          <w:szCs w:val="20"/>
        </w:rPr>
        <w:t xml:space="preserve"> Ancestry.com (2013) UK City &amp; Counties Directories, 1776-</w:t>
      </w:r>
      <w:r w:rsidR="0085245C" w:rsidRPr="00A8578B">
        <w:rPr>
          <w:rFonts w:cstheme="minorHAnsi"/>
          <w:sz w:val="20"/>
          <w:szCs w:val="20"/>
        </w:rPr>
        <w:t xml:space="preserve">1946. Available at </w:t>
      </w:r>
      <w:hyperlink r:id="rId4" w:history="1">
        <w:r w:rsidR="0085245C" w:rsidRPr="00A8578B">
          <w:rPr>
            <w:rStyle w:val="Hyperlink"/>
            <w:rFonts w:cstheme="minorHAnsi"/>
            <w:sz w:val="20"/>
            <w:szCs w:val="20"/>
          </w:rPr>
          <w:t>https://bit.ly/2MrrWd9</w:t>
        </w:r>
      </w:hyperlink>
      <w:r w:rsidR="0085245C" w:rsidRPr="00A8578B">
        <w:rPr>
          <w:rFonts w:ascii="Helvetica" w:hAnsi="Helvetica"/>
          <w:color w:val="A3AAAE"/>
          <w:sz w:val="20"/>
          <w:szCs w:val="20"/>
        </w:rPr>
        <w:t xml:space="preserve"> </w:t>
      </w:r>
    </w:p>
  </w:footnote>
  <w:footnote w:id="25">
    <w:p w:rsidR="003D7621" w:rsidRDefault="003D7621" w:rsidP="003D7621">
      <w:pPr>
        <w:pStyle w:val="FootnoteText"/>
      </w:pPr>
      <w:r>
        <w:rPr>
          <w:rStyle w:val="FootnoteReference"/>
        </w:rPr>
        <w:footnoteRef/>
      </w:r>
      <w:r>
        <w:t xml:space="preserve"> Coventry Evening Telegraph, Saturday 14</w:t>
      </w:r>
      <w:r w:rsidRPr="004E181D">
        <w:rPr>
          <w:vertAlign w:val="superscript"/>
        </w:rPr>
        <w:t>th</w:t>
      </w:r>
      <w:r>
        <w:t xml:space="preserve"> April 1973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7D05"/>
    <w:multiLevelType w:val="hybridMultilevel"/>
    <w:tmpl w:val="B10A5D04"/>
    <w:lvl w:ilvl="0" w:tplc="6E900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72"/>
    <w:rsid w:val="000365D8"/>
    <w:rsid w:val="00084912"/>
    <w:rsid w:val="000D00A8"/>
    <w:rsid w:val="000E2195"/>
    <w:rsid w:val="001102DF"/>
    <w:rsid w:val="001B7753"/>
    <w:rsid w:val="001E1FC4"/>
    <w:rsid w:val="002276AF"/>
    <w:rsid w:val="002309ED"/>
    <w:rsid w:val="00285DA2"/>
    <w:rsid w:val="00291375"/>
    <w:rsid w:val="002E5ADE"/>
    <w:rsid w:val="002F3F0C"/>
    <w:rsid w:val="00356AD2"/>
    <w:rsid w:val="003D7621"/>
    <w:rsid w:val="00424513"/>
    <w:rsid w:val="00425572"/>
    <w:rsid w:val="004E181D"/>
    <w:rsid w:val="005240ED"/>
    <w:rsid w:val="005524BD"/>
    <w:rsid w:val="005A3262"/>
    <w:rsid w:val="005F57DF"/>
    <w:rsid w:val="006040A3"/>
    <w:rsid w:val="00655212"/>
    <w:rsid w:val="00664BB4"/>
    <w:rsid w:val="006C14AE"/>
    <w:rsid w:val="006F0A96"/>
    <w:rsid w:val="007403CA"/>
    <w:rsid w:val="00744660"/>
    <w:rsid w:val="00755FD5"/>
    <w:rsid w:val="007807EE"/>
    <w:rsid w:val="007B52D6"/>
    <w:rsid w:val="007C2469"/>
    <w:rsid w:val="00850950"/>
    <w:rsid w:val="0085245C"/>
    <w:rsid w:val="00852D56"/>
    <w:rsid w:val="00867D5F"/>
    <w:rsid w:val="008F541A"/>
    <w:rsid w:val="00985586"/>
    <w:rsid w:val="0099106A"/>
    <w:rsid w:val="00996ED6"/>
    <w:rsid w:val="00A32E51"/>
    <w:rsid w:val="00A43324"/>
    <w:rsid w:val="00A8578B"/>
    <w:rsid w:val="00A93C33"/>
    <w:rsid w:val="00A93EEE"/>
    <w:rsid w:val="00AA5EC8"/>
    <w:rsid w:val="00AB6A49"/>
    <w:rsid w:val="00AE4193"/>
    <w:rsid w:val="00B21AF0"/>
    <w:rsid w:val="00B21CBF"/>
    <w:rsid w:val="00BC393A"/>
    <w:rsid w:val="00BC655D"/>
    <w:rsid w:val="00BD6961"/>
    <w:rsid w:val="00BE4F18"/>
    <w:rsid w:val="00C432D4"/>
    <w:rsid w:val="00CB7472"/>
    <w:rsid w:val="00CC1994"/>
    <w:rsid w:val="00CD63DC"/>
    <w:rsid w:val="00CE1DCF"/>
    <w:rsid w:val="00D422FE"/>
    <w:rsid w:val="00D92335"/>
    <w:rsid w:val="00DE0048"/>
    <w:rsid w:val="00DE5D72"/>
    <w:rsid w:val="00E26A68"/>
    <w:rsid w:val="00E34D92"/>
    <w:rsid w:val="00E417B1"/>
    <w:rsid w:val="00E43C2C"/>
    <w:rsid w:val="00EB407C"/>
    <w:rsid w:val="00EC63F1"/>
    <w:rsid w:val="00EE6EC4"/>
    <w:rsid w:val="00EF1C9A"/>
    <w:rsid w:val="00EF3214"/>
    <w:rsid w:val="00F54DE8"/>
    <w:rsid w:val="00F72C7D"/>
    <w:rsid w:val="00FC4BDB"/>
    <w:rsid w:val="00FD6533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509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9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09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9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9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E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E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D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5C"/>
  </w:style>
  <w:style w:type="paragraph" w:styleId="Footer">
    <w:name w:val="footer"/>
    <w:basedOn w:val="Normal"/>
    <w:link w:val="FooterChar"/>
    <w:uiPriority w:val="99"/>
    <w:unhideWhenUsed/>
    <w:rsid w:val="0085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509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9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09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9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9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E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E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D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5C"/>
  </w:style>
  <w:style w:type="paragraph" w:styleId="Footer">
    <w:name w:val="footer"/>
    <w:basedOn w:val="Normal"/>
    <w:link w:val="FooterChar"/>
    <w:uiPriority w:val="99"/>
    <w:unhideWhenUsed/>
    <w:rsid w:val="0085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istoricengland.org.uk/listing/the-list/list-entry/118503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istoricengland.org.uk/listing/the-list/list-entry/1185033" TargetMode="External"/><Relationship Id="rId2" Type="http://schemas.openxmlformats.org/officeDocument/2006/relationships/hyperlink" Target="http://www.wroxton.org.uk/village%20history.htm" TargetMode="External"/><Relationship Id="rId1" Type="http://schemas.openxmlformats.org/officeDocument/2006/relationships/hyperlink" Target="https://historicengland.org.uk/listing/the-list/list-entry/1185033" TargetMode="External"/><Relationship Id="rId4" Type="http://schemas.openxmlformats.org/officeDocument/2006/relationships/hyperlink" Target="https://bit.ly/2MrrW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D0BC-3117-4232-96B7-69DA65F9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Rose</dc:creator>
  <cp:keywords/>
  <dc:description/>
  <cp:lastModifiedBy>Lucinda Babij</cp:lastModifiedBy>
  <cp:revision>1</cp:revision>
  <dcterms:created xsi:type="dcterms:W3CDTF">2018-08-28T13:03:00Z</dcterms:created>
  <dcterms:modified xsi:type="dcterms:W3CDTF">2019-07-02T13:39:00Z</dcterms:modified>
</cp:coreProperties>
</file>