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5A" w:rsidRDefault="003D5A5A" w:rsidP="003D5A5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May 2018 10:54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3D5A5A" w:rsidRDefault="003D5A5A" w:rsidP="003D5A5A"/>
    <w:p w:rsidR="003D5A5A" w:rsidRDefault="003D5A5A" w:rsidP="003D5A5A">
      <w:pPr>
        <w:pStyle w:val="NormalWeb"/>
      </w:pPr>
      <w:r>
        <w:rPr>
          <w:rFonts w:ascii="Verdana" w:hAnsi="Verdana"/>
          <w:sz w:val="20"/>
          <w:szCs w:val="20"/>
        </w:rPr>
        <w:t>Planning Application comments have been made. A summary of the comments is provided below.</w:t>
      </w:r>
    </w:p>
    <w:p w:rsidR="003D5A5A" w:rsidRDefault="003D5A5A" w:rsidP="003D5A5A">
      <w:pPr>
        <w:pStyle w:val="NormalWeb"/>
      </w:pPr>
      <w:r>
        <w:rPr>
          <w:rFonts w:ascii="Verdana" w:hAnsi="Verdana"/>
          <w:sz w:val="20"/>
          <w:szCs w:val="20"/>
        </w:rPr>
        <w:t xml:space="preserve">Comments were submitted at 10:53 AM on 18 May 2018 from Mr Philip </w:t>
      </w:r>
      <w:proofErr w:type="spellStart"/>
      <w:r>
        <w:rPr>
          <w:rFonts w:ascii="Verdana" w:hAnsi="Verdana"/>
          <w:sz w:val="20"/>
          <w:szCs w:val="20"/>
        </w:rPr>
        <w:t>Norstrand</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3D5A5A" w:rsidTr="003D5A5A">
        <w:trPr>
          <w:tblCellSpacing w:w="7" w:type="dxa"/>
        </w:trPr>
        <w:tc>
          <w:tcPr>
            <w:tcW w:w="0" w:type="auto"/>
            <w:gridSpan w:val="2"/>
            <w:tcMar>
              <w:top w:w="45" w:type="dxa"/>
              <w:left w:w="45" w:type="dxa"/>
              <w:bottom w:w="45" w:type="dxa"/>
              <w:right w:w="45" w:type="dxa"/>
            </w:tcMar>
            <w:vAlign w:val="center"/>
            <w:hideMark/>
          </w:tcPr>
          <w:p w:rsidR="003D5A5A" w:rsidRDefault="003D5A5A">
            <w:r>
              <w:rPr>
                <w:rFonts w:ascii="Verdana" w:hAnsi="Verdana"/>
                <w:b/>
                <w:bCs/>
              </w:rPr>
              <w:t>Application Summary</w:t>
            </w:r>
          </w:p>
        </w:tc>
      </w:tr>
      <w:tr w:rsidR="003D5A5A" w:rsidTr="003D5A5A">
        <w:trPr>
          <w:tblCellSpacing w:w="7" w:type="dxa"/>
        </w:trPr>
        <w:tc>
          <w:tcPr>
            <w:tcW w:w="1500" w:type="dxa"/>
            <w:tcMar>
              <w:top w:w="45" w:type="dxa"/>
              <w:left w:w="45" w:type="dxa"/>
              <w:bottom w:w="45" w:type="dxa"/>
              <w:right w:w="45" w:type="dxa"/>
            </w:tcMar>
            <w:vAlign w:val="center"/>
            <w:hideMark/>
          </w:tcPr>
          <w:p w:rsidR="003D5A5A" w:rsidRDefault="003D5A5A">
            <w:r>
              <w:rPr>
                <w:rFonts w:ascii="Verdana" w:hAnsi="Verdana"/>
                <w:b/>
                <w:bCs/>
                <w:sz w:val="20"/>
                <w:szCs w:val="20"/>
              </w:rPr>
              <w:t>Address:</w:t>
            </w:r>
          </w:p>
        </w:tc>
        <w:tc>
          <w:tcPr>
            <w:tcW w:w="0" w:type="auto"/>
            <w:tcMar>
              <w:top w:w="45" w:type="dxa"/>
              <w:left w:w="45" w:type="dxa"/>
              <w:bottom w:w="45" w:type="dxa"/>
              <w:right w:w="45" w:type="dxa"/>
            </w:tcMar>
            <w:vAlign w:val="center"/>
            <w:hideMark/>
          </w:tcPr>
          <w:p w:rsidR="003D5A5A" w:rsidRDefault="003D5A5A">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3D5A5A" w:rsidTr="003D5A5A">
        <w:trPr>
          <w:tblCellSpacing w:w="7" w:type="dxa"/>
        </w:trPr>
        <w:tc>
          <w:tcPr>
            <w:tcW w:w="0" w:type="auto"/>
            <w:tcMar>
              <w:top w:w="45" w:type="dxa"/>
              <w:left w:w="45" w:type="dxa"/>
              <w:bottom w:w="45" w:type="dxa"/>
              <w:right w:w="45" w:type="dxa"/>
            </w:tcMar>
            <w:vAlign w:val="center"/>
            <w:hideMark/>
          </w:tcPr>
          <w:p w:rsidR="003D5A5A" w:rsidRDefault="003D5A5A">
            <w:r>
              <w:rPr>
                <w:rFonts w:ascii="Verdana" w:hAnsi="Verdana"/>
                <w:b/>
                <w:bCs/>
                <w:sz w:val="20"/>
                <w:szCs w:val="20"/>
              </w:rPr>
              <w:t>Proposal:</w:t>
            </w:r>
          </w:p>
        </w:tc>
        <w:tc>
          <w:tcPr>
            <w:tcW w:w="0" w:type="auto"/>
            <w:tcMar>
              <w:top w:w="45" w:type="dxa"/>
              <w:left w:w="45" w:type="dxa"/>
              <w:bottom w:w="45" w:type="dxa"/>
              <w:right w:w="45" w:type="dxa"/>
            </w:tcMar>
            <w:vAlign w:val="center"/>
            <w:hideMark/>
          </w:tcPr>
          <w:p w:rsidR="003D5A5A" w:rsidRDefault="003D5A5A">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3D5A5A" w:rsidTr="003D5A5A">
        <w:trPr>
          <w:tblCellSpacing w:w="7" w:type="dxa"/>
        </w:trPr>
        <w:tc>
          <w:tcPr>
            <w:tcW w:w="0" w:type="auto"/>
            <w:tcMar>
              <w:top w:w="45" w:type="dxa"/>
              <w:left w:w="45" w:type="dxa"/>
              <w:bottom w:w="45" w:type="dxa"/>
              <w:right w:w="45" w:type="dxa"/>
            </w:tcMar>
            <w:vAlign w:val="center"/>
            <w:hideMark/>
          </w:tcPr>
          <w:p w:rsidR="003D5A5A" w:rsidRDefault="003D5A5A">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3D5A5A" w:rsidRDefault="003D5A5A">
            <w:r>
              <w:rPr>
                <w:rFonts w:ascii="Verdana" w:hAnsi="Verdana"/>
                <w:sz w:val="20"/>
                <w:szCs w:val="20"/>
              </w:rPr>
              <w:t xml:space="preserve">Andrew Lewis </w:t>
            </w:r>
          </w:p>
        </w:tc>
      </w:tr>
      <w:tr w:rsidR="003D5A5A" w:rsidTr="003D5A5A">
        <w:trPr>
          <w:tblCellSpacing w:w="7" w:type="dxa"/>
        </w:trPr>
        <w:tc>
          <w:tcPr>
            <w:tcW w:w="0" w:type="auto"/>
            <w:gridSpan w:val="2"/>
            <w:tcMar>
              <w:top w:w="45" w:type="dxa"/>
              <w:left w:w="45" w:type="dxa"/>
              <w:bottom w:w="45" w:type="dxa"/>
              <w:right w:w="45" w:type="dxa"/>
            </w:tcMar>
            <w:vAlign w:val="center"/>
            <w:hideMark/>
          </w:tcPr>
          <w:p w:rsidR="003D5A5A" w:rsidRDefault="003D5A5A">
            <w:hyperlink r:id="rId5" w:history="1">
              <w:r>
                <w:rPr>
                  <w:rStyle w:val="Hyperlink"/>
                  <w:rFonts w:ascii="Verdana" w:hAnsi="Verdana"/>
                  <w:sz w:val="20"/>
                  <w:szCs w:val="20"/>
                </w:rPr>
                <w:t>Click for further information</w:t>
              </w:r>
            </w:hyperlink>
          </w:p>
        </w:tc>
      </w:tr>
    </w:tbl>
    <w:p w:rsidR="003D5A5A" w:rsidRDefault="003D5A5A" w:rsidP="003D5A5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3D5A5A" w:rsidTr="003D5A5A">
        <w:trPr>
          <w:tblCellSpacing w:w="7" w:type="dxa"/>
        </w:trPr>
        <w:tc>
          <w:tcPr>
            <w:tcW w:w="0" w:type="auto"/>
            <w:gridSpan w:val="2"/>
            <w:tcMar>
              <w:top w:w="45" w:type="dxa"/>
              <w:left w:w="45" w:type="dxa"/>
              <w:bottom w:w="45" w:type="dxa"/>
              <w:right w:w="45" w:type="dxa"/>
            </w:tcMar>
            <w:vAlign w:val="center"/>
            <w:hideMark/>
          </w:tcPr>
          <w:p w:rsidR="003D5A5A" w:rsidRDefault="003D5A5A">
            <w:r>
              <w:rPr>
                <w:rFonts w:ascii="Verdana" w:hAnsi="Verdana"/>
                <w:b/>
                <w:bCs/>
              </w:rPr>
              <w:lastRenderedPageBreak/>
              <w:t>Customer Details</w:t>
            </w:r>
          </w:p>
        </w:tc>
      </w:tr>
      <w:tr w:rsidR="003D5A5A" w:rsidTr="003D5A5A">
        <w:trPr>
          <w:tblCellSpacing w:w="7" w:type="dxa"/>
        </w:trPr>
        <w:tc>
          <w:tcPr>
            <w:tcW w:w="1500" w:type="dxa"/>
            <w:tcMar>
              <w:top w:w="45" w:type="dxa"/>
              <w:left w:w="45" w:type="dxa"/>
              <w:bottom w:w="45" w:type="dxa"/>
              <w:right w:w="45" w:type="dxa"/>
            </w:tcMar>
            <w:vAlign w:val="center"/>
            <w:hideMark/>
          </w:tcPr>
          <w:p w:rsidR="003D5A5A" w:rsidRDefault="003D5A5A">
            <w:r>
              <w:rPr>
                <w:rFonts w:ascii="Verdana" w:hAnsi="Verdana"/>
                <w:b/>
                <w:bCs/>
                <w:sz w:val="20"/>
                <w:szCs w:val="20"/>
              </w:rPr>
              <w:t>Name:</w:t>
            </w:r>
          </w:p>
        </w:tc>
        <w:tc>
          <w:tcPr>
            <w:tcW w:w="0" w:type="auto"/>
            <w:tcMar>
              <w:top w:w="45" w:type="dxa"/>
              <w:left w:w="45" w:type="dxa"/>
              <w:bottom w:w="45" w:type="dxa"/>
              <w:right w:w="45" w:type="dxa"/>
            </w:tcMar>
            <w:vAlign w:val="center"/>
            <w:hideMark/>
          </w:tcPr>
          <w:p w:rsidR="003D5A5A" w:rsidRDefault="003D5A5A">
            <w:r>
              <w:rPr>
                <w:rFonts w:ascii="Verdana" w:hAnsi="Verdana"/>
                <w:sz w:val="20"/>
                <w:szCs w:val="20"/>
              </w:rPr>
              <w:t xml:space="preserve">Mr Philip </w:t>
            </w:r>
            <w:proofErr w:type="spellStart"/>
            <w:r>
              <w:rPr>
                <w:rFonts w:ascii="Verdana" w:hAnsi="Verdana"/>
                <w:sz w:val="20"/>
                <w:szCs w:val="20"/>
              </w:rPr>
              <w:t>Norstrand</w:t>
            </w:r>
            <w:proofErr w:type="spellEnd"/>
          </w:p>
        </w:tc>
      </w:tr>
      <w:tr w:rsidR="003D5A5A" w:rsidTr="003D5A5A">
        <w:trPr>
          <w:tblCellSpacing w:w="7" w:type="dxa"/>
        </w:trPr>
        <w:tc>
          <w:tcPr>
            <w:tcW w:w="0" w:type="auto"/>
            <w:tcMar>
              <w:top w:w="45" w:type="dxa"/>
              <w:left w:w="45" w:type="dxa"/>
              <w:bottom w:w="45" w:type="dxa"/>
              <w:right w:w="45" w:type="dxa"/>
            </w:tcMar>
            <w:vAlign w:val="center"/>
            <w:hideMark/>
          </w:tcPr>
          <w:p w:rsidR="003D5A5A" w:rsidRDefault="003D5A5A">
            <w:r>
              <w:rPr>
                <w:rFonts w:ascii="Verdana" w:hAnsi="Verdana"/>
                <w:b/>
                <w:bCs/>
                <w:sz w:val="20"/>
                <w:szCs w:val="20"/>
              </w:rPr>
              <w:t>Email:</w:t>
            </w:r>
          </w:p>
        </w:tc>
        <w:tc>
          <w:tcPr>
            <w:tcW w:w="0" w:type="auto"/>
            <w:tcMar>
              <w:top w:w="45" w:type="dxa"/>
              <w:left w:w="45" w:type="dxa"/>
              <w:bottom w:w="45" w:type="dxa"/>
              <w:right w:w="45" w:type="dxa"/>
            </w:tcMar>
            <w:vAlign w:val="center"/>
            <w:hideMark/>
          </w:tcPr>
          <w:p w:rsidR="003D5A5A" w:rsidRDefault="003D5A5A"/>
        </w:tc>
      </w:tr>
      <w:tr w:rsidR="003D5A5A" w:rsidTr="003D5A5A">
        <w:trPr>
          <w:tblCellSpacing w:w="7" w:type="dxa"/>
        </w:trPr>
        <w:tc>
          <w:tcPr>
            <w:tcW w:w="0" w:type="auto"/>
            <w:tcMar>
              <w:top w:w="45" w:type="dxa"/>
              <w:left w:w="45" w:type="dxa"/>
              <w:bottom w:w="45" w:type="dxa"/>
              <w:right w:w="45" w:type="dxa"/>
            </w:tcMar>
            <w:vAlign w:val="center"/>
            <w:hideMark/>
          </w:tcPr>
          <w:p w:rsidR="003D5A5A" w:rsidRDefault="003D5A5A">
            <w:r>
              <w:rPr>
                <w:rFonts w:ascii="Verdana" w:hAnsi="Verdana"/>
                <w:b/>
                <w:bCs/>
                <w:sz w:val="20"/>
                <w:szCs w:val="20"/>
              </w:rPr>
              <w:t>Address:</w:t>
            </w:r>
          </w:p>
        </w:tc>
        <w:tc>
          <w:tcPr>
            <w:tcW w:w="0" w:type="auto"/>
            <w:tcMar>
              <w:top w:w="45" w:type="dxa"/>
              <w:left w:w="45" w:type="dxa"/>
              <w:bottom w:w="45" w:type="dxa"/>
              <w:right w:w="45" w:type="dxa"/>
            </w:tcMar>
            <w:vAlign w:val="center"/>
            <w:hideMark/>
          </w:tcPr>
          <w:p w:rsidR="003D5A5A" w:rsidRDefault="003D5A5A">
            <w:r>
              <w:rPr>
                <w:rFonts w:ascii="Verdana" w:hAnsi="Verdana"/>
                <w:sz w:val="20"/>
                <w:szCs w:val="20"/>
              </w:rPr>
              <w:t xml:space="preserve">3 Raven Close, Upper </w:t>
            </w:r>
            <w:proofErr w:type="spellStart"/>
            <w:r>
              <w:rPr>
                <w:rFonts w:ascii="Verdana" w:hAnsi="Verdana"/>
                <w:sz w:val="20"/>
                <w:szCs w:val="20"/>
              </w:rPr>
              <w:t>Heyford</w:t>
            </w:r>
            <w:proofErr w:type="spellEnd"/>
            <w:r>
              <w:rPr>
                <w:rFonts w:ascii="Verdana" w:hAnsi="Verdana"/>
                <w:sz w:val="20"/>
                <w:szCs w:val="20"/>
              </w:rPr>
              <w:t>, Bicester OX25 5AN</w:t>
            </w:r>
          </w:p>
        </w:tc>
      </w:tr>
    </w:tbl>
    <w:p w:rsidR="003D5A5A" w:rsidRDefault="003D5A5A" w:rsidP="003D5A5A"/>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3D5A5A" w:rsidTr="003D5A5A">
        <w:trPr>
          <w:tblCellSpacing w:w="7" w:type="dxa"/>
        </w:trPr>
        <w:tc>
          <w:tcPr>
            <w:tcW w:w="0" w:type="auto"/>
            <w:gridSpan w:val="2"/>
            <w:tcMar>
              <w:top w:w="45" w:type="dxa"/>
              <w:left w:w="45" w:type="dxa"/>
              <w:bottom w:w="45" w:type="dxa"/>
              <w:right w:w="45" w:type="dxa"/>
            </w:tcMar>
            <w:vAlign w:val="center"/>
            <w:hideMark/>
          </w:tcPr>
          <w:p w:rsidR="003D5A5A" w:rsidRDefault="003D5A5A">
            <w:r>
              <w:rPr>
                <w:rFonts w:ascii="Verdana" w:hAnsi="Verdana"/>
                <w:b/>
                <w:bCs/>
              </w:rPr>
              <w:t>Comments Details</w:t>
            </w:r>
          </w:p>
        </w:tc>
      </w:tr>
      <w:tr w:rsidR="003D5A5A" w:rsidTr="003D5A5A">
        <w:trPr>
          <w:tblCellSpacing w:w="7" w:type="dxa"/>
        </w:trPr>
        <w:tc>
          <w:tcPr>
            <w:tcW w:w="2025" w:type="dxa"/>
            <w:tcMar>
              <w:top w:w="45" w:type="dxa"/>
              <w:left w:w="45" w:type="dxa"/>
              <w:bottom w:w="45" w:type="dxa"/>
              <w:right w:w="45" w:type="dxa"/>
            </w:tcMar>
            <w:vAlign w:val="center"/>
            <w:hideMark/>
          </w:tcPr>
          <w:p w:rsidR="003D5A5A" w:rsidRDefault="003D5A5A">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3D5A5A" w:rsidRDefault="003D5A5A">
            <w:r>
              <w:rPr>
                <w:rFonts w:ascii="Verdana" w:hAnsi="Verdana"/>
                <w:sz w:val="20"/>
                <w:szCs w:val="20"/>
              </w:rPr>
              <w:t>Neighbour</w:t>
            </w:r>
          </w:p>
        </w:tc>
      </w:tr>
      <w:tr w:rsidR="003D5A5A" w:rsidTr="003D5A5A">
        <w:trPr>
          <w:tblCellSpacing w:w="7" w:type="dxa"/>
        </w:trPr>
        <w:tc>
          <w:tcPr>
            <w:tcW w:w="0" w:type="auto"/>
            <w:tcMar>
              <w:top w:w="45" w:type="dxa"/>
              <w:left w:w="45" w:type="dxa"/>
              <w:bottom w:w="45" w:type="dxa"/>
              <w:right w:w="45" w:type="dxa"/>
            </w:tcMar>
            <w:vAlign w:val="center"/>
            <w:hideMark/>
          </w:tcPr>
          <w:p w:rsidR="003D5A5A" w:rsidRDefault="003D5A5A">
            <w:r>
              <w:rPr>
                <w:rFonts w:ascii="Verdana" w:hAnsi="Verdana"/>
                <w:b/>
                <w:bCs/>
                <w:sz w:val="20"/>
                <w:szCs w:val="20"/>
              </w:rPr>
              <w:t>Stance:</w:t>
            </w:r>
          </w:p>
        </w:tc>
        <w:tc>
          <w:tcPr>
            <w:tcW w:w="0" w:type="auto"/>
            <w:tcMar>
              <w:top w:w="45" w:type="dxa"/>
              <w:left w:w="45" w:type="dxa"/>
              <w:bottom w:w="45" w:type="dxa"/>
              <w:right w:w="45" w:type="dxa"/>
            </w:tcMar>
            <w:vAlign w:val="center"/>
            <w:hideMark/>
          </w:tcPr>
          <w:p w:rsidR="003D5A5A" w:rsidRDefault="003D5A5A">
            <w:r>
              <w:rPr>
                <w:rFonts w:ascii="Verdana" w:hAnsi="Verdana"/>
                <w:sz w:val="20"/>
                <w:szCs w:val="20"/>
              </w:rPr>
              <w:t>Customer made comments in support of the Planning Application</w:t>
            </w:r>
          </w:p>
        </w:tc>
      </w:tr>
      <w:tr w:rsidR="003D5A5A" w:rsidTr="003D5A5A">
        <w:trPr>
          <w:tblCellSpacing w:w="7" w:type="dxa"/>
        </w:trPr>
        <w:tc>
          <w:tcPr>
            <w:tcW w:w="0" w:type="auto"/>
            <w:tcMar>
              <w:top w:w="45" w:type="dxa"/>
              <w:left w:w="45" w:type="dxa"/>
              <w:bottom w:w="45" w:type="dxa"/>
              <w:right w:w="45" w:type="dxa"/>
            </w:tcMar>
            <w:hideMark/>
          </w:tcPr>
          <w:p w:rsidR="003D5A5A" w:rsidRDefault="003D5A5A">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3D5A5A" w:rsidRDefault="003D5A5A">
            <w:pPr>
              <w:rPr>
                <w:rFonts w:eastAsia="Times New Roman"/>
                <w:sz w:val="20"/>
                <w:szCs w:val="20"/>
              </w:rPr>
            </w:pPr>
          </w:p>
        </w:tc>
      </w:tr>
      <w:tr w:rsidR="003D5A5A" w:rsidTr="003D5A5A">
        <w:trPr>
          <w:tblCellSpacing w:w="7" w:type="dxa"/>
        </w:trPr>
        <w:tc>
          <w:tcPr>
            <w:tcW w:w="0" w:type="auto"/>
            <w:tcMar>
              <w:top w:w="45" w:type="dxa"/>
              <w:left w:w="45" w:type="dxa"/>
              <w:bottom w:w="45" w:type="dxa"/>
              <w:right w:w="45" w:type="dxa"/>
            </w:tcMar>
            <w:hideMark/>
          </w:tcPr>
          <w:p w:rsidR="003D5A5A" w:rsidRDefault="003D5A5A">
            <w:r>
              <w:rPr>
                <w:rFonts w:ascii="Verdana" w:hAnsi="Verdana"/>
                <w:b/>
                <w:bCs/>
                <w:sz w:val="20"/>
                <w:szCs w:val="20"/>
              </w:rPr>
              <w:t>Comments:</w:t>
            </w:r>
          </w:p>
        </w:tc>
        <w:tc>
          <w:tcPr>
            <w:tcW w:w="0" w:type="auto"/>
            <w:tcMar>
              <w:top w:w="45" w:type="dxa"/>
              <w:left w:w="45" w:type="dxa"/>
              <w:bottom w:w="45" w:type="dxa"/>
              <w:right w:w="45" w:type="dxa"/>
            </w:tcMar>
            <w:vAlign w:val="center"/>
            <w:hideMark/>
          </w:tcPr>
          <w:p w:rsidR="003D5A5A" w:rsidRDefault="003D5A5A">
            <w:r>
              <w:rPr>
                <w:rFonts w:ascii="Verdana" w:hAnsi="Verdana"/>
                <w:sz w:val="20"/>
                <w:szCs w:val="20"/>
              </w:rPr>
              <w:t xml:space="preserve">Overall the proposed </w:t>
            </w:r>
            <w:proofErr w:type="spellStart"/>
            <w:r>
              <w:rPr>
                <w:rFonts w:ascii="Verdana" w:hAnsi="Verdana"/>
                <w:sz w:val="20"/>
                <w:szCs w:val="20"/>
              </w:rPr>
              <w:t>masterplan</w:t>
            </w:r>
            <w:proofErr w:type="spellEnd"/>
            <w:r>
              <w:rPr>
                <w:rFonts w:ascii="Verdana" w:hAnsi="Verdana"/>
                <w:sz w:val="20"/>
                <w:szCs w:val="20"/>
              </w:rPr>
              <w:t xml:space="preserve"> for </w:t>
            </w:r>
            <w:proofErr w:type="spellStart"/>
            <w:r>
              <w:rPr>
                <w:rFonts w:ascii="Verdana" w:hAnsi="Verdana"/>
                <w:sz w:val="20"/>
                <w:szCs w:val="20"/>
              </w:rPr>
              <w:t>Heyford</w:t>
            </w:r>
            <w:proofErr w:type="spellEnd"/>
            <w:r>
              <w:rPr>
                <w:rFonts w:ascii="Verdana" w:hAnsi="Verdana"/>
                <w:sz w:val="20"/>
                <w:szCs w:val="20"/>
              </w:rPr>
              <w:t xml:space="preserve"> Park is excellent. The proposals will create employment opportunities for the local community, add valuable amenities, and provide much-needed additional housing. At the same time, the proposals will activate the cold war heritage of the area by making key features much more accessible, which will benefit the local community and visitors interested in the history of the area. </w:t>
            </w:r>
            <w:r>
              <w:rPr>
                <w:rFonts w:ascii="Verdana" w:hAnsi="Verdana"/>
                <w:sz w:val="20"/>
                <w:szCs w:val="20"/>
              </w:rPr>
              <w:br/>
            </w:r>
            <w:r>
              <w:rPr>
                <w:rFonts w:ascii="Verdana" w:hAnsi="Verdana"/>
                <w:sz w:val="20"/>
                <w:szCs w:val="20"/>
              </w:rPr>
              <w:br/>
              <w:t xml:space="preserve">On the basis of these clear benefits the plan should be approved. </w:t>
            </w:r>
            <w:r>
              <w:rPr>
                <w:rFonts w:ascii="Verdana" w:hAnsi="Verdana"/>
                <w:sz w:val="20"/>
                <w:szCs w:val="20"/>
              </w:rPr>
              <w:br/>
            </w:r>
            <w:r>
              <w:rPr>
                <w:rFonts w:ascii="Verdana" w:hAnsi="Verdana"/>
                <w:sz w:val="20"/>
                <w:szCs w:val="20"/>
              </w:rPr>
              <w:br/>
              <w:t xml:space="preserve">The approval of the </w:t>
            </w:r>
            <w:proofErr w:type="spellStart"/>
            <w:r>
              <w:rPr>
                <w:rFonts w:ascii="Verdana" w:hAnsi="Verdana"/>
                <w:sz w:val="20"/>
                <w:szCs w:val="20"/>
              </w:rPr>
              <w:t>masterplan</w:t>
            </w:r>
            <w:proofErr w:type="spellEnd"/>
            <w:r>
              <w:rPr>
                <w:rFonts w:ascii="Verdana" w:hAnsi="Verdana"/>
                <w:sz w:val="20"/>
                <w:szCs w:val="20"/>
              </w:rPr>
              <w:t xml:space="preserve"> also presents an opportunity to address the specific challenges related to the area of land labelled "Parcel 17" (the field located to the North of the sewage works)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Parcel 17 is currently an actively farmed field, located near the Eastern entrance to the area. The field is directly visible from Camp Road, Hart Walk, Wellington Road, Raven Close, Wellesley Close, Williams Road, </w:t>
            </w:r>
            <w:proofErr w:type="spellStart"/>
            <w:r>
              <w:rPr>
                <w:rFonts w:ascii="Verdana" w:hAnsi="Verdana"/>
                <w:sz w:val="20"/>
                <w:szCs w:val="20"/>
              </w:rPr>
              <w:t>Heyford</w:t>
            </w:r>
            <w:proofErr w:type="spellEnd"/>
            <w:r>
              <w:rPr>
                <w:rFonts w:ascii="Verdana" w:hAnsi="Verdana"/>
                <w:sz w:val="20"/>
                <w:szCs w:val="20"/>
              </w:rPr>
              <w:t xml:space="preserve"> Park Free School, the Duvall Park Homes area, the Village Green, and from a number of properties near the field. In this way, the field is today a significant asset for the local community, and significantly contributes to maintaining the rural character of the area.</w:t>
            </w:r>
            <w:r>
              <w:rPr>
                <w:rFonts w:ascii="Verdana" w:hAnsi="Verdana"/>
                <w:sz w:val="20"/>
                <w:szCs w:val="20"/>
              </w:rPr>
              <w:br/>
            </w:r>
            <w:r>
              <w:rPr>
                <w:rFonts w:ascii="Verdana" w:hAnsi="Verdana"/>
                <w:sz w:val="20"/>
                <w:szCs w:val="20"/>
              </w:rPr>
              <w:br/>
              <w:t>In spite of being a valuable "greenfield" asset, Parcel 17 was earmarked for development in the 2015 Cherwell local plan. As per the local plan, Parcel 17 was "allocated in the context of meeting the full objectively assessed housing needs of the District".</w:t>
            </w:r>
            <w:r>
              <w:rPr>
                <w:rFonts w:ascii="Verdana" w:hAnsi="Verdana"/>
                <w:sz w:val="20"/>
                <w:szCs w:val="20"/>
              </w:rPr>
              <w:br/>
            </w:r>
            <w:r>
              <w:rPr>
                <w:rFonts w:ascii="Verdana" w:hAnsi="Verdana"/>
                <w:sz w:val="20"/>
                <w:szCs w:val="20"/>
              </w:rPr>
              <w:br/>
              <w:t>Subsequent events have however demonstrated that the benefits which were foreseen when the field was earmarked for development in the 2015 local plan would in fact be significantly less than expected:</w:t>
            </w:r>
            <w:r>
              <w:rPr>
                <w:rFonts w:ascii="Verdana" w:hAnsi="Verdana"/>
                <w:sz w:val="20"/>
                <w:szCs w:val="20"/>
              </w:rPr>
              <w:br/>
            </w:r>
            <w:r>
              <w:rPr>
                <w:rFonts w:ascii="Verdana" w:hAnsi="Verdana"/>
                <w:sz w:val="20"/>
                <w:szCs w:val="20"/>
              </w:rPr>
              <w:br/>
              <w:t xml:space="preserve">1) Alternative "brownfield" development land on </w:t>
            </w:r>
            <w:proofErr w:type="spellStart"/>
            <w:r>
              <w:rPr>
                <w:rFonts w:ascii="Verdana" w:hAnsi="Verdana"/>
                <w:sz w:val="20"/>
                <w:szCs w:val="20"/>
              </w:rPr>
              <w:t>Heyford</w:t>
            </w:r>
            <w:proofErr w:type="spellEnd"/>
            <w:r>
              <w:rPr>
                <w:rFonts w:ascii="Verdana" w:hAnsi="Verdana"/>
                <w:sz w:val="20"/>
                <w:szCs w:val="20"/>
              </w:rPr>
              <w:t xml:space="preserve"> Park has been identified in the </w:t>
            </w:r>
            <w:proofErr w:type="spellStart"/>
            <w:r>
              <w:rPr>
                <w:rFonts w:ascii="Verdana" w:hAnsi="Verdana"/>
                <w:sz w:val="20"/>
                <w:szCs w:val="20"/>
              </w:rPr>
              <w:t>masterplan</w:t>
            </w:r>
            <w:proofErr w:type="spellEnd"/>
            <w:r>
              <w:rPr>
                <w:rFonts w:ascii="Verdana" w:hAnsi="Verdana"/>
                <w:sz w:val="20"/>
                <w:szCs w:val="20"/>
              </w:rPr>
              <w:t xml:space="preserve">. At the time </w:t>
            </w:r>
            <w:r>
              <w:rPr>
                <w:rFonts w:ascii="Verdana" w:hAnsi="Verdana"/>
                <w:sz w:val="20"/>
                <w:szCs w:val="20"/>
              </w:rPr>
              <w:lastRenderedPageBreak/>
              <w:t xml:space="preserve">the local plan was approved, no further development of brownfield land was foreseen. The new master plan includes proposals for development of a number of brownfield areas, which will provide housing far in excess of the approximately 200 houses which were originally believed to be required on Parcel 17. In other words, the new </w:t>
            </w:r>
            <w:proofErr w:type="spellStart"/>
            <w:r>
              <w:rPr>
                <w:rFonts w:ascii="Verdana" w:hAnsi="Verdana"/>
                <w:sz w:val="20"/>
                <w:szCs w:val="20"/>
              </w:rPr>
              <w:t>masterplan</w:t>
            </w:r>
            <w:proofErr w:type="spellEnd"/>
            <w:r>
              <w:rPr>
                <w:rFonts w:ascii="Verdana" w:hAnsi="Verdana"/>
                <w:sz w:val="20"/>
                <w:szCs w:val="20"/>
              </w:rPr>
              <w:t xml:space="preserve"> will enable the area to exceed its previously planned contribution to meeting the "full objectively assessed housing needs of the District" without having to develop this field. </w:t>
            </w:r>
            <w:r>
              <w:rPr>
                <w:rFonts w:ascii="Verdana" w:hAnsi="Verdana"/>
                <w:sz w:val="20"/>
                <w:szCs w:val="20"/>
              </w:rPr>
              <w:br/>
            </w:r>
            <w:r>
              <w:rPr>
                <w:rFonts w:ascii="Verdana" w:hAnsi="Verdana"/>
                <w:sz w:val="20"/>
                <w:szCs w:val="20"/>
              </w:rPr>
              <w:br/>
              <w:t xml:space="preserve">2) The detailed analysis in the </w:t>
            </w:r>
            <w:proofErr w:type="spellStart"/>
            <w:r>
              <w:rPr>
                <w:rFonts w:ascii="Verdana" w:hAnsi="Verdana"/>
                <w:sz w:val="20"/>
                <w:szCs w:val="20"/>
              </w:rPr>
              <w:t>masterplan</w:t>
            </w:r>
            <w:proofErr w:type="spellEnd"/>
            <w:r>
              <w:rPr>
                <w:rFonts w:ascii="Verdana" w:hAnsi="Verdana"/>
                <w:sz w:val="20"/>
                <w:szCs w:val="20"/>
              </w:rPr>
              <w:t xml:space="preserve"> demonstrates that the benefits (in terms of housing supply) of developing Parcel 17 are much smaller than originally foreseen. Due to its proximity to the sewage works, approximately 70% of the field is unsuitable for development. As a result, the number of houses which can be built on the field is only around 60. In other words, the benefit (in terms of housing supply) of developing this field are now less than one third of the benefits foreseen when the 2015 local plan was developed.</w:t>
            </w:r>
            <w:r>
              <w:rPr>
                <w:rFonts w:ascii="Verdana" w:hAnsi="Verdana"/>
                <w:sz w:val="20"/>
                <w:szCs w:val="20"/>
              </w:rPr>
              <w:br/>
            </w:r>
            <w:r>
              <w:rPr>
                <w:rFonts w:ascii="Verdana" w:hAnsi="Verdana"/>
                <w:sz w:val="20"/>
                <w:szCs w:val="20"/>
              </w:rPr>
              <w:br/>
              <w:t>3) The community engagement events conducted to date by Dorchester Group have also demonstrated unanimous local opposition to the "greenfield" development of Parcel 17 (also known as the area south of Field Views/Hart Walk). Please refer to sections 4.31 to 4.33 in the "Report of Community Engagement" for a summary of community concerns.</w:t>
            </w:r>
            <w:r>
              <w:rPr>
                <w:rFonts w:ascii="Verdana" w:hAnsi="Verdana"/>
                <w:sz w:val="20"/>
                <w:szCs w:val="20"/>
              </w:rPr>
              <w:br/>
            </w:r>
            <w:r>
              <w:rPr>
                <w:rFonts w:ascii="Verdana" w:hAnsi="Verdana"/>
                <w:sz w:val="20"/>
                <w:szCs w:val="20"/>
              </w:rPr>
              <w:br/>
              <w:t xml:space="preserve">In summary, the new </w:t>
            </w:r>
            <w:proofErr w:type="spellStart"/>
            <w:r>
              <w:rPr>
                <w:rFonts w:ascii="Verdana" w:hAnsi="Verdana"/>
                <w:sz w:val="20"/>
                <w:szCs w:val="20"/>
              </w:rPr>
              <w:t>masterplan</w:t>
            </w:r>
            <w:proofErr w:type="spellEnd"/>
            <w:r>
              <w:rPr>
                <w:rFonts w:ascii="Verdana" w:hAnsi="Verdana"/>
                <w:sz w:val="20"/>
                <w:szCs w:val="20"/>
              </w:rPr>
              <w:t xml:space="preserve"> will enable </w:t>
            </w:r>
            <w:proofErr w:type="spellStart"/>
            <w:r>
              <w:rPr>
                <w:rFonts w:ascii="Verdana" w:hAnsi="Verdana"/>
                <w:sz w:val="20"/>
                <w:szCs w:val="20"/>
              </w:rPr>
              <w:t>Heyford</w:t>
            </w:r>
            <w:proofErr w:type="spellEnd"/>
            <w:r>
              <w:rPr>
                <w:rFonts w:ascii="Verdana" w:hAnsi="Verdana"/>
                <w:sz w:val="20"/>
                <w:szCs w:val="20"/>
              </w:rPr>
              <w:t xml:space="preserve"> Park to make an even greater contribution to meeting Cherwell's housing needs without having to develop Parcel 17; the benefits of developing Parcel 17 are much less than previously foreseen; and the local community is strongly opposed to this element of the master plan. Parcel 17 should remain an actively farmed field for the benefit of the local community, and should therefore be excluded from further development plans for the area.</w:t>
            </w:r>
            <w:r>
              <w:rPr>
                <w:rFonts w:ascii="Verdana" w:hAnsi="Verdana"/>
                <w:sz w:val="20"/>
                <w:szCs w:val="20"/>
              </w:rPr>
              <w:br/>
            </w:r>
            <w:r>
              <w:rPr>
                <w:rFonts w:ascii="Verdana" w:hAnsi="Verdana"/>
                <w:sz w:val="20"/>
                <w:szCs w:val="20"/>
              </w:rPr>
              <w:br/>
              <w:t xml:space="preserve">With this important change the proposed </w:t>
            </w:r>
            <w:proofErr w:type="spellStart"/>
            <w:r>
              <w:rPr>
                <w:rFonts w:ascii="Verdana" w:hAnsi="Verdana"/>
                <w:sz w:val="20"/>
                <w:szCs w:val="20"/>
              </w:rPr>
              <w:t>masterplan</w:t>
            </w:r>
            <w:proofErr w:type="spellEnd"/>
            <w:r>
              <w:rPr>
                <w:rFonts w:ascii="Verdana" w:hAnsi="Verdana"/>
                <w:sz w:val="20"/>
                <w:szCs w:val="20"/>
              </w:rPr>
              <w:t xml:space="preserve"> should be approved.</w:t>
            </w:r>
          </w:p>
        </w:tc>
      </w:tr>
    </w:tbl>
    <w:p w:rsidR="003D5A5A" w:rsidRDefault="003D5A5A" w:rsidP="003D5A5A">
      <w:pPr>
        <w:spacing w:after="240"/>
      </w:pPr>
    </w:p>
    <w:p w:rsidR="003D5A5A" w:rsidRDefault="003D5A5A" w:rsidP="003D5A5A">
      <w:r>
        <w:t xml:space="preserve">This e-mail (including any attachments) may be confidential and may contain legally privileged information. You should not disclose its contents to any other person. If you are not the intended recipient, please notify the sender immediately. </w:t>
      </w:r>
    </w:p>
    <w:p w:rsidR="003D5A5A" w:rsidRDefault="003D5A5A" w:rsidP="003D5A5A"/>
    <w:p w:rsidR="003D5A5A" w:rsidRDefault="003D5A5A" w:rsidP="003D5A5A">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3D5A5A" w:rsidRDefault="003D5A5A" w:rsidP="003D5A5A"/>
    <w:p w:rsidR="003D5A5A" w:rsidRDefault="003D5A5A" w:rsidP="003D5A5A">
      <w:r>
        <w:lastRenderedPageBreak/>
        <w:t xml:space="preserve">Unless expressly stated otherwise, the contents of this e-mail represent only the views of the sender and does not impose any legal obligation upon the Council or commit the Council to any course of action. </w:t>
      </w:r>
    </w:p>
    <w:p w:rsidR="003D5A5A" w:rsidRDefault="003D5A5A" w:rsidP="003D5A5A">
      <w:pPr>
        <w:spacing w:after="240"/>
        <w:rPr>
          <w:rFonts w:eastAsia="Times New Roman"/>
        </w:rPr>
      </w:pPr>
    </w:p>
    <w:p w:rsidR="003D5A5A" w:rsidRDefault="003D5A5A" w:rsidP="003D5A5A">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D5A5A" w:rsidRDefault="003D5A5A" w:rsidP="003D5A5A">
      <w:pPr>
        <w:rPr>
          <w:rFonts w:eastAsia="Times New Roman"/>
        </w:rPr>
      </w:pPr>
    </w:p>
    <w:p w:rsidR="003D5A5A" w:rsidRDefault="003D5A5A" w:rsidP="003D5A5A">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D5A5A" w:rsidRDefault="003D5A5A" w:rsidP="003D5A5A">
      <w:pPr>
        <w:rPr>
          <w:rFonts w:eastAsia="Times New Roman"/>
        </w:rPr>
      </w:pPr>
    </w:p>
    <w:p w:rsidR="003D5A5A" w:rsidRDefault="003D5A5A" w:rsidP="003D5A5A">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Default="00784DE0"/>
    <w:sectPr w:rsidR="00784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2612CB"/>
    <w:rsid w:val="003D5A5A"/>
    <w:rsid w:val="00535676"/>
    <w:rsid w:val="006C1101"/>
    <w:rsid w:val="00784DE0"/>
    <w:rsid w:val="00A06872"/>
    <w:rsid w:val="00C06E70"/>
    <w:rsid w:val="00C360B7"/>
    <w:rsid w:val="00E32005"/>
    <w:rsid w:val="00E67C7C"/>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6829</Characters>
  <Application>Microsoft Office Word</Application>
  <DocSecurity>0</DocSecurity>
  <Lines>56</Lines>
  <Paragraphs>16</Paragraphs>
  <ScaleCrop>false</ScaleCrop>
  <Company>Cherwell District Council</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2018-05-29T08:41:00Z</dcterms:created>
  <dcterms:modified xsi:type="dcterms:W3CDTF">2018-05-29T08:41:00Z</dcterms:modified>
</cp:coreProperties>
</file>