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9CF" w:rsidRPr="00371CF9" w:rsidRDefault="00F23CCE" w:rsidP="00AD206D">
      <w:pPr>
        <w:numPr>
          <w:ilvl w:val="0"/>
          <w:numId w:val="2"/>
        </w:numPr>
        <w:tabs>
          <w:tab w:val="clear" w:pos="360"/>
        </w:tabs>
        <w:ind w:left="567" w:hanging="567"/>
        <w:jc w:val="both"/>
        <w:rPr>
          <w:rFonts w:ascii="Arial" w:hAnsi="Arial" w:cs="Arial"/>
          <w:b/>
          <w:sz w:val="22"/>
          <w:szCs w:val="22"/>
        </w:rPr>
      </w:pPr>
      <w:r w:rsidRPr="00371CF9">
        <w:rPr>
          <w:rFonts w:ascii="Arial" w:hAnsi="Arial" w:cs="Arial"/>
          <w:b/>
          <w:sz w:val="22"/>
          <w:szCs w:val="22"/>
        </w:rPr>
        <w:t xml:space="preserve">APPLICATION SITE AND LOCALITY </w:t>
      </w:r>
    </w:p>
    <w:p w:rsidR="00D649CF" w:rsidRPr="00371CF9" w:rsidRDefault="00D649CF" w:rsidP="00AD206D">
      <w:pPr>
        <w:ind w:left="360"/>
        <w:jc w:val="both"/>
        <w:rPr>
          <w:rFonts w:ascii="Arial" w:hAnsi="Arial" w:cs="Arial"/>
          <w:b/>
          <w:sz w:val="22"/>
          <w:szCs w:val="22"/>
        </w:rPr>
      </w:pPr>
    </w:p>
    <w:p w:rsidR="00CF67C9" w:rsidRPr="00CF67C9" w:rsidRDefault="00CF67C9" w:rsidP="00CF67C9">
      <w:pPr>
        <w:numPr>
          <w:ilvl w:val="1"/>
          <w:numId w:val="4"/>
        </w:numPr>
        <w:spacing w:after="240"/>
        <w:ind w:left="567" w:hanging="567"/>
        <w:jc w:val="both"/>
        <w:rPr>
          <w:rFonts w:ascii="Arial" w:hAnsi="Arial" w:cs="Arial"/>
          <w:sz w:val="22"/>
          <w:szCs w:val="22"/>
        </w:rPr>
      </w:pPr>
      <w:r w:rsidRPr="00CF67C9">
        <w:rPr>
          <w:rFonts w:ascii="Arial" w:hAnsi="Arial" w:cs="Arial"/>
          <w:sz w:val="22"/>
          <w:szCs w:val="22"/>
        </w:rPr>
        <w:t xml:space="preserve">The application site </w:t>
      </w:r>
      <w:r w:rsidR="00791880">
        <w:rPr>
          <w:rFonts w:ascii="Arial" w:hAnsi="Arial" w:cs="Arial"/>
          <w:sz w:val="22"/>
          <w:szCs w:val="22"/>
        </w:rPr>
        <w:t>comprises</w:t>
      </w:r>
      <w:r w:rsidRPr="00CF67C9">
        <w:rPr>
          <w:rFonts w:ascii="Arial" w:hAnsi="Arial" w:cs="Arial"/>
          <w:sz w:val="22"/>
          <w:szCs w:val="22"/>
        </w:rPr>
        <w:t xml:space="preserve"> land to the rear of 5 Colony Road</w:t>
      </w:r>
      <w:r w:rsidR="00A93417">
        <w:rPr>
          <w:rFonts w:ascii="Arial" w:hAnsi="Arial" w:cs="Arial"/>
          <w:sz w:val="22"/>
          <w:szCs w:val="22"/>
        </w:rPr>
        <w:t xml:space="preserve"> (</w:t>
      </w:r>
      <w:r w:rsidRPr="00CF67C9">
        <w:rPr>
          <w:rFonts w:ascii="Arial" w:hAnsi="Arial" w:cs="Arial"/>
          <w:sz w:val="22"/>
          <w:szCs w:val="22"/>
        </w:rPr>
        <w:t>which was most recently used for the purposes of agriculture</w:t>
      </w:r>
      <w:r w:rsidR="00A93417">
        <w:rPr>
          <w:rFonts w:ascii="Arial" w:hAnsi="Arial" w:cs="Arial"/>
          <w:sz w:val="22"/>
          <w:szCs w:val="22"/>
        </w:rPr>
        <w:t xml:space="preserve">) </w:t>
      </w:r>
      <w:r w:rsidRPr="00CF67C9">
        <w:rPr>
          <w:rFonts w:ascii="Arial" w:hAnsi="Arial" w:cs="Arial"/>
          <w:sz w:val="22"/>
          <w:szCs w:val="22"/>
        </w:rPr>
        <w:t xml:space="preserve">and </w:t>
      </w:r>
      <w:r w:rsidR="00A93417">
        <w:rPr>
          <w:rFonts w:ascii="Arial" w:hAnsi="Arial" w:cs="Arial"/>
          <w:sz w:val="22"/>
          <w:szCs w:val="22"/>
        </w:rPr>
        <w:t>i</w:t>
      </w:r>
      <w:r w:rsidRPr="00CF67C9">
        <w:rPr>
          <w:rFonts w:ascii="Arial" w:hAnsi="Arial" w:cs="Arial"/>
          <w:sz w:val="22"/>
          <w:szCs w:val="22"/>
        </w:rPr>
        <w:t xml:space="preserve">s accessed via a track between 5 Colony Road and Little Acre. The Colony itself is a group of isolated dwellings </w:t>
      </w:r>
      <w:r w:rsidR="00791880">
        <w:rPr>
          <w:rFonts w:ascii="Arial" w:hAnsi="Arial" w:cs="Arial"/>
          <w:sz w:val="22"/>
          <w:szCs w:val="22"/>
        </w:rPr>
        <w:t xml:space="preserve">outside of and </w:t>
      </w:r>
      <w:r w:rsidRPr="00CF67C9">
        <w:rPr>
          <w:rFonts w:ascii="Arial" w:hAnsi="Arial" w:cs="Arial"/>
          <w:sz w:val="22"/>
          <w:szCs w:val="22"/>
        </w:rPr>
        <w:t xml:space="preserve">to the south west of the village of </w:t>
      </w:r>
      <w:proofErr w:type="spellStart"/>
      <w:r w:rsidRPr="00CF67C9">
        <w:rPr>
          <w:rFonts w:ascii="Arial" w:hAnsi="Arial" w:cs="Arial"/>
          <w:sz w:val="22"/>
          <w:szCs w:val="22"/>
        </w:rPr>
        <w:t>Sibford</w:t>
      </w:r>
      <w:proofErr w:type="spellEnd"/>
      <w:r w:rsidRPr="00CF67C9">
        <w:rPr>
          <w:rFonts w:ascii="Arial" w:hAnsi="Arial" w:cs="Arial"/>
          <w:sz w:val="22"/>
          <w:szCs w:val="22"/>
        </w:rPr>
        <w:t xml:space="preserve"> Gower</w:t>
      </w:r>
      <w:r w:rsidR="00A93417">
        <w:rPr>
          <w:rFonts w:ascii="Arial" w:hAnsi="Arial" w:cs="Arial"/>
          <w:sz w:val="22"/>
          <w:szCs w:val="22"/>
        </w:rPr>
        <w:t xml:space="preserve"> and is connected to the village by Colony Road (which is absent of a footpath).</w:t>
      </w:r>
      <w:r w:rsidRPr="00CF67C9">
        <w:rPr>
          <w:rFonts w:ascii="Arial" w:hAnsi="Arial" w:cs="Arial"/>
          <w:sz w:val="22"/>
          <w:szCs w:val="22"/>
        </w:rPr>
        <w:t xml:space="preserve"> </w:t>
      </w:r>
    </w:p>
    <w:p w:rsidR="00CF67C9" w:rsidRDefault="00CF67C9" w:rsidP="0071337C">
      <w:pPr>
        <w:numPr>
          <w:ilvl w:val="1"/>
          <w:numId w:val="4"/>
        </w:numPr>
        <w:spacing w:after="240"/>
        <w:ind w:left="567" w:hanging="567"/>
        <w:jc w:val="both"/>
        <w:rPr>
          <w:rFonts w:ascii="Arial" w:hAnsi="Arial" w:cs="Arial"/>
          <w:sz w:val="22"/>
          <w:szCs w:val="22"/>
        </w:rPr>
      </w:pPr>
      <w:r>
        <w:rPr>
          <w:rFonts w:ascii="Arial" w:hAnsi="Arial" w:cs="Arial"/>
          <w:sz w:val="22"/>
          <w:szCs w:val="22"/>
        </w:rPr>
        <w:t xml:space="preserve">The site is occupied by a single storey (with storage space above) building of a concrete block construction under an asbestos sheet roof. There are a number of other smaller </w:t>
      </w:r>
      <w:r w:rsidR="00A93417">
        <w:rPr>
          <w:rFonts w:ascii="Arial" w:hAnsi="Arial" w:cs="Arial"/>
          <w:sz w:val="22"/>
          <w:szCs w:val="22"/>
        </w:rPr>
        <w:t xml:space="preserve">scale </w:t>
      </w:r>
      <w:r>
        <w:rPr>
          <w:rFonts w:ascii="Arial" w:hAnsi="Arial" w:cs="Arial"/>
          <w:sz w:val="22"/>
          <w:szCs w:val="22"/>
        </w:rPr>
        <w:t>outbuilding</w:t>
      </w:r>
      <w:r w:rsidR="00A93417">
        <w:rPr>
          <w:rFonts w:ascii="Arial" w:hAnsi="Arial" w:cs="Arial"/>
          <w:sz w:val="22"/>
          <w:szCs w:val="22"/>
        </w:rPr>
        <w:t>s</w:t>
      </w:r>
      <w:r>
        <w:rPr>
          <w:rFonts w:ascii="Arial" w:hAnsi="Arial" w:cs="Arial"/>
          <w:sz w:val="22"/>
          <w:szCs w:val="22"/>
        </w:rPr>
        <w:t xml:space="preserve"> surrounding the main building which are of a similar construction. </w:t>
      </w:r>
    </w:p>
    <w:p w:rsidR="00CF67C9" w:rsidRPr="00371CF9" w:rsidRDefault="00CF67C9" w:rsidP="0071337C">
      <w:pPr>
        <w:numPr>
          <w:ilvl w:val="1"/>
          <w:numId w:val="4"/>
        </w:numPr>
        <w:spacing w:after="240"/>
        <w:ind w:left="567" w:hanging="567"/>
        <w:jc w:val="both"/>
        <w:rPr>
          <w:rFonts w:ascii="Arial" w:hAnsi="Arial" w:cs="Arial"/>
          <w:sz w:val="22"/>
          <w:szCs w:val="22"/>
        </w:rPr>
      </w:pPr>
      <w:r>
        <w:rPr>
          <w:rFonts w:ascii="Arial" w:hAnsi="Arial" w:cs="Arial"/>
          <w:sz w:val="22"/>
          <w:szCs w:val="22"/>
        </w:rPr>
        <w:t xml:space="preserve">The site does not contain any listed buildings, but is within the designated </w:t>
      </w:r>
      <w:proofErr w:type="spellStart"/>
      <w:r>
        <w:rPr>
          <w:rFonts w:ascii="Arial" w:hAnsi="Arial" w:cs="Arial"/>
          <w:sz w:val="22"/>
          <w:szCs w:val="22"/>
        </w:rPr>
        <w:t>Sibford</w:t>
      </w:r>
      <w:proofErr w:type="spellEnd"/>
      <w:r>
        <w:rPr>
          <w:rFonts w:ascii="Arial" w:hAnsi="Arial" w:cs="Arial"/>
          <w:sz w:val="22"/>
          <w:szCs w:val="22"/>
        </w:rPr>
        <w:t xml:space="preserve"> Gower</w:t>
      </w:r>
      <w:r w:rsidR="00515960">
        <w:rPr>
          <w:rFonts w:ascii="Arial" w:hAnsi="Arial" w:cs="Arial"/>
          <w:sz w:val="22"/>
          <w:szCs w:val="22"/>
        </w:rPr>
        <w:t xml:space="preserve"> with </w:t>
      </w:r>
      <w:proofErr w:type="spellStart"/>
      <w:r w:rsidR="00515960">
        <w:rPr>
          <w:rFonts w:ascii="Arial" w:hAnsi="Arial" w:cs="Arial"/>
          <w:sz w:val="22"/>
          <w:szCs w:val="22"/>
        </w:rPr>
        <w:t>Burdrop</w:t>
      </w:r>
      <w:proofErr w:type="spellEnd"/>
      <w:r w:rsidR="00515960">
        <w:rPr>
          <w:rFonts w:ascii="Arial" w:hAnsi="Arial" w:cs="Arial"/>
          <w:sz w:val="22"/>
          <w:szCs w:val="22"/>
        </w:rPr>
        <w:t xml:space="preserve"> Conservation Area</w:t>
      </w:r>
      <w:r>
        <w:rPr>
          <w:rFonts w:ascii="Arial" w:hAnsi="Arial" w:cs="Arial"/>
          <w:sz w:val="22"/>
          <w:szCs w:val="22"/>
        </w:rPr>
        <w:t>.</w:t>
      </w:r>
      <w:r w:rsidR="00A93417">
        <w:rPr>
          <w:rFonts w:ascii="Arial" w:hAnsi="Arial" w:cs="Arial"/>
          <w:sz w:val="22"/>
          <w:szCs w:val="22"/>
        </w:rPr>
        <w:t xml:space="preserve"> Approximately 125m to the south is a </w:t>
      </w:r>
      <w:r w:rsidR="00515960">
        <w:rPr>
          <w:rFonts w:ascii="Arial" w:hAnsi="Arial" w:cs="Arial"/>
          <w:sz w:val="22"/>
          <w:szCs w:val="22"/>
        </w:rPr>
        <w:t>watercourse</w:t>
      </w:r>
      <w:r w:rsidR="00A93417">
        <w:rPr>
          <w:rFonts w:ascii="Arial" w:hAnsi="Arial" w:cs="Arial"/>
          <w:sz w:val="22"/>
          <w:szCs w:val="22"/>
        </w:rPr>
        <w:t xml:space="preserve">, but the site is not within flood zones 2 or 3. The site is approximately 200m to the north of the </w:t>
      </w:r>
      <w:r w:rsidR="00A93417" w:rsidRPr="00A93417">
        <w:rPr>
          <w:rFonts w:ascii="Arial" w:hAnsi="Arial" w:cs="Arial"/>
          <w:sz w:val="22"/>
          <w:szCs w:val="22"/>
        </w:rPr>
        <w:t xml:space="preserve">347/1/10 public right of way and would be visible from this distance (due to </w:t>
      </w:r>
      <w:r w:rsidR="0029746E">
        <w:rPr>
          <w:rFonts w:ascii="Arial" w:hAnsi="Arial" w:cs="Arial"/>
          <w:sz w:val="22"/>
          <w:szCs w:val="22"/>
        </w:rPr>
        <w:t xml:space="preserve">the Sib Valley and </w:t>
      </w:r>
      <w:r w:rsidR="00A93417" w:rsidRPr="00A93417">
        <w:rPr>
          <w:rFonts w:ascii="Arial" w:hAnsi="Arial" w:cs="Arial"/>
          <w:sz w:val="22"/>
          <w:szCs w:val="22"/>
        </w:rPr>
        <w:t>a gap within the vegetation at the south of the site).</w:t>
      </w:r>
      <w:r w:rsidR="00A93417">
        <w:rPr>
          <w:rFonts w:ascii="Arial" w:hAnsi="Arial" w:cs="Arial"/>
          <w:sz w:val="22"/>
          <w:szCs w:val="22"/>
        </w:rPr>
        <w:t xml:space="preserve"> </w:t>
      </w:r>
    </w:p>
    <w:p w:rsidR="00055B98" w:rsidRPr="00371CF9" w:rsidRDefault="00F23CCE" w:rsidP="00AD206D">
      <w:pPr>
        <w:numPr>
          <w:ilvl w:val="0"/>
          <w:numId w:val="2"/>
        </w:numPr>
        <w:tabs>
          <w:tab w:val="clear" w:pos="360"/>
          <w:tab w:val="num" w:pos="567"/>
          <w:tab w:val="left" w:pos="6480"/>
        </w:tabs>
        <w:spacing w:after="240"/>
        <w:ind w:left="567" w:hanging="567"/>
        <w:jc w:val="both"/>
        <w:rPr>
          <w:rFonts w:ascii="Arial" w:hAnsi="Arial" w:cs="Arial"/>
          <w:b/>
          <w:sz w:val="22"/>
          <w:szCs w:val="22"/>
        </w:rPr>
      </w:pPr>
      <w:r w:rsidRPr="00371CF9">
        <w:rPr>
          <w:rFonts w:ascii="Arial" w:hAnsi="Arial" w:cs="Arial"/>
          <w:b/>
          <w:sz w:val="22"/>
          <w:szCs w:val="22"/>
        </w:rPr>
        <w:t>DESCRIPTION OF PROPOSED DEVELOPMENT</w:t>
      </w:r>
    </w:p>
    <w:p w:rsidR="00E51C4D" w:rsidRDefault="00515960" w:rsidP="0071337C">
      <w:pPr>
        <w:numPr>
          <w:ilvl w:val="1"/>
          <w:numId w:val="5"/>
        </w:numPr>
        <w:spacing w:after="240"/>
        <w:ind w:left="567" w:hanging="561"/>
        <w:jc w:val="both"/>
        <w:rPr>
          <w:rFonts w:ascii="Arial" w:hAnsi="Arial" w:cs="Arial"/>
          <w:sz w:val="22"/>
          <w:szCs w:val="22"/>
        </w:rPr>
      </w:pPr>
      <w:r>
        <w:rPr>
          <w:rFonts w:ascii="Arial" w:hAnsi="Arial" w:cs="Arial"/>
          <w:sz w:val="22"/>
          <w:szCs w:val="22"/>
        </w:rPr>
        <w:t>The application seeks permission for the conversion of the main building</w:t>
      </w:r>
      <w:r w:rsidR="00425C2D">
        <w:rPr>
          <w:rFonts w:ascii="Arial" w:hAnsi="Arial" w:cs="Arial"/>
          <w:sz w:val="22"/>
          <w:szCs w:val="22"/>
        </w:rPr>
        <w:t xml:space="preserve"> to a residential property </w:t>
      </w:r>
      <w:r>
        <w:rPr>
          <w:rFonts w:ascii="Arial" w:hAnsi="Arial" w:cs="Arial"/>
          <w:sz w:val="22"/>
          <w:szCs w:val="22"/>
        </w:rPr>
        <w:t xml:space="preserve">and the demolition of </w:t>
      </w:r>
      <w:r w:rsidR="003526F7">
        <w:rPr>
          <w:rFonts w:ascii="Arial" w:hAnsi="Arial" w:cs="Arial"/>
          <w:sz w:val="22"/>
          <w:szCs w:val="22"/>
        </w:rPr>
        <w:t xml:space="preserve">some of </w:t>
      </w:r>
      <w:r>
        <w:rPr>
          <w:rFonts w:ascii="Arial" w:hAnsi="Arial" w:cs="Arial"/>
          <w:sz w:val="22"/>
          <w:szCs w:val="22"/>
        </w:rPr>
        <w:t xml:space="preserve">the smaller outbuildings. </w:t>
      </w:r>
    </w:p>
    <w:p w:rsidR="00425C2D" w:rsidRDefault="00425C2D" w:rsidP="00425C2D">
      <w:pPr>
        <w:numPr>
          <w:ilvl w:val="1"/>
          <w:numId w:val="5"/>
        </w:numPr>
        <w:spacing w:after="240"/>
        <w:ind w:left="567" w:hanging="561"/>
        <w:jc w:val="both"/>
        <w:rPr>
          <w:rFonts w:ascii="Arial" w:hAnsi="Arial" w:cs="Arial"/>
          <w:sz w:val="22"/>
          <w:szCs w:val="22"/>
        </w:rPr>
      </w:pPr>
      <w:r>
        <w:rPr>
          <w:rFonts w:ascii="Arial" w:hAnsi="Arial" w:cs="Arial"/>
          <w:sz w:val="22"/>
          <w:szCs w:val="22"/>
        </w:rPr>
        <w:t>The building would retain the existing footprint of the main building (with a slight infi</w:t>
      </w:r>
      <w:r w:rsidR="000B3CD0">
        <w:rPr>
          <w:rFonts w:ascii="Arial" w:hAnsi="Arial" w:cs="Arial"/>
          <w:sz w:val="22"/>
          <w:szCs w:val="22"/>
        </w:rPr>
        <w:t xml:space="preserve">ll to the north eastern corner - </w:t>
      </w:r>
      <w:r>
        <w:rPr>
          <w:rFonts w:ascii="Arial" w:hAnsi="Arial" w:cs="Arial"/>
          <w:sz w:val="22"/>
          <w:szCs w:val="22"/>
        </w:rPr>
        <w:t>which is currently open sided). The building would have new win</w:t>
      </w:r>
      <w:r w:rsidR="000B3CD0">
        <w:rPr>
          <w:rFonts w:ascii="Arial" w:hAnsi="Arial" w:cs="Arial"/>
          <w:sz w:val="22"/>
          <w:szCs w:val="22"/>
        </w:rPr>
        <w:t xml:space="preserve">dows and doors, </w:t>
      </w:r>
      <w:r>
        <w:rPr>
          <w:rFonts w:ascii="Arial" w:hAnsi="Arial" w:cs="Arial"/>
          <w:sz w:val="22"/>
          <w:szCs w:val="22"/>
        </w:rPr>
        <w:t>utilising many of the existing openings</w:t>
      </w:r>
      <w:r w:rsidR="000B3CD0">
        <w:rPr>
          <w:rFonts w:ascii="Arial" w:hAnsi="Arial" w:cs="Arial"/>
          <w:sz w:val="22"/>
          <w:szCs w:val="22"/>
        </w:rPr>
        <w:t xml:space="preserve">. However, there would be a set of </w:t>
      </w:r>
      <w:r>
        <w:rPr>
          <w:rFonts w:ascii="Arial" w:hAnsi="Arial" w:cs="Arial"/>
          <w:sz w:val="22"/>
          <w:szCs w:val="22"/>
        </w:rPr>
        <w:t xml:space="preserve">new patio doors on the rear (southern) elevation of the building. Two new high level windows would </w:t>
      </w:r>
      <w:r w:rsidR="000B3CD0">
        <w:rPr>
          <w:rFonts w:ascii="Arial" w:hAnsi="Arial" w:cs="Arial"/>
          <w:sz w:val="22"/>
          <w:szCs w:val="22"/>
        </w:rPr>
        <w:t xml:space="preserve">also </w:t>
      </w:r>
      <w:r>
        <w:rPr>
          <w:rFonts w:ascii="Arial" w:hAnsi="Arial" w:cs="Arial"/>
          <w:sz w:val="22"/>
          <w:szCs w:val="22"/>
        </w:rPr>
        <w:t xml:space="preserve">be installed in the gables of the eastern and western elevations. </w:t>
      </w:r>
    </w:p>
    <w:p w:rsidR="003526F7" w:rsidRDefault="003526F7" w:rsidP="00425C2D">
      <w:pPr>
        <w:numPr>
          <w:ilvl w:val="1"/>
          <w:numId w:val="5"/>
        </w:numPr>
        <w:spacing w:after="240"/>
        <w:ind w:left="567" w:hanging="561"/>
        <w:jc w:val="both"/>
        <w:rPr>
          <w:rFonts w:ascii="Arial" w:hAnsi="Arial" w:cs="Arial"/>
          <w:sz w:val="22"/>
          <w:szCs w:val="22"/>
        </w:rPr>
      </w:pPr>
      <w:r>
        <w:rPr>
          <w:rFonts w:ascii="Arial" w:hAnsi="Arial" w:cs="Arial"/>
          <w:sz w:val="22"/>
          <w:szCs w:val="22"/>
        </w:rPr>
        <w:t xml:space="preserve">A small outbuilding would be retained on the site (to the south east of the main building) and would be used for the storage of logs and garden equipment. </w:t>
      </w:r>
      <w:r w:rsidR="00504CD4">
        <w:rPr>
          <w:rFonts w:ascii="Arial" w:hAnsi="Arial" w:cs="Arial"/>
          <w:sz w:val="22"/>
          <w:szCs w:val="22"/>
        </w:rPr>
        <w:t xml:space="preserve">This was shown on an amended plan (drawing no. 5347.02 A) submitted on 29/11/2017 </w:t>
      </w:r>
    </w:p>
    <w:p w:rsidR="00425C2D" w:rsidRDefault="003526F7" w:rsidP="00425C2D">
      <w:pPr>
        <w:numPr>
          <w:ilvl w:val="1"/>
          <w:numId w:val="5"/>
        </w:numPr>
        <w:spacing w:after="240"/>
        <w:ind w:left="567" w:hanging="561"/>
        <w:jc w:val="both"/>
        <w:rPr>
          <w:rFonts w:ascii="Arial" w:hAnsi="Arial" w:cs="Arial"/>
          <w:sz w:val="22"/>
          <w:szCs w:val="22"/>
        </w:rPr>
      </w:pPr>
      <w:r>
        <w:rPr>
          <w:rFonts w:ascii="Arial" w:hAnsi="Arial" w:cs="Arial"/>
          <w:sz w:val="22"/>
          <w:szCs w:val="22"/>
        </w:rPr>
        <w:lastRenderedPageBreak/>
        <w:t>The land around the building equates to approximately 144sqm and is roughly the same as the space utilised by the retained building.</w:t>
      </w:r>
    </w:p>
    <w:p w:rsidR="008E4BF8" w:rsidRDefault="008E4BF8" w:rsidP="0071337C">
      <w:pPr>
        <w:numPr>
          <w:ilvl w:val="1"/>
          <w:numId w:val="5"/>
        </w:numPr>
        <w:spacing w:after="240"/>
        <w:ind w:left="567" w:hanging="561"/>
        <w:jc w:val="both"/>
        <w:rPr>
          <w:rFonts w:ascii="Arial" w:hAnsi="Arial" w:cs="Arial"/>
          <w:sz w:val="22"/>
          <w:szCs w:val="22"/>
        </w:rPr>
      </w:pPr>
      <w:r>
        <w:rPr>
          <w:rFonts w:ascii="Arial" w:hAnsi="Arial" w:cs="Arial"/>
          <w:sz w:val="22"/>
          <w:szCs w:val="22"/>
        </w:rPr>
        <w:t>Access</w:t>
      </w:r>
      <w:r w:rsidR="003526F7">
        <w:rPr>
          <w:rFonts w:ascii="Arial" w:hAnsi="Arial" w:cs="Arial"/>
          <w:sz w:val="22"/>
          <w:szCs w:val="22"/>
        </w:rPr>
        <w:t xml:space="preserve"> is provided from the existing position on Colony Road. No further details have been provided on the surface, materials or construction of this access</w:t>
      </w:r>
      <w:r w:rsidR="00791880">
        <w:rPr>
          <w:rFonts w:ascii="Arial" w:hAnsi="Arial" w:cs="Arial"/>
          <w:sz w:val="22"/>
          <w:szCs w:val="22"/>
        </w:rPr>
        <w:t>.</w:t>
      </w:r>
      <w:r w:rsidR="003526F7">
        <w:rPr>
          <w:rFonts w:ascii="Arial" w:hAnsi="Arial" w:cs="Arial"/>
          <w:sz w:val="22"/>
          <w:szCs w:val="22"/>
        </w:rPr>
        <w:t xml:space="preserve"> </w:t>
      </w:r>
    </w:p>
    <w:p w:rsidR="00E51C4D" w:rsidRPr="00371CF9" w:rsidRDefault="00F23CCE" w:rsidP="00AD206D">
      <w:pPr>
        <w:numPr>
          <w:ilvl w:val="0"/>
          <w:numId w:val="2"/>
        </w:numPr>
        <w:tabs>
          <w:tab w:val="clear" w:pos="360"/>
          <w:tab w:val="num" w:pos="567"/>
          <w:tab w:val="left" w:pos="6480"/>
        </w:tabs>
        <w:ind w:left="0" w:firstLine="0"/>
        <w:jc w:val="both"/>
        <w:rPr>
          <w:rFonts w:ascii="Arial" w:hAnsi="Arial" w:cs="Arial"/>
          <w:b/>
          <w:sz w:val="22"/>
          <w:szCs w:val="22"/>
        </w:rPr>
      </w:pPr>
      <w:r w:rsidRPr="00371CF9">
        <w:rPr>
          <w:rFonts w:ascii="Arial" w:hAnsi="Arial" w:cs="Arial"/>
          <w:b/>
          <w:sz w:val="22"/>
          <w:szCs w:val="22"/>
        </w:rPr>
        <w:t>RELEVANT PLANNING HISTORY</w:t>
      </w:r>
    </w:p>
    <w:p w:rsidR="005B7A83" w:rsidRPr="00371CF9" w:rsidRDefault="005B7A83" w:rsidP="005B7A83">
      <w:pPr>
        <w:tabs>
          <w:tab w:val="left" w:pos="6480"/>
        </w:tabs>
        <w:jc w:val="both"/>
        <w:rPr>
          <w:rFonts w:ascii="Arial" w:hAnsi="Arial" w:cs="Arial"/>
          <w:b/>
          <w:sz w:val="22"/>
          <w:szCs w:val="22"/>
        </w:rPr>
      </w:pPr>
    </w:p>
    <w:p w:rsidR="00C52653" w:rsidRPr="00371CF9" w:rsidRDefault="00C52653" w:rsidP="0009487E">
      <w:pPr>
        <w:numPr>
          <w:ilvl w:val="0"/>
          <w:numId w:val="15"/>
        </w:numPr>
        <w:tabs>
          <w:tab w:val="left" w:pos="567"/>
        </w:tabs>
        <w:spacing w:after="240"/>
        <w:ind w:left="567" w:hanging="567"/>
        <w:jc w:val="both"/>
        <w:rPr>
          <w:rFonts w:ascii="Arial" w:hAnsi="Arial" w:cs="Arial"/>
          <w:b/>
          <w:sz w:val="22"/>
          <w:szCs w:val="22"/>
        </w:rPr>
      </w:pPr>
      <w:r w:rsidRPr="00371CF9">
        <w:rPr>
          <w:rFonts w:ascii="Arial" w:hAnsi="Arial" w:cs="Arial"/>
          <w:sz w:val="22"/>
          <w:szCs w:val="22"/>
        </w:rPr>
        <w:t>There is no planning history directly relevant to the proposal</w:t>
      </w:r>
      <w:r w:rsidR="008E4BF8">
        <w:rPr>
          <w:rFonts w:ascii="Arial" w:hAnsi="Arial" w:cs="Arial"/>
          <w:sz w:val="22"/>
          <w:szCs w:val="22"/>
        </w:rPr>
        <w:t xml:space="preserve">. It is, however, noted that a number of applications have been determined on land to the rear of </w:t>
      </w:r>
      <w:r w:rsidR="00E40934">
        <w:rPr>
          <w:rFonts w:ascii="Arial" w:hAnsi="Arial" w:cs="Arial"/>
          <w:sz w:val="22"/>
          <w:szCs w:val="22"/>
        </w:rPr>
        <w:t xml:space="preserve">other properties along </w:t>
      </w:r>
      <w:r w:rsidR="008E4BF8">
        <w:rPr>
          <w:rFonts w:ascii="Arial" w:hAnsi="Arial" w:cs="Arial"/>
          <w:sz w:val="22"/>
          <w:szCs w:val="22"/>
        </w:rPr>
        <w:t xml:space="preserve">the Colony which are of relevance to this application. Specifically, </w:t>
      </w:r>
      <w:r w:rsidR="008E4BF8" w:rsidRPr="00FE7B65">
        <w:rPr>
          <w:rFonts w:ascii="Arial" w:hAnsi="Arial" w:cs="Arial"/>
          <w:sz w:val="22"/>
          <w:szCs w:val="22"/>
        </w:rPr>
        <w:t>CHN.687/87</w:t>
      </w:r>
      <w:r w:rsidR="00791880">
        <w:rPr>
          <w:rFonts w:ascii="Arial" w:hAnsi="Arial" w:cs="Arial"/>
          <w:sz w:val="22"/>
          <w:szCs w:val="22"/>
        </w:rPr>
        <w:t>,</w:t>
      </w:r>
      <w:r w:rsidR="00791880" w:rsidRPr="00FE7B65">
        <w:rPr>
          <w:rFonts w:ascii="Arial" w:hAnsi="Arial" w:cs="Arial"/>
          <w:sz w:val="22"/>
          <w:szCs w:val="22"/>
        </w:rPr>
        <w:t xml:space="preserve"> </w:t>
      </w:r>
      <w:r w:rsidR="008E4BF8" w:rsidRPr="00FE7B65">
        <w:rPr>
          <w:rFonts w:ascii="Arial" w:hAnsi="Arial" w:cs="Arial"/>
          <w:sz w:val="22"/>
          <w:szCs w:val="22"/>
        </w:rPr>
        <w:t>CHN.879/79</w:t>
      </w:r>
      <w:r w:rsidR="00791880">
        <w:rPr>
          <w:rFonts w:ascii="Arial" w:hAnsi="Arial" w:cs="Arial"/>
          <w:sz w:val="22"/>
          <w:szCs w:val="22"/>
        </w:rPr>
        <w:t>,</w:t>
      </w:r>
      <w:r w:rsidR="00791880" w:rsidRPr="00FE7B65">
        <w:rPr>
          <w:rFonts w:ascii="Arial" w:hAnsi="Arial" w:cs="Arial"/>
          <w:sz w:val="22"/>
          <w:szCs w:val="22"/>
        </w:rPr>
        <w:t xml:space="preserve"> </w:t>
      </w:r>
      <w:r w:rsidR="008E4BF8" w:rsidRPr="00FE7B65">
        <w:rPr>
          <w:rFonts w:ascii="Arial" w:hAnsi="Arial" w:cs="Arial"/>
          <w:sz w:val="22"/>
          <w:szCs w:val="22"/>
        </w:rPr>
        <w:t>CHN.502/91</w:t>
      </w:r>
      <w:r w:rsidR="00AC4D53">
        <w:rPr>
          <w:rFonts w:ascii="Arial" w:hAnsi="Arial" w:cs="Arial"/>
          <w:sz w:val="22"/>
          <w:szCs w:val="22"/>
        </w:rPr>
        <w:t>,</w:t>
      </w:r>
      <w:r w:rsidR="00AC4D53" w:rsidRPr="00FE7B65">
        <w:rPr>
          <w:rFonts w:ascii="Arial" w:hAnsi="Arial" w:cs="Arial"/>
          <w:sz w:val="22"/>
          <w:szCs w:val="22"/>
        </w:rPr>
        <w:t xml:space="preserve"> </w:t>
      </w:r>
      <w:r w:rsidR="008E4BF8" w:rsidRPr="00FE7B65">
        <w:rPr>
          <w:rFonts w:ascii="Arial" w:hAnsi="Arial" w:cs="Arial"/>
          <w:sz w:val="22"/>
          <w:szCs w:val="22"/>
        </w:rPr>
        <w:t>and 98/01014/OUT</w:t>
      </w:r>
      <w:r w:rsidR="008E4BF8">
        <w:rPr>
          <w:rFonts w:ascii="Arial" w:hAnsi="Arial" w:cs="Arial"/>
          <w:sz w:val="22"/>
          <w:szCs w:val="22"/>
        </w:rPr>
        <w:t xml:space="preserve"> refer.</w:t>
      </w:r>
      <w:r w:rsidRPr="00371CF9">
        <w:rPr>
          <w:rFonts w:ascii="Arial" w:hAnsi="Arial" w:cs="Arial"/>
          <w:color w:val="FF0000"/>
          <w:sz w:val="22"/>
          <w:szCs w:val="22"/>
        </w:rPr>
        <w:t xml:space="preserve"> </w:t>
      </w:r>
    </w:p>
    <w:p w:rsidR="00F23CCE" w:rsidRPr="00371CF9" w:rsidRDefault="00F23CCE" w:rsidP="00AD206D">
      <w:pPr>
        <w:numPr>
          <w:ilvl w:val="0"/>
          <w:numId w:val="2"/>
        </w:numPr>
        <w:tabs>
          <w:tab w:val="clear" w:pos="360"/>
          <w:tab w:val="num" w:pos="567"/>
          <w:tab w:val="left" w:pos="6480"/>
        </w:tabs>
        <w:ind w:left="0" w:firstLine="0"/>
        <w:jc w:val="both"/>
        <w:rPr>
          <w:rFonts w:ascii="Arial" w:hAnsi="Arial" w:cs="Arial"/>
          <w:b/>
          <w:sz w:val="22"/>
          <w:szCs w:val="22"/>
        </w:rPr>
      </w:pPr>
      <w:r w:rsidRPr="00371CF9">
        <w:rPr>
          <w:rFonts w:ascii="Arial" w:hAnsi="Arial" w:cs="Arial"/>
          <w:b/>
          <w:sz w:val="22"/>
          <w:szCs w:val="22"/>
        </w:rPr>
        <w:t>PRE-APPLICATION DISCUSSIONS</w:t>
      </w:r>
    </w:p>
    <w:p w:rsidR="00C52653" w:rsidRPr="00371CF9" w:rsidRDefault="00C52653" w:rsidP="00C52653">
      <w:pPr>
        <w:tabs>
          <w:tab w:val="left" w:pos="6480"/>
        </w:tabs>
        <w:jc w:val="both"/>
        <w:rPr>
          <w:rFonts w:ascii="Arial" w:hAnsi="Arial" w:cs="Arial"/>
          <w:b/>
          <w:sz w:val="22"/>
          <w:szCs w:val="22"/>
        </w:rPr>
      </w:pPr>
    </w:p>
    <w:p w:rsidR="00B560DC" w:rsidRPr="00371CF9" w:rsidRDefault="00B560DC" w:rsidP="0009487E">
      <w:pPr>
        <w:numPr>
          <w:ilvl w:val="0"/>
          <w:numId w:val="8"/>
        </w:numPr>
        <w:tabs>
          <w:tab w:val="left" w:pos="567"/>
        </w:tabs>
        <w:spacing w:after="240"/>
        <w:ind w:left="567" w:hanging="567"/>
        <w:jc w:val="both"/>
        <w:rPr>
          <w:rFonts w:ascii="Arial" w:hAnsi="Arial" w:cs="Arial"/>
          <w:color w:val="FF0000"/>
          <w:sz w:val="22"/>
          <w:szCs w:val="22"/>
        </w:rPr>
      </w:pPr>
      <w:r w:rsidRPr="00371CF9">
        <w:rPr>
          <w:rFonts w:ascii="Arial" w:hAnsi="Arial" w:cs="Arial"/>
          <w:sz w:val="22"/>
          <w:szCs w:val="22"/>
        </w:rPr>
        <w:t>The following pre-application discussions have taken place with regard to this proposal:</w:t>
      </w:r>
    </w:p>
    <w:tbl>
      <w:tblPr>
        <w:tblStyle w:val="TableGrid"/>
        <w:tblW w:w="833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6237"/>
      </w:tblGrid>
      <w:tr w:rsidR="00B560DC" w:rsidRPr="00371CF9" w:rsidTr="006B26DE">
        <w:trPr>
          <w:trHeight w:hRule="exact" w:val="340"/>
        </w:trPr>
        <w:tc>
          <w:tcPr>
            <w:tcW w:w="2093" w:type="dxa"/>
          </w:tcPr>
          <w:p w:rsidR="00B560DC" w:rsidRPr="00371CF9" w:rsidRDefault="00B560DC" w:rsidP="005B6B6E">
            <w:pPr>
              <w:tabs>
                <w:tab w:val="left" w:pos="6480"/>
              </w:tabs>
              <w:jc w:val="both"/>
              <w:rPr>
                <w:rFonts w:ascii="Arial" w:hAnsi="Arial" w:cs="Arial"/>
                <w:sz w:val="22"/>
                <w:szCs w:val="22"/>
                <w:u w:val="single"/>
                <w:lang w:eastAsia="en-US"/>
              </w:rPr>
            </w:pPr>
            <w:r w:rsidRPr="00371CF9">
              <w:rPr>
                <w:rFonts w:ascii="Arial" w:hAnsi="Arial" w:cs="Arial"/>
                <w:sz w:val="22"/>
                <w:szCs w:val="22"/>
                <w:u w:val="single"/>
                <w:lang w:eastAsia="en-US"/>
              </w:rPr>
              <w:t>Application Ref.</w:t>
            </w:r>
          </w:p>
        </w:tc>
        <w:tc>
          <w:tcPr>
            <w:tcW w:w="6237" w:type="dxa"/>
          </w:tcPr>
          <w:p w:rsidR="00B560DC" w:rsidRPr="00371CF9" w:rsidRDefault="00B560DC" w:rsidP="005B6B6E">
            <w:pPr>
              <w:tabs>
                <w:tab w:val="left" w:pos="6480"/>
              </w:tabs>
              <w:jc w:val="both"/>
              <w:rPr>
                <w:rFonts w:ascii="Arial" w:hAnsi="Arial" w:cs="Arial"/>
                <w:sz w:val="22"/>
                <w:szCs w:val="22"/>
                <w:u w:val="single"/>
                <w:lang w:eastAsia="en-US"/>
              </w:rPr>
            </w:pPr>
            <w:r w:rsidRPr="00371CF9">
              <w:rPr>
                <w:rFonts w:ascii="Arial" w:hAnsi="Arial" w:cs="Arial"/>
                <w:sz w:val="22"/>
                <w:szCs w:val="22"/>
                <w:u w:val="single"/>
                <w:lang w:eastAsia="en-US"/>
              </w:rPr>
              <w:t>Proposal</w:t>
            </w:r>
          </w:p>
        </w:tc>
      </w:tr>
      <w:tr w:rsidR="00B560DC" w:rsidRPr="00371CF9" w:rsidTr="006B26DE">
        <w:trPr>
          <w:trHeight w:val="284"/>
        </w:trPr>
        <w:tc>
          <w:tcPr>
            <w:tcW w:w="2093" w:type="dxa"/>
          </w:tcPr>
          <w:p w:rsidR="00B560DC" w:rsidRPr="00371CF9" w:rsidRDefault="00B560DC" w:rsidP="005B6B6E">
            <w:pPr>
              <w:tabs>
                <w:tab w:val="left" w:pos="6480"/>
              </w:tabs>
              <w:jc w:val="both"/>
              <w:rPr>
                <w:rFonts w:ascii="Arial" w:hAnsi="Arial" w:cs="Arial"/>
                <w:b/>
                <w:sz w:val="22"/>
                <w:szCs w:val="22"/>
              </w:rPr>
            </w:pPr>
            <w:r w:rsidRPr="00371CF9">
              <w:rPr>
                <w:rFonts w:ascii="Arial" w:hAnsi="Arial" w:cs="Arial"/>
                <w:sz w:val="22"/>
                <w:szCs w:val="22"/>
                <w:lang w:eastAsia="en-US"/>
              </w:rPr>
              <w:t>17/00160/PREAPP</w:t>
            </w:r>
          </w:p>
        </w:tc>
        <w:tc>
          <w:tcPr>
            <w:tcW w:w="6237" w:type="dxa"/>
          </w:tcPr>
          <w:p w:rsidR="00B560DC" w:rsidRPr="00371CF9" w:rsidRDefault="00B560DC" w:rsidP="005B6B6E">
            <w:pPr>
              <w:tabs>
                <w:tab w:val="left" w:pos="6480"/>
              </w:tabs>
              <w:jc w:val="both"/>
              <w:rPr>
                <w:rFonts w:ascii="Arial" w:hAnsi="Arial" w:cs="Arial"/>
                <w:b/>
                <w:sz w:val="22"/>
                <w:szCs w:val="22"/>
              </w:rPr>
            </w:pPr>
            <w:r w:rsidRPr="00371CF9">
              <w:rPr>
                <w:rFonts w:ascii="Arial" w:hAnsi="Arial" w:cs="Arial"/>
                <w:sz w:val="22"/>
                <w:szCs w:val="22"/>
                <w:lang w:eastAsia="en-US"/>
              </w:rPr>
              <w:t>Proposed alterations to redundant piggery to form a single dwelling house</w:t>
            </w:r>
          </w:p>
        </w:tc>
      </w:tr>
    </w:tbl>
    <w:p w:rsidR="00C82464" w:rsidRDefault="00C82464" w:rsidP="00F23CCE">
      <w:pPr>
        <w:tabs>
          <w:tab w:val="left" w:pos="6480"/>
        </w:tabs>
        <w:jc w:val="both"/>
        <w:rPr>
          <w:rFonts w:ascii="Arial" w:hAnsi="Arial" w:cs="Arial"/>
          <w:b/>
          <w:sz w:val="22"/>
          <w:szCs w:val="22"/>
        </w:rPr>
      </w:pPr>
    </w:p>
    <w:p w:rsidR="00C82464" w:rsidRPr="00A35273" w:rsidRDefault="00C82464" w:rsidP="00A35273">
      <w:pPr>
        <w:numPr>
          <w:ilvl w:val="0"/>
          <w:numId w:val="8"/>
        </w:numPr>
        <w:tabs>
          <w:tab w:val="left" w:pos="567"/>
        </w:tabs>
        <w:spacing w:after="240"/>
        <w:ind w:left="567" w:hanging="567"/>
        <w:jc w:val="both"/>
        <w:rPr>
          <w:rFonts w:ascii="Arial" w:hAnsi="Arial" w:cs="Arial"/>
          <w:sz w:val="22"/>
          <w:szCs w:val="22"/>
        </w:rPr>
      </w:pPr>
      <w:r w:rsidRPr="00A35273">
        <w:rPr>
          <w:rFonts w:ascii="Arial" w:hAnsi="Arial" w:cs="Arial"/>
          <w:sz w:val="22"/>
          <w:szCs w:val="22"/>
        </w:rPr>
        <w:t xml:space="preserve">The applicants were advised under the above pre-application reference number that the principle of the conversion of this building from agricultural to residential is considered to be inappropriate and unacceptable. </w:t>
      </w:r>
      <w:r w:rsidR="00A35273" w:rsidRPr="00A35273">
        <w:rPr>
          <w:rFonts w:ascii="Arial" w:hAnsi="Arial" w:cs="Arial"/>
          <w:sz w:val="22"/>
          <w:szCs w:val="22"/>
        </w:rPr>
        <w:t xml:space="preserve">The proposal was to extend the existing building which was considered to go beyond conversion - with the increase in footprint and increase in height causing harm to the rural character of the area and the character and appearance of the Conservation Area. Furthermore, it was noted that the existing </w:t>
      </w:r>
      <w:r w:rsidRPr="00A35273">
        <w:rPr>
          <w:rFonts w:ascii="Arial" w:hAnsi="Arial" w:cs="Arial"/>
          <w:sz w:val="22"/>
          <w:szCs w:val="22"/>
        </w:rPr>
        <w:t>building is not considered worthy of retention or suitable for conversion, and</w:t>
      </w:r>
      <w:r w:rsidR="00A35273" w:rsidRPr="00A35273">
        <w:rPr>
          <w:rFonts w:ascii="Arial" w:hAnsi="Arial" w:cs="Arial"/>
          <w:sz w:val="22"/>
          <w:szCs w:val="22"/>
        </w:rPr>
        <w:t xml:space="preserve"> no evidence had been provided to suggest that the building was structurally capable of </w:t>
      </w:r>
      <w:r w:rsidR="007B6A3B">
        <w:rPr>
          <w:rFonts w:ascii="Arial" w:hAnsi="Arial" w:cs="Arial"/>
          <w:sz w:val="22"/>
          <w:szCs w:val="22"/>
        </w:rPr>
        <w:t>this ‘</w:t>
      </w:r>
      <w:r w:rsidR="00A35273" w:rsidRPr="00A35273">
        <w:rPr>
          <w:rFonts w:ascii="Arial" w:hAnsi="Arial" w:cs="Arial"/>
          <w:sz w:val="22"/>
          <w:szCs w:val="22"/>
        </w:rPr>
        <w:t>conversion</w:t>
      </w:r>
      <w:r w:rsidR="007B6A3B">
        <w:rPr>
          <w:rFonts w:ascii="Arial" w:hAnsi="Arial" w:cs="Arial"/>
          <w:sz w:val="22"/>
          <w:szCs w:val="22"/>
        </w:rPr>
        <w:t>’</w:t>
      </w:r>
      <w:r w:rsidR="00A35273" w:rsidRPr="00A35273">
        <w:rPr>
          <w:rFonts w:ascii="Arial" w:hAnsi="Arial" w:cs="Arial"/>
          <w:sz w:val="22"/>
          <w:szCs w:val="22"/>
        </w:rPr>
        <w:t xml:space="preserve">. </w:t>
      </w:r>
    </w:p>
    <w:p w:rsidR="00C82464" w:rsidRPr="00A35273" w:rsidRDefault="00A35273" w:rsidP="00A35273">
      <w:pPr>
        <w:numPr>
          <w:ilvl w:val="0"/>
          <w:numId w:val="8"/>
        </w:numPr>
        <w:tabs>
          <w:tab w:val="left" w:pos="567"/>
        </w:tabs>
        <w:spacing w:after="240"/>
        <w:ind w:left="567" w:hanging="567"/>
        <w:jc w:val="both"/>
        <w:rPr>
          <w:rFonts w:ascii="Arial" w:hAnsi="Arial" w:cs="Arial"/>
          <w:sz w:val="22"/>
          <w:szCs w:val="22"/>
        </w:rPr>
      </w:pPr>
      <w:r w:rsidRPr="00A35273">
        <w:rPr>
          <w:rFonts w:ascii="Arial" w:hAnsi="Arial" w:cs="Arial"/>
          <w:sz w:val="22"/>
          <w:szCs w:val="22"/>
        </w:rPr>
        <w:t>The pre-application concluded that:</w:t>
      </w:r>
    </w:p>
    <w:p w:rsidR="00C82464" w:rsidRPr="00A35273" w:rsidRDefault="00C82464" w:rsidP="00A35273">
      <w:pPr>
        <w:tabs>
          <w:tab w:val="left" w:pos="567"/>
        </w:tabs>
        <w:spacing w:after="240"/>
        <w:ind w:left="1134"/>
        <w:jc w:val="both"/>
        <w:rPr>
          <w:rFonts w:ascii="Arial" w:hAnsi="Arial" w:cs="Arial"/>
          <w:i/>
          <w:sz w:val="22"/>
          <w:szCs w:val="22"/>
        </w:rPr>
      </w:pPr>
      <w:r w:rsidRPr="00A35273">
        <w:rPr>
          <w:rFonts w:ascii="Arial" w:hAnsi="Arial" w:cs="Arial"/>
          <w:i/>
          <w:sz w:val="22"/>
          <w:szCs w:val="22"/>
        </w:rPr>
        <w:t xml:space="preserve">The proposal would be situated outside of the built limits of the village of </w:t>
      </w:r>
      <w:proofErr w:type="spellStart"/>
      <w:r w:rsidRPr="00A35273">
        <w:rPr>
          <w:rFonts w:ascii="Arial" w:hAnsi="Arial" w:cs="Arial"/>
          <w:i/>
          <w:sz w:val="22"/>
          <w:szCs w:val="22"/>
        </w:rPr>
        <w:t>Sibford</w:t>
      </w:r>
      <w:proofErr w:type="spellEnd"/>
      <w:r w:rsidRPr="00A35273">
        <w:rPr>
          <w:rFonts w:ascii="Arial" w:hAnsi="Arial" w:cs="Arial"/>
          <w:i/>
          <w:sz w:val="22"/>
          <w:szCs w:val="22"/>
        </w:rPr>
        <w:t xml:space="preserve"> Gower (which has been established twice through appeal) and therefore the proposal would also be  contrary to Saved Policies C8 and H18 of the CLP 1996; Policy ESD1 of the CLP 2031 (Part 1); and Government guidance contained within The Framework. It is also advised that the proposal do not fall within the remit of Policy Villages 1 of the CLP 2031 (Part 1) as it is outside of the built limits of the village.</w:t>
      </w:r>
    </w:p>
    <w:p w:rsidR="00E2356A" w:rsidRPr="00371CF9" w:rsidRDefault="00F23CCE" w:rsidP="00AD206D">
      <w:pPr>
        <w:numPr>
          <w:ilvl w:val="0"/>
          <w:numId w:val="2"/>
        </w:numPr>
        <w:tabs>
          <w:tab w:val="clear" w:pos="360"/>
          <w:tab w:val="num" w:pos="567"/>
          <w:tab w:val="left" w:pos="6480"/>
        </w:tabs>
        <w:ind w:left="0" w:firstLine="0"/>
        <w:jc w:val="both"/>
        <w:rPr>
          <w:rFonts w:ascii="Arial" w:hAnsi="Arial" w:cs="Arial"/>
          <w:b/>
          <w:sz w:val="22"/>
          <w:szCs w:val="22"/>
        </w:rPr>
      </w:pPr>
      <w:r w:rsidRPr="00371CF9">
        <w:rPr>
          <w:rFonts w:ascii="Arial" w:hAnsi="Arial" w:cs="Arial"/>
          <w:b/>
          <w:sz w:val="22"/>
          <w:szCs w:val="22"/>
        </w:rPr>
        <w:t>RESPONSE TO PUBLICITY</w:t>
      </w:r>
    </w:p>
    <w:p w:rsidR="00E2356A" w:rsidRPr="00371CF9" w:rsidRDefault="00E2356A" w:rsidP="00D3040C">
      <w:pPr>
        <w:jc w:val="both"/>
        <w:rPr>
          <w:rFonts w:ascii="Arial" w:hAnsi="Arial" w:cs="Arial"/>
          <w:b/>
          <w:sz w:val="22"/>
          <w:szCs w:val="22"/>
        </w:rPr>
      </w:pPr>
    </w:p>
    <w:p w:rsidR="007124D4" w:rsidRPr="00665688" w:rsidRDefault="007124D4" w:rsidP="00665688">
      <w:pPr>
        <w:numPr>
          <w:ilvl w:val="1"/>
          <w:numId w:val="6"/>
        </w:numPr>
        <w:spacing w:after="240"/>
        <w:ind w:left="567" w:hanging="567"/>
        <w:jc w:val="both"/>
        <w:rPr>
          <w:rFonts w:ascii="Arial" w:hAnsi="Arial" w:cs="Arial"/>
          <w:b/>
          <w:color w:val="FF0000"/>
          <w:sz w:val="22"/>
          <w:szCs w:val="22"/>
        </w:rPr>
      </w:pPr>
      <w:r w:rsidRPr="00371CF9">
        <w:rPr>
          <w:rFonts w:ascii="Arial" w:hAnsi="Arial" w:cs="Arial"/>
          <w:sz w:val="22"/>
          <w:szCs w:val="22"/>
        </w:rPr>
        <w:t>This application has been publicised by way of a site not</w:t>
      </w:r>
      <w:r w:rsidR="0022440D" w:rsidRPr="00371CF9">
        <w:rPr>
          <w:rFonts w:ascii="Arial" w:hAnsi="Arial" w:cs="Arial"/>
          <w:sz w:val="22"/>
          <w:szCs w:val="22"/>
        </w:rPr>
        <w:t xml:space="preserve">ice displayed near the site, by </w:t>
      </w:r>
      <w:r w:rsidRPr="00371CF9">
        <w:rPr>
          <w:rFonts w:ascii="Arial" w:hAnsi="Arial" w:cs="Arial"/>
          <w:sz w:val="22"/>
          <w:szCs w:val="22"/>
        </w:rPr>
        <w:t>advertisement in the local newspaper, and by letters sent to all properties immediately adjoining the application site that the Council has been able to identify from its records</w:t>
      </w:r>
      <w:r w:rsidR="000439E2">
        <w:rPr>
          <w:rFonts w:ascii="Arial" w:hAnsi="Arial" w:cs="Arial"/>
          <w:sz w:val="22"/>
          <w:szCs w:val="22"/>
        </w:rPr>
        <w:t>.</w:t>
      </w:r>
      <w:r w:rsidRPr="00371CF9">
        <w:rPr>
          <w:rFonts w:ascii="Arial" w:hAnsi="Arial" w:cs="Arial"/>
          <w:color w:val="FF0000"/>
          <w:sz w:val="22"/>
          <w:szCs w:val="22"/>
        </w:rPr>
        <w:t xml:space="preserve"> </w:t>
      </w:r>
      <w:r w:rsidR="00C52653" w:rsidRPr="00371CF9">
        <w:rPr>
          <w:rFonts w:ascii="Arial" w:hAnsi="Arial" w:cs="Arial"/>
          <w:sz w:val="22"/>
          <w:szCs w:val="22"/>
        </w:rPr>
        <w:t xml:space="preserve">The final date for comments </w:t>
      </w:r>
      <w:r w:rsidR="000439E2" w:rsidRPr="00A35273">
        <w:rPr>
          <w:rFonts w:ascii="Arial" w:hAnsi="Arial" w:cs="Arial"/>
          <w:sz w:val="22"/>
          <w:szCs w:val="22"/>
        </w:rPr>
        <w:t>is</w:t>
      </w:r>
      <w:r w:rsidR="00FD6957" w:rsidRPr="00A35273">
        <w:rPr>
          <w:rFonts w:ascii="Arial" w:hAnsi="Arial" w:cs="Arial"/>
          <w:sz w:val="22"/>
          <w:szCs w:val="22"/>
        </w:rPr>
        <w:t xml:space="preserve"> </w:t>
      </w:r>
      <w:r w:rsidR="00A35273" w:rsidRPr="00665688">
        <w:rPr>
          <w:rFonts w:ascii="Arial" w:hAnsi="Arial" w:cs="Arial"/>
          <w:sz w:val="22"/>
          <w:szCs w:val="22"/>
        </w:rPr>
        <w:t>2</w:t>
      </w:r>
      <w:r w:rsidR="00665688" w:rsidRPr="00665688">
        <w:rPr>
          <w:rFonts w:ascii="Arial" w:hAnsi="Arial" w:cs="Arial"/>
          <w:sz w:val="22"/>
          <w:szCs w:val="22"/>
        </w:rPr>
        <w:t>8</w:t>
      </w:r>
      <w:r w:rsidR="00FD6957" w:rsidRPr="00665688">
        <w:rPr>
          <w:rFonts w:ascii="Arial" w:hAnsi="Arial" w:cs="Arial"/>
          <w:sz w:val="22"/>
          <w:szCs w:val="22"/>
        </w:rPr>
        <w:t>.12.2017</w:t>
      </w:r>
      <w:r w:rsidR="00C52653" w:rsidRPr="00665688">
        <w:rPr>
          <w:rFonts w:ascii="Arial" w:hAnsi="Arial" w:cs="Arial"/>
          <w:sz w:val="22"/>
          <w:szCs w:val="22"/>
        </w:rPr>
        <w:t>.</w:t>
      </w:r>
    </w:p>
    <w:p w:rsidR="000439E2" w:rsidRPr="00A35273" w:rsidRDefault="00A35273" w:rsidP="00A35273">
      <w:pPr>
        <w:numPr>
          <w:ilvl w:val="1"/>
          <w:numId w:val="6"/>
        </w:numPr>
        <w:spacing w:after="240"/>
        <w:ind w:left="567" w:hanging="567"/>
        <w:jc w:val="both"/>
        <w:rPr>
          <w:rFonts w:ascii="Arial" w:hAnsi="Arial" w:cs="Arial"/>
          <w:sz w:val="22"/>
          <w:szCs w:val="22"/>
        </w:rPr>
      </w:pPr>
      <w:r w:rsidRPr="00A35273">
        <w:rPr>
          <w:rFonts w:ascii="Arial" w:hAnsi="Arial" w:cs="Arial"/>
          <w:sz w:val="22"/>
          <w:szCs w:val="22"/>
        </w:rPr>
        <w:t xml:space="preserve">10 letters of support for the proposal had been received at the time of writing this report. Given that the consultation period is due to expire </w:t>
      </w:r>
      <w:r>
        <w:rPr>
          <w:rFonts w:ascii="Arial" w:hAnsi="Arial" w:cs="Arial"/>
          <w:sz w:val="22"/>
          <w:szCs w:val="22"/>
        </w:rPr>
        <w:t>after the date of the committee, Members will be advised of any additional responses received after the writing of this report.</w:t>
      </w:r>
    </w:p>
    <w:p w:rsidR="000439E2" w:rsidRPr="000439E2" w:rsidRDefault="00F1789B" w:rsidP="000439E2">
      <w:pPr>
        <w:numPr>
          <w:ilvl w:val="1"/>
          <w:numId w:val="6"/>
        </w:numPr>
        <w:spacing w:after="240"/>
        <w:ind w:left="567" w:hanging="567"/>
        <w:jc w:val="both"/>
        <w:rPr>
          <w:rFonts w:ascii="Arial" w:hAnsi="Arial" w:cs="Arial"/>
          <w:b/>
          <w:sz w:val="22"/>
          <w:szCs w:val="22"/>
        </w:rPr>
      </w:pPr>
      <w:r w:rsidRPr="000439E2">
        <w:rPr>
          <w:rFonts w:ascii="Arial" w:hAnsi="Arial" w:cs="Arial"/>
          <w:sz w:val="22"/>
          <w:szCs w:val="22"/>
        </w:rPr>
        <w:t>The comments received can be viewed in full on the Council’s website, via the online Planning Register</w:t>
      </w:r>
      <w:r w:rsidR="000439E2">
        <w:rPr>
          <w:rFonts w:ascii="Arial" w:hAnsi="Arial" w:cs="Arial"/>
          <w:color w:val="FF0000"/>
          <w:sz w:val="22"/>
          <w:szCs w:val="22"/>
        </w:rPr>
        <w:t>.</w:t>
      </w:r>
    </w:p>
    <w:p w:rsidR="00A64752" w:rsidRPr="000439E2" w:rsidRDefault="002B4506" w:rsidP="00A35273">
      <w:pPr>
        <w:numPr>
          <w:ilvl w:val="0"/>
          <w:numId w:val="2"/>
        </w:numPr>
        <w:tabs>
          <w:tab w:val="clear" w:pos="360"/>
          <w:tab w:val="num" w:pos="567"/>
          <w:tab w:val="left" w:pos="6480"/>
        </w:tabs>
        <w:ind w:left="0" w:firstLine="0"/>
        <w:jc w:val="both"/>
        <w:rPr>
          <w:rFonts w:ascii="Arial" w:hAnsi="Arial" w:cs="Arial"/>
          <w:b/>
          <w:sz w:val="22"/>
          <w:szCs w:val="22"/>
        </w:rPr>
      </w:pPr>
      <w:r w:rsidRPr="000439E2">
        <w:rPr>
          <w:rFonts w:ascii="Arial" w:hAnsi="Arial" w:cs="Arial"/>
          <w:b/>
          <w:sz w:val="22"/>
          <w:szCs w:val="22"/>
        </w:rPr>
        <w:lastRenderedPageBreak/>
        <w:t>RESPONSE TO CONSULTATION</w:t>
      </w:r>
    </w:p>
    <w:p w:rsidR="00F1789B" w:rsidRPr="00371CF9" w:rsidRDefault="00F1789B" w:rsidP="00F1789B">
      <w:pPr>
        <w:tabs>
          <w:tab w:val="left" w:pos="6480"/>
        </w:tabs>
        <w:ind w:left="360"/>
        <w:jc w:val="both"/>
        <w:rPr>
          <w:rFonts w:ascii="Arial" w:hAnsi="Arial" w:cs="Arial"/>
          <w:b/>
          <w:sz w:val="22"/>
          <w:szCs w:val="22"/>
        </w:rPr>
      </w:pPr>
    </w:p>
    <w:p w:rsidR="00F1789B" w:rsidRPr="00371CF9" w:rsidRDefault="00F1789B" w:rsidP="00570AF8">
      <w:pPr>
        <w:numPr>
          <w:ilvl w:val="1"/>
          <w:numId w:val="7"/>
        </w:numPr>
        <w:spacing w:after="240"/>
        <w:ind w:left="567" w:hanging="567"/>
        <w:jc w:val="both"/>
        <w:rPr>
          <w:rFonts w:ascii="Arial" w:hAnsi="Arial" w:cs="Arial"/>
          <w:sz w:val="22"/>
          <w:szCs w:val="22"/>
        </w:rPr>
      </w:pPr>
      <w:r w:rsidRPr="00371CF9">
        <w:rPr>
          <w:rFonts w:ascii="Arial" w:hAnsi="Arial" w:cs="Arial"/>
          <w:sz w:val="22"/>
          <w:szCs w:val="22"/>
        </w:rPr>
        <w:t>Below is a summary of the consultation responses received at the time of writing this report. Responses are available to view in full on the Council’s website, via the online Planning Register.</w:t>
      </w:r>
    </w:p>
    <w:p w:rsidR="00F1789B" w:rsidRPr="00371CF9" w:rsidRDefault="00A30961" w:rsidP="00F1789B">
      <w:pPr>
        <w:spacing w:after="240"/>
        <w:ind w:left="567"/>
        <w:jc w:val="both"/>
        <w:rPr>
          <w:rFonts w:ascii="Arial" w:hAnsi="Arial" w:cs="Arial"/>
          <w:sz w:val="22"/>
          <w:szCs w:val="22"/>
          <w:u w:val="single"/>
        </w:rPr>
      </w:pPr>
      <w:r>
        <w:rPr>
          <w:rFonts w:ascii="Arial" w:hAnsi="Arial" w:cs="Arial"/>
          <w:sz w:val="22"/>
          <w:szCs w:val="22"/>
          <w:u w:val="single"/>
        </w:rPr>
        <w:t xml:space="preserve">PARISH </w:t>
      </w:r>
      <w:r w:rsidR="00F1789B" w:rsidRPr="00371CF9">
        <w:rPr>
          <w:rFonts w:ascii="Arial" w:hAnsi="Arial" w:cs="Arial"/>
          <w:sz w:val="22"/>
          <w:szCs w:val="22"/>
          <w:u w:val="single"/>
        </w:rPr>
        <w:t>COUNCIL</w:t>
      </w:r>
      <w:r w:rsidR="00C52653" w:rsidRPr="00371CF9">
        <w:rPr>
          <w:rFonts w:ascii="Arial" w:hAnsi="Arial" w:cs="Arial"/>
          <w:sz w:val="22"/>
          <w:szCs w:val="22"/>
          <w:u w:val="single"/>
        </w:rPr>
        <w:t xml:space="preserve"> AND NEIGHBOURHOOD FORUMS</w:t>
      </w:r>
    </w:p>
    <w:p w:rsidR="00C52653" w:rsidRPr="00A30961" w:rsidRDefault="00A30961" w:rsidP="00C52653">
      <w:pPr>
        <w:numPr>
          <w:ilvl w:val="1"/>
          <w:numId w:val="7"/>
        </w:numPr>
        <w:spacing w:after="240"/>
        <w:ind w:left="567" w:hanging="567"/>
        <w:jc w:val="both"/>
        <w:rPr>
          <w:rFonts w:ascii="Arial" w:hAnsi="Arial" w:cs="Arial"/>
          <w:sz w:val="22"/>
          <w:szCs w:val="22"/>
        </w:rPr>
      </w:pPr>
      <w:r w:rsidRPr="00A30961">
        <w:rPr>
          <w:rFonts w:ascii="Arial" w:hAnsi="Arial" w:cs="Arial"/>
          <w:sz w:val="22"/>
          <w:szCs w:val="22"/>
        </w:rPr>
        <w:t xml:space="preserve">No comments had been received from </w:t>
      </w:r>
      <w:proofErr w:type="spellStart"/>
      <w:r w:rsidRPr="00A30961">
        <w:rPr>
          <w:rFonts w:ascii="Arial" w:hAnsi="Arial" w:cs="Arial"/>
          <w:sz w:val="22"/>
          <w:szCs w:val="22"/>
        </w:rPr>
        <w:t>Sibford</w:t>
      </w:r>
      <w:proofErr w:type="spellEnd"/>
      <w:r w:rsidRPr="00A30961">
        <w:rPr>
          <w:rFonts w:ascii="Arial" w:hAnsi="Arial" w:cs="Arial"/>
          <w:sz w:val="22"/>
          <w:szCs w:val="22"/>
        </w:rPr>
        <w:t xml:space="preserve"> Gower Parish Council at the time of writing this report. </w:t>
      </w:r>
    </w:p>
    <w:p w:rsidR="00570AF8" w:rsidRPr="00371CF9" w:rsidRDefault="00570AF8" w:rsidP="00C52653">
      <w:pPr>
        <w:spacing w:after="240"/>
        <w:ind w:left="567"/>
        <w:jc w:val="both"/>
        <w:rPr>
          <w:rFonts w:ascii="Arial" w:hAnsi="Arial" w:cs="Arial"/>
          <w:sz w:val="22"/>
          <w:szCs w:val="22"/>
          <w:u w:val="single"/>
        </w:rPr>
      </w:pPr>
      <w:r w:rsidRPr="00371CF9">
        <w:rPr>
          <w:rFonts w:ascii="Arial" w:hAnsi="Arial" w:cs="Arial"/>
          <w:sz w:val="22"/>
          <w:szCs w:val="22"/>
          <w:u w:val="single"/>
        </w:rPr>
        <w:t>STATUTORY CONSULTEES</w:t>
      </w:r>
    </w:p>
    <w:p w:rsidR="00992101" w:rsidRPr="00A30961" w:rsidRDefault="00A30961" w:rsidP="002B4506">
      <w:pPr>
        <w:numPr>
          <w:ilvl w:val="1"/>
          <w:numId w:val="7"/>
        </w:numPr>
        <w:spacing w:after="240"/>
        <w:ind w:left="567" w:hanging="567"/>
        <w:jc w:val="both"/>
        <w:rPr>
          <w:rFonts w:ascii="Arial" w:hAnsi="Arial" w:cs="Arial"/>
          <w:sz w:val="22"/>
          <w:szCs w:val="22"/>
        </w:rPr>
      </w:pPr>
      <w:r w:rsidRPr="00A30961">
        <w:rPr>
          <w:rFonts w:ascii="Arial" w:hAnsi="Arial" w:cs="Arial"/>
          <w:sz w:val="22"/>
          <w:szCs w:val="22"/>
        </w:rPr>
        <w:t xml:space="preserve">Oxfordshire County Council as Local Highways Authority advises that they raise no objections to the proposal subject to two conditions. </w:t>
      </w:r>
    </w:p>
    <w:p w:rsidR="00F1789B" w:rsidRPr="00371CF9" w:rsidRDefault="00F1789B" w:rsidP="00F1789B">
      <w:pPr>
        <w:spacing w:after="240"/>
        <w:ind w:left="360" w:firstLine="207"/>
        <w:jc w:val="both"/>
        <w:rPr>
          <w:rFonts w:ascii="Arial" w:hAnsi="Arial" w:cs="Arial"/>
          <w:sz w:val="22"/>
          <w:szCs w:val="22"/>
          <w:u w:val="single"/>
        </w:rPr>
      </w:pPr>
      <w:r w:rsidRPr="00371CF9">
        <w:rPr>
          <w:rFonts w:ascii="Arial" w:hAnsi="Arial" w:cs="Arial"/>
          <w:sz w:val="22"/>
          <w:szCs w:val="22"/>
          <w:u w:val="single"/>
        </w:rPr>
        <w:t>NON-STATUTORY CONSULTEES</w:t>
      </w:r>
    </w:p>
    <w:p w:rsidR="00E2356A" w:rsidRDefault="002F1626" w:rsidP="00B27790">
      <w:pPr>
        <w:numPr>
          <w:ilvl w:val="1"/>
          <w:numId w:val="7"/>
        </w:numPr>
        <w:spacing w:after="240"/>
        <w:ind w:left="567" w:hanging="567"/>
        <w:jc w:val="both"/>
        <w:rPr>
          <w:rFonts w:ascii="Arial" w:hAnsi="Arial" w:cs="Arial"/>
          <w:sz w:val="22"/>
          <w:szCs w:val="22"/>
        </w:rPr>
      </w:pPr>
      <w:r w:rsidRPr="002F1626">
        <w:rPr>
          <w:rFonts w:ascii="Arial" w:hAnsi="Arial" w:cs="Arial"/>
          <w:sz w:val="22"/>
          <w:szCs w:val="22"/>
        </w:rPr>
        <w:t xml:space="preserve">The Environmental Protection Officer raises no objections in regard to noise, air quality, odour or light. The EPO has, however, requested conditions in respect of contaminated land – should the proposal be granted. </w:t>
      </w:r>
    </w:p>
    <w:p w:rsidR="00EF0A2C" w:rsidRDefault="00EF0A2C" w:rsidP="00B27790">
      <w:pPr>
        <w:numPr>
          <w:ilvl w:val="1"/>
          <w:numId w:val="7"/>
        </w:numPr>
        <w:spacing w:after="240"/>
        <w:ind w:left="567" w:hanging="567"/>
        <w:jc w:val="both"/>
        <w:rPr>
          <w:rFonts w:ascii="Arial" w:hAnsi="Arial" w:cs="Arial"/>
          <w:sz w:val="22"/>
          <w:szCs w:val="22"/>
        </w:rPr>
      </w:pPr>
      <w:r>
        <w:rPr>
          <w:rFonts w:ascii="Arial" w:hAnsi="Arial" w:cs="Arial"/>
          <w:sz w:val="22"/>
          <w:szCs w:val="22"/>
        </w:rPr>
        <w:t>The Ecologist advises that:</w:t>
      </w:r>
    </w:p>
    <w:p w:rsidR="00EF0A2C" w:rsidRPr="00665688" w:rsidRDefault="00EF0A2C" w:rsidP="00EF0A2C">
      <w:pPr>
        <w:spacing w:after="240"/>
        <w:ind w:left="1440"/>
        <w:jc w:val="both"/>
        <w:rPr>
          <w:rFonts w:ascii="Arial" w:hAnsi="Arial" w:cs="Arial"/>
          <w:i/>
          <w:sz w:val="22"/>
          <w:szCs w:val="22"/>
        </w:rPr>
      </w:pPr>
      <w:r w:rsidRPr="00665688">
        <w:rPr>
          <w:rFonts w:ascii="Arial" w:hAnsi="Arial" w:cs="Arial"/>
          <w:i/>
          <w:sz w:val="22"/>
          <w:szCs w:val="22"/>
        </w:rPr>
        <w:t>Regarding the above application, the bat survey of the existing building proposed to be converted has been undertaken appropriately and I can have confidence with the conclusions drawn and the proposed bat mitigation measures.  However I note the proposals also include demolition of the smaller buildings adjacent which did not appear to be included in the scope of the bat survey</w:t>
      </w:r>
      <w:r w:rsidR="00665688" w:rsidRPr="00665688">
        <w:rPr>
          <w:rFonts w:ascii="Arial" w:hAnsi="Arial" w:cs="Arial"/>
          <w:i/>
          <w:sz w:val="22"/>
          <w:szCs w:val="22"/>
        </w:rPr>
        <w:t>..</w:t>
      </w:r>
      <w:r w:rsidRPr="00665688">
        <w:rPr>
          <w:rFonts w:ascii="Arial" w:hAnsi="Arial" w:cs="Arial"/>
          <w:i/>
          <w:sz w:val="22"/>
          <w:szCs w:val="22"/>
        </w:rPr>
        <w:t>. In light of the roosts present in the main building and the proposed works for demolition, an assessment of these buildings should also be undertaken</w:t>
      </w:r>
      <w:r w:rsidR="00665688" w:rsidRPr="00665688">
        <w:rPr>
          <w:rFonts w:ascii="Arial" w:hAnsi="Arial" w:cs="Arial"/>
          <w:i/>
          <w:sz w:val="22"/>
          <w:szCs w:val="22"/>
        </w:rPr>
        <w:t>..</w:t>
      </w:r>
      <w:r w:rsidRPr="00665688">
        <w:rPr>
          <w:rFonts w:ascii="Arial" w:hAnsi="Arial" w:cs="Arial"/>
          <w:i/>
          <w:sz w:val="22"/>
          <w:szCs w:val="22"/>
        </w:rPr>
        <w:t>.</w:t>
      </w:r>
    </w:p>
    <w:p w:rsidR="00EF0A2C" w:rsidRPr="00EF0A2C" w:rsidRDefault="00EF0A2C" w:rsidP="00EF0A2C">
      <w:pPr>
        <w:numPr>
          <w:ilvl w:val="1"/>
          <w:numId w:val="7"/>
        </w:numPr>
        <w:spacing w:after="240"/>
        <w:ind w:left="567" w:hanging="567"/>
        <w:jc w:val="both"/>
        <w:rPr>
          <w:rFonts w:ascii="Arial" w:hAnsi="Arial" w:cs="Arial"/>
          <w:sz w:val="22"/>
          <w:szCs w:val="22"/>
        </w:rPr>
      </w:pPr>
      <w:r w:rsidRPr="00EF0A2C">
        <w:rPr>
          <w:rFonts w:ascii="Arial" w:hAnsi="Arial" w:cs="Arial"/>
          <w:sz w:val="22"/>
          <w:szCs w:val="22"/>
        </w:rPr>
        <w:t xml:space="preserve">The Building Control Officer advises that fire brigade access need to be in accordance with Approved Document B Volume 1 Section B5. Solid waste storage </w:t>
      </w:r>
      <w:r>
        <w:rPr>
          <w:rFonts w:ascii="Arial" w:hAnsi="Arial" w:cs="Arial"/>
          <w:sz w:val="22"/>
          <w:szCs w:val="22"/>
        </w:rPr>
        <w:t xml:space="preserve">also </w:t>
      </w:r>
      <w:r w:rsidRPr="00EF0A2C">
        <w:rPr>
          <w:rFonts w:ascii="Arial" w:hAnsi="Arial" w:cs="Arial"/>
          <w:sz w:val="22"/>
          <w:szCs w:val="22"/>
        </w:rPr>
        <w:t>to be in accordance with Approved Document H Section H6</w:t>
      </w:r>
    </w:p>
    <w:p w:rsidR="00E34DE8" w:rsidRPr="00371CF9" w:rsidRDefault="0071337C" w:rsidP="00AD206D">
      <w:pPr>
        <w:numPr>
          <w:ilvl w:val="0"/>
          <w:numId w:val="2"/>
        </w:numPr>
        <w:tabs>
          <w:tab w:val="clear" w:pos="360"/>
          <w:tab w:val="num" w:pos="567"/>
          <w:tab w:val="left" w:pos="6480"/>
        </w:tabs>
        <w:ind w:left="0" w:firstLine="0"/>
        <w:jc w:val="both"/>
        <w:rPr>
          <w:rFonts w:ascii="Arial" w:hAnsi="Arial" w:cs="Arial"/>
          <w:b/>
          <w:sz w:val="22"/>
          <w:szCs w:val="22"/>
        </w:rPr>
      </w:pPr>
      <w:r w:rsidRPr="00371CF9">
        <w:rPr>
          <w:rFonts w:ascii="Arial" w:hAnsi="Arial" w:cs="Arial"/>
          <w:b/>
          <w:sz w:val="22"/>
          <w:szCs w:val="22"/>
        </w:rPr>
        <w:t>RELEVANT PLANNING POLICY AND GUIDANCE</w:t>
      </w:r>
    </w:p>
    <w:p w:rsidR="00E34DE8" w:rsidRPr="00371CF9" w:rsidRDefault="00E34DE8" w:rsidP="00A913FC">
      <w:pPr>
        <w:tabs>
          <w:tab w:val="left" w:pos="6480"/>
        </w:tabs>
        <w:jc w:val="both"/>
        <w:rPr>
          <w:rFonts w:ascii="Arial" w:hAnsi="Arial" w:cs="Arial"/>
          <w:b/>
          <w:sz w:val="22"/>
          <w:szCs w:val="22"/>
        </w:rPr>
      </w:pPr>
    </w:p>
    <w:p w:rsidR="0019459F" w:rsidRPr="00371CF9" w:rsidRDefault="0071337C" w:rsidP="0009487E">
      <w:pPr>
        <w:numPr>
          <w:ilvl w:val="0"/>
          <w:numId w:val="10"/>
        </w:numPr>
        <w:ind w:left="567" w:hanging="567"/>
        <w:jc w:val="both"/>
        <w:rPr>
          <w:rFonts w:ascii="Arial" w:hAnsi="Arial" w:cs="Arial"/>
          <w:sz w:val="22"/>
          <w:szCs w:val="22"/>
        </w:rPr>
      </w:pPr>
      <w:r w:rsidRPr="00371CF9">
        <w:rPr>
          <w:rFonts w:ascii="Arial" w:hAnsi="Arial" w:cs="Arial"/>
          <w:sz w:val="22"/>
          <w:szCs w:val="22"/>
        </w:rPr>
        <w:t>Planning law requires that applications for planning permission must be determined in accordance with the development plan unless material considerations indicate otherwise.</w:t>
      </w:r>
    </w:p>
    <w:p w:rsidR="0071337C" w:rsidRPr="00371CF9" w:rsidRDefault="0071337C" w:rsidP="0071337C">
      <w:pPr>
        <w:ind w:left="567"/>
        <w:jc w:val="both"/>
        <w:rPr>
          <w:rFonts w:ascii="Arial" w:hAnsi="Arial" w:cs="Arial"/>
          <w:sz w:val="22"/>
          <w:szCs w:val="22"/>
        </w:rPr>
      </w:pPr>
    </w:p>
    <w:p w:rsidR="003858CB" w:rsidRPr="00371CF9" w:rsidRDefault="003858CB" w:rsidP="0009487E">
      <w:pPr>
        <w:numPr>
          <w:ilvl w:val="0"/>
          <w:numId w:val="10"/>
        </w:numPr>
        <w:ind w:left="567" w:hanging="567"/>
        <w:jc w:val="both"/>
        <w:rPr>
          <w:rFonts w:ascii="Arial" w:hAnsi="Arial" w:cs="Arial"/>
          <w:sz w:val="22"/>
          <w:szCs w:val="22"/>
        </w:rPr>
      </w:pPr>
      <w:r w:rsidRPr="00371CF9">
        <w:rPr>
          <w:rFonts w:ascii="Arial" w:hAnsi="Arial" w:cs="Arial"/>
          <w:sz w:val="22"/>
          <w:szCs w:val="22"/>
        </w:rPr>
        <w:t>The Cherwell Local Plan 2011-2031 - Part 1 was formally adopted by Cherwell District Council on 20th July 2015 and provides the strategic planning policy framework for the District to 2031.  The Local Plan 2011-2031 – Part 1 replaced a number of the ‘saved’ policies of the adopted Cherwell Local Plan 1996 though many of its policies are retained and remain part of the development plan. The relevant planning policies of Cherwell District’s statutory Development Plan are set out below:</w:t>
      </w:r>
    </w:p>
    <w:p w:rsidR="0019459F" w:rsidRPr="00371CF9" w:rsidRDefault="0019459F" w:rsidP="0019459F">
      <w:pPr>
        <w:ind w:firstLine="567"/>
        <w:jc w:val="both"/>
        <w:rPr>
          <w:rFonts w:ascii="Arial" w:hAnsi="Arial" w:cs="Arial"/>
          <w:b/>
          <w:sz w:val="22"/>
          <w:szCs w:val="22"/>
        </w:rPr>
      </w:pPr>
    </w:p>
    <w:p w:rsidR="00886567" w:rsidRPr="00371CF9" w:rsidRDefault="0071337C" w:rsidP="00CA399E">
      <w:pPr>
        <w:ind w:left="567"/>
        <w:rPr>
          <w:rFonts w:ascii="Arial" w:hAnsi="Arial" w:cs="Arial"/>
          <w:sz w:val="22"/>
          <w:szCs w:val="22"/>
          <w:u w:val="single"/>
        </w:rPr>
      </w:pPr>
      <w:r w:rsidRPr="00371CF9">
        <w:rPr>
          <w:rFonts w:ascii="Arial" w:hAnsi="Arial" w:cs="Arial"/>
          <w:sz w:val="22"/>
          <w:szCs w:val="22"/>
          <w:u w:val="single"/>
        </w:rPr>
        <w:t>CHERWELL LOCAL PLAN 2011 - 2031 PART 1</w:t>
      </w:r>
      <w:r w:rsidR="00F1789B" w:rsidRPr="00371CF9">
        <w:rPr>
          <w:rFonts w:ascii="Arial" w:hAnsi="Arial" w:cs="Arial"/>
          <w:sz w:val="22"/>
          <w:szCs w:val="22"/>
          <w:u w:val="single"/>
        </w:rPr>
        <w:t xml:space="preserve"> (CLP 2031 Part 1)</w:t>
      </w:r>
    </w:p>
    <w:p w:rsidR="00FE7B65" w:rsidRPr="00FE7B65" w:rsidRDefault="00FE7B65" w:rsidP="00FE7B65">
      <w:pPr>
        <w:numPr>
          <w:ilvl w:val="0"/>
          <w:numId w:val="17"/>
        </w:numPr>
        <w:rPr>
          <w:rFonts w:ascii="Arial" w:hAnsi="Arial" w:cs="Arial"/>
          <w:sz w:val="22"/>
          <w:szCs w:val="22"/>
        </w:rPr>
      </w:pPr>
      <w:r w:rsidRPr="00FE7B65">
        <w:rPr>
          <w:rFonts w:ascii="Arial" w:hAnsi="Arial" w:cs="Arial"/>
          <w:sz w:val="22"/>
          <w:szCs w:val="22"/>
        </w:rPr>
        <w:t>Policy Villages 1 – Village categorisation</w:t>
      </w:r>
    </w:p>
    <w:p w:rsidR="00FE7B65" w:rsidRPr="00FE7B65" w:rsidRDefault="00FE7B65" w:rsidP="00FE7B65">
      <w:pPr>
        <w:numPr>
          <w:ilvl w:val="0"/>
          <w:numId w:val="17"/>
        </w:numPr>
        <w:rPr>
          <w:rFonts w:ascii="Arial" w:hAnsi="Arial" w:cs="Arial"/>
          <w:sz w:val="22"/>
          <w:szCs w:val="22"/>
        </w:rPr>
      </w:pPr>
      <w:r w:rsidRPr="00FE7B65">
        <w:rPr>
          <w:rFonts w:ascii="Arial" w:hAnsi="Arial" w:cs="Arial"/>
          <w:sz w:val="22"/>
          <w:szCs w:val="22"/>
        </w:rPr>
        <w:t>PSD1 – Presumption in Favour of Sustainable Development</w:t>
      </w:r>
    </w:p>
    <w:p w:rsidR="00FE7B65" w:rsidRPr="00FE7B65" w:rsidRDefault="00FE7B65" w:rsidP="00FE7B65">
      <w:pPr>
        <w:numPr>
          <w:ilvl w:val="0"/>
          <w:numId w:val="17"/>
        </w:numPr>
        <w:rPr>
          <w:rFonts w:ascii="Arial" w:hAnsi="Arial" w:cs="Arial"/>
          <w:sz w:val="22"/>
          <w:szCs w:val="22"/>
        </w:rPr>
      </w:pPr>
      <w:r w:rsidRPr="00FE7B65">
        <w:rPr>
          <w:rFonts w:ascii="Arial" w:hAnsi="Arial" w:cs="Arial"/>
          <w:sz w:val="22"/>
          <w:szCs w:val="22"/>
        </w:rPr>
        <w:t>ESD10 – Protection and Enhancement of Biodiversity</w:t>
      </w:r>
    </w:p>
    <w:p w:rsidR="00FE7B65" w:rsidRPr="00FE7B65" w:rsidRDefault="00FE7B65" w:rsidP="00FE7B65">
      <w:pPr>
        <w:numPr>
          <w:ilvl w:val="0"/>
          <w:numId w:val="17"/>
        </w:numPr>
        <w:rPr>
          <w:rFonts w:ascii="Arial" w:hAnsi="Arial" w:cs="Arial"/>
          <w:sz w:val="22"/>
          <w:szCs w:val="22"/>
        </w:rPr>
      </w:pPr>
      <w:r w:rsidRPr="00FE7B65">
        <w:rPr>
          <w:rFonts w:ascii="Arial" w:hAnsi="Arial" w:cs="Arial"/>
          <w:sz w:val="22"/>
          <w:szCs w:val="22"/>
        </w:rPr>
        <w:t>ESD13: Local Landscape Protection and Enhancement</w:t>
      </w:r>
    </w:p>
    <w:p w:rsidR="00FE7B65" w:rsidRPr="00FE7B65" w:rsidRDefault="00FE7B65" w:rsidP="00FE7B65">
      <w:pPr>
        <w:numPr>
          <w:ilvl w:val="0"/>
          <w:numId w:val="17"/>
        </w:numPr>
        <w:rPr>
          <w:rFonts w:ascii="Arial" w:hAnsi="Arial" w:cs="Arial"/>
          <w:sz w:val="22"/>
          <w:szCs w:val="22"/>
        </w:rPr>
      </w:pPr>
      <w:r w:rsidRPr="00FE7B65">
        <w:rPr>
          <w:rFonts w:ascii="Arial" w:hAnsi="Arial" w:cs="Arial"/>
          <w:sz w:val="22"/>
          <w:szCs w:val="22"/>
        </w:rPr>
        <w:t>ESD15: The Character of the Built and Historic Environment</w:t>
      </w:r>
    </w:p>
    <w:p w:rsidR="005B7A83" w:rsidRPr="00371CF9" w:rsidRDefault="005B7A83" w:rsidP="0019459F">
      <w:pPr>
        <w:ind w:firstLine="567"/>
        <w:jc w:val="both"/>
        <w:rPr>
          <w:rFonts w:ascii="Arial" w:hAnsi="Arial" w:cs="Arial"/>
          <w:b/>
          <w:sz w:val="22"/>
          <w:szCs w:val="22"/>
        </w:rPr>
      </w:pPr>
    </w:p>
    <w:p w:rsidR="0019459F" w:rsidRPr="00371CF9" w:rsidRDefault="0022440D" w:rsidP="0024539F">
      <w:pPr>
        <w:ind w:left="567"/>
        <w:jc w:val="both"/>
        <w:rPr>
          <w:rFonts w:ascii="Arial" w:hAnsi="Arial" w:cs="Arial"/>
          <w:sz w:val="22"/>
          <w:szCs w:val="22"/>
        </w:rPr>
      </w:pPr>
      <w:r w:rsidRPr="00371CF9">
        <w:rPr>
          <w:rFonts w:ascii="Arial" w:hAnsi="Arial" w:cs="Arial"/>
          <w:sz w:val="22"/>
          <w:szCs w:val="22"/>
          <w:u w:val="single"/>
        </w:rPr>
        <w:t>CHERWELL LOCAL PLAN 1996 SAVED POLICIES</w:t>
      </w:r>
      <w:r w:rsidR="00DC2A98" w:rsidRPr="00371CF9">
        <w:rPr>
          <w:rFonts w:ascii="Arial" w:hAnsi="Arial" w:cs="Arial"/>
          <w:sz w:val="22"/>
          <w:szCs w:val="22"/>
          <w:u w:val="single"/>
        </w:rPr>
        <w:t xml:space="preserve"> (CLP 1996)</w:t>
      </w:r>
    </w:p>
    <w:p w:rsidR="00FE7B65" w:rsidRPr="00FE7B65" w:rsidRDefault="00FE7B65" w:rsidP="00FE7B65">
      <w:pPr>
        <w:numPr>
          <w:ilvl w:val="0"/>
          <w:numId w:val="14"/>
        </w:numPr>
        <w:jc w:val="both"/>
        <w:rPr>
          <w:rFonts w:ascii="Arial" w:hAnsi="Arial" w:cs="Arial"/>
          <w:sz w:val="22"/>
          <w:szCs w:val="22"/>
        </w:rPr>
      </w:pPr>
      <w:r w:rsidRPr="00FE7B65">
        <w:rPr>
          <w:rFonts w:ascii="Arial" w:hAnsi="Arial" w:cs="Arial"/>
          <w:sz w:val="22"/>
          <w:szCs w:val="22"/>
        </w:rPr>
        <w:t>H18: New dwellings in the countryside</w:t>
      </w:r>
    </w:p>
    <w:p w:rsidR="00FE7B65" w:rsidRPr="00FE7B65" w:rsidRDefault="00FE7B65" w:rsidP="00FE7B65">
      <w:pPr>
        <w:numPr>
          <w:ilvl w:val="0"/>
          <w:numId w:val="14"/>
        </w:numPr>
        <w:jc w:val="both"/>
        <w:rPr>
          <w:rFonts w:ascii="Arial" w:hAnsi="Arial" w:cs="Arial"/>
          <w:sz w:val="22"/>
          <w:szCs w:val="22"/>
        </w:rPr>
      </w:pPr>
      <w:r w:rsidRPr="00FE7B65">
        <w:rPr>
          <w:rFonts w:ascii="Arial" w:hAnsi="Arial" w:cs="Arial"/>
          <w:sz w:val="22"/>
          <w:szCs w:val="22"/>
        </w:rPr>
        <w:t>H19: Conversion of buildings in the countryside</w:t>
      </w:r>
    </w:p>
    <w:p w:rsidR="00FE7B65" w:rsidRPr="00FE7B65" w:rsidRDefault="00FE7B65" w:rsidP="00FE7B65">
      <w:pPr>
        <w:numPr>
          <w:ilvl w:val="0"/>
          <w:numId w:val="14"/>
        </w:numPr>
        <w:jc w:val="both"/>
        <w:rPr>
          <w:rFonts w:ascii="Arial" w:hAnsi="Arial" w:cs="Arial"/>
          <w:sz w:val="22"/>
          <w:szCs w:val="22"/>
        </w:rPr>
      </w:pPr>
      <w:r w:rsidRPr="00FE7B65">
        <w:rPr>
          <w:rFonts w:ascii="Arial" w:hAnsi="Arial" w:cs="Arial"/>
          <w:sz w:val="22"/>
          <w:szCs w:val="22"/>
        </w:rPr>
        <w:t>C8: Landscape Conservation – sporadic development</w:t>
      </w:r>
    </w:p>
    <w:p w:rsidR="00FE7B65" w:rsidRPr="00FE7B65" w:rsidRDefault="00FE7B65" w:rsidP="00FE7B65">
      <w:pPr>
        <w:numPr>
          <w:ilvl w:val="0"/>
          <w:numId w:val="14"/>
        </w:numPr>
        <w:jc w:val="both"/>
        <w:rPr>
          <w:rFonts w:ascii="Arial" w:hAnsi="Arial" w:cs="Arial"/>
          <w:sz w:val="22"/>
          <w:szCs w:val="22"/>
        </w:rPr>
      </w:pPr>
      <w:r w:rsidRPr="00FE7B65">
        <w:rPr>
          <w:rFonts w:ascii="Arial" w:hAnsi="Arial" w:cs="Arial"/>
          <w:sz w:val="22"/>
          <w:szCs w:val="22"/>
        </w:rPr>
        <w:t>C28: Layout, design and external appearance of new development</w:t>
      </w:r>
    </w:p>
    <w:p w:rsidR="00FE7B65" w:rsidRPr="00FE7B65" w:rsidRDefault="00FE7B65" w:rsidP="00FE7B65">
      <w:pPr>
        <w:numPr>
          <w:ilvl w:val="0"/>
          <w:numId w:val="14"/>
        </w:numPr>
        <w:jc w:val="both"/>
        <w:rPr>
          <w:rFonts w:ascii="Arial" w:hAnsi="Arial" w:cs="Arial"/>
          <w:sz w:val="22"/>
          <w:szCs w:val="22"/>
        </w:rPr>
      </w:pPr>
      <w:r w:rsidRPr="00FE7B65">
        <w:rPr>
          <w:rFonts w:ascii="Arial" w:hAnsi="Arial" w:cs="Arial"/>
          <w:sz w:val="22"/>
          <w:szCs w:val="22"/>
        </w:rPr>
        <w:t>C30: Design of new residential development</w:t>
      </w:r>
    </w:p>
    <w:p w:rsidR="00FE7B65" w:rsidRPr="00FE7B65" w:rsidRDefault="00FE7B65" w:rsidP="00FE7B65">
      <w:pPr>
        <w:numPr>
          <w:ilvl w:val="0"/>
          <w:numId w:val="14"/>
        </w:numPr>
        <w:jc w:val="both"/>
        <w:rPr>
          <w:rFonts w:ascii="Arial" w:hAnsi="Arial" w:cs="Arial"/>
          <w:sz w:val="22"/>
          <w:szCs w:val="22"/>
        </w:rPr>
      </w:pPr>
      <w:r w:rsidRPr="00FE7B65">
        <w:rPr>
          <w:rFonts w:ascii="Arial" w:hAnsi="Arial" w:cs="Arial"/>
          <w:sz w:val="22"/>
          <w:szCs w:val="22"/>
        </w:rPr>
        <w:t>ENV1: Pollution Control</w:t>
      </w:r>
    </w:p>
    <w:p w:rsidR="00FE7B65" w:rsidRPr="00FE7B65" w:rsidRDefault="00FE7B65" w:rsidP="00FE7B65">
      <w:pPr>
        <w:numPr>
          <w:ilvl w:val="0"/>
          <w:numId w:val="14"/>
        </w:numPr>
        <w:jc w:val="both"/>
        <w:rPr>
          <w:rFonts w:ascii="Arial" w:hAnsi="Arial" w:cs="Arial"/>
          <w:sz w:val="22"/>
          <w:szCs w:val="22"/>
        </w:rPr>
      </w:pPr>
      <w:r w:rsidRPr="00FE7B65">
        <w:rPr>
          <w:rFonts w:ascii="Arial" w:hAnsi="Arial" w:cs="Arial"/>
          <w:sz w:val="22"/>
          <w:szCs w:val="22"/>
        </w:rPr>
        <w:t>ENV12: Contaminated Land</w:t>
      </w:r>
    </w:p>
    <w:p w:rsidR="00044F69" w:rsidRPr="00371CF9" w:rsidRDefault="00044F69" w:rsidP="0024539F">
      <w:pPr>
        <w:ind w:left="567"/>
        <w:jc w:val="both"/>
        <w:rPr>
          <w:rFonts w:ascii="Arial" w:hAnsi="Arial" w:cs="Arial"/>
          <w:sz w:val="22"/>
          <w:szCs w:val="22"/>
        </w:rPr>
      </w:pPr>
    </w:p>
    <w:p w:rsidR="0019459F" w:rsidRPr="00371CF9" w:rsidRDefault="0019459F" w:rsidP="0009487E">
      <w:pPr>
        <w:numPr>
          <w:ilvl w:val="0"/>
          <w:numId w:val="10"/>
        </w:numPr>
        <w:tabs>
          <w:tab w:val="left" w:pos="567"/>
        </w:tabs>
        <w:ind w:left="567" w:hanging="567"/>
        <w:jc w:val="both"/>
        <w:rPr>
          <w:rFonts w:ascii="Arial" w:hAnsi="Arial" w:cs="Arial"/>
          <w:sz w:val="22"/>
          <w:szCs w:val="22"/>
        </w:rPr>
      </w:pPr>
      <w:r w:rsidRPr="00371CF9">
        <w:rPr>
          <w:rFonts w:ascii="Arial" w:hAnsi="Arial" w:cs="Arial"/>
          <w:sz w:val="22"/>
          <w:szCs w:val="22"/>
        </w:rPr>
        <w:t>Other Material Planning Considerations</w:t>
      </w:r>
    </w:p>
    <w:p w:rsidR="0019459F" w:rsidRPr="00371CF9" w:rsidRDefault="0019459F" w:rsidP="0009487E">
      <w:pPr>
        <w:numPr>
          <w:ilvl w:val="0"/>
          <w:numId w:val="9"/>
        </w:numPr>
        <w:tabs>
          <w:tab w:val="left" w:pos="709"/>
        </w:tabs>
        <w:jc w:val="both"/>
        <w:rPr>
          <w:rFonts w:ascii="Arial" w:hAnsi="Arial" w:cs="Arial"/>
          <w:sz w:val="22"/>
          <w:szCs w:val="22"/>
        </w:rPr>
      </w:pPr>
      <w:r w:rsidRPr="00371CF9">
        <w:rPr>
          <w:rFonts w:ascii="Arial" w:hAnsi="Arial" w:cs="Arial"/>
          <w:sz w:val="22"/>
          <w:szCs w:val="22"/>
        </w:rPr>
        <w:t>National Planning P</w:t>
      </w:r>
      <w:r w:rsidR="00FE7B65">
        <w:rPr>
          <w:rFonts w:ascii="Arial" w:hAnsi="Arial" w:cs="Arial"/>
          <w:sz w:val="22"/>
          <w:szCs w:val="22"/>
        </w:rPr>
        <w:t>o</w:t>
      </w:r>
      <w:r w:rsidRPr="00371CF9">
        <w:rPr>
          <w:rFonts w:ascii="Arial" w:hAnsi="Arial" w:cs="Arial"/>
          <w:sz w:val="22"/>
          <w:szCs w:val="22"/>
        </w:rPr>
        <w:t>licy Framework (</w:t>
      </w:r>
      <w:r w:rsidR="00DC2A98" w:rsidRPr="00371CF9">
        <w:rPr>
          <w:rFonts w:ascii="Arial" w:hAnsi="Arial" w:cs="Arial"/>
          <w:sz w:val="22"/>
          <w:szCs w:val="22"/>
        </w:rPr>
        <w:t>NPPF</w:t>
      </w:r>
      <w:r w:rsidRPr="00371CF9">
        <w:rPr>
          <w:rFonts w:ascii="Arial" w:hAnsi="Arial" w:cs="Arial"/>
          <w:sz w:val="22"/>
          <w:szCs w:val="22"/>
        </w:rPr>
        <w:t>)</w:t>
      </w:r>
    </w:p>
    <w:p w:rsidR="0019459F" w:rsidRPr="00371CF9" w:rsidRDefault="0019459F" w:rsidP="0009487E">
      <w:pPr>
        <w:numPr>
          <w:ilvl w:val="0"/>
          <w:numId w:val="9"/>
        </w:numPr>
        <w:tabs>
          <w:tab w:val="left" w:pos="709"/>
        </w:tabs>
        <w:jc w:val="both"/>
        <w:rPr>
          <w:rFonts w:ascii="Arial" w:hAnsi="Arial" w:cs="Arial"/>
          <w:sz w:val="22"/>
          <w:szCs w:val="22"/>
        </w:rPr>
      </w:pPr>
      <w:r w:rsidRPr="00371CF9">
        <w:rPr>
          <w:rFonts w:ascii="Arial" w:hAnsi="Arial" w:cs="Arial"/>
          <w:sz w:val="22"/>
          <w:szCs w:val="22"/>
        </w:rPr>
        <w:t>Planning Practice Guidance (PPG)</w:t>
      </w:r>
    </w:p>
    <w:p w:rsidR="00E34DE8" w:rsidRPr="00371CF9" w:rsidRDefault="00E34DE8" w:rsidP="00467D08">
      <w:pPr>
        <w:tabs>
          <w:tab w:val="left" w:pos="0"/>
        </w:tabs>
        <w:jc w:val="both"/>
        <w:rPr>
          <w:rFonts w:ascii="Arial" w:hAnsi="Arial" w:cs="Arial"/>
          <w:sz w:val="22"/>
          <w:szCs w:val="22"/>
        </w:rPr>
      </w:pPr>
    </w:p>
    <w:p w:rsidR="00E34DE8" w:rsidRPr="00371CF9" w:rsidRDefault="00124797" w:rsidP="00FE7B65">
      <w:pPr>
        <w:numPr>
          <w:ilvl w:val="0"/>
          <w:numId w:val="2"/>
        </w:numPr>
        <w:tabs>
          <w:tab w:val="clear" w:pos="360"/>
          <w:tab w:val="num" w:pos="567"/>
          <w:tab w:val="left" w:pos="6480"/>
        </w:tabs>
        <w:ind w:left="0" w:firstLine="0"/>
        <w:jc w:val="both"/>
        <w:rPr>
          <w:rFonts w:ascii="Arial" w:hAnsi="Arial" w:cs="Arial"/>
          <w:b/>
          <w:sz w:val="22"/>
          <w:szCs w:val="22"/>
        </w:rPr>
      </w:pPr>
      <w:r w:rsidRPr="00371CF9">
        <w:rPr>
          <w:rFonts w:ascii="Arial" w:hAnsi="Arial" w:cs="Arial"/>
          <w:b/>
          <w:sz w:val="22"/>
          <w:szCs w:val="22"/>
        </w:rPr>
        <w:t>APPRAISAL</w:t>
      </w:r>
    </w:p>
    <w:p w:rsidR="00C91378" w:rsidRPr="00371CF9" w:rsidRDefault="00C91378" w:rsidP="00C91378">
      <w:pPr>
        <w:tabs>
          <w:tab w:val="left" w:pos="6480"/>
        </w:tabs>
        <w:ind w:left="567"/>
        <w:jc w:val="both"/>
        <w:rPr>
          <w:rFonts w:ascii="Arial" w:hAnsi="Arial" w:cs="Arial"/>
          <w:b/>
          <w:sz w:val="22"/>
          <w:szCs w:val="22"/>
        </w:rPr>
      </w:pPr>
    </w:p>
    <w:p w:rsidR="00C91378" w:rsidRPr="00371CF9" w:rsidRDefault="00C91378" w:rsidP="0009487E">
      <w:pPr>
        <w:numPr>
          <w:ilvl w:val="0"/>
          <w:numId w:val="12"/>
        </w:numPr>
        <w:ind w:left="567" w:hanging="567"/>
        <w:jc w:val="both"/>
        <w:rPr>
          <w:rFonts w:ascii="Arial" w:hAnsi="Arial" w:cs="Arial"/>
          <w:sz w:val="22"/>
          <w:szCs w:val="22"/>
        </w:rPr>
      </w:pPr>
      <w:r w:rsidRPr="00371CF9">
        <w:rPr>
          <w:rFonts w:ascii="Arial" w:hAnsi="Arial" w:cs="Arial"/>
          <w:sz w:val="22"/>
          <w:szCs w:val="22"/>
        </w:rPr>
        <w:t>The key issues for consideration in this case are:</w:t>
      </w:r>
    </w:p>
    <w:p w:rsidR="00C91378" w:rsidRPr="00371CF9" w:rsidRDefault="00C91378" w:rsidP="00C91378">
      <w:pPr>
        <w:ind w:left="567"/>
        <w:jc w:val="both"/>
        <w:rPr>
          <w:rFonts w:ascii="Arial" w:hAnsi="Arial" w:cs="Arial"/>
          <w:sz w:val="22"/>
          <w:szCs w:val="22"/>
        </w:rPr>
      </w:pPr>
    </w:p>
    <w:p w:rsidR="00C91378" w:rsidRPr="00371CF9" w:rsidRDefault="00124797" w:rsidP="0009487E">
      <w:pPr>
        <w:numPr>
          <w:ilvl w:val="0"/>
          <w:numId w:val="11"/>
        </w:numPr>
        <w:jc w:val="both"/>
        <w:rPr>
          <w:rFonts w:ascii="Arial" w:hAnsi="Arial" w:cs="Arial"/>
          <w:sz w:val="22"/>
          <w:szCs w:val="22"/>
        </w:rPr>
      </w:pPr>
      <w:r w:rsidRPr="00371CF9">
        <w:rPr>
          <w:rFonts w:ascii="Arial" w:hAnsi="Arial" w:cs="Arial"/>
          <w:sz w:val="22"/>
          <w:szCs w:val="22"/>
        </w:rPr>
        <w:t>Principle of development</w:t>
      </w:r>
    </w:p>
    <w:p w:rsidR="00124797" w:rsidRPr="00371CF9" w:rsidRDefault="00124797" w:rsidP="0009487E">
      <w:pPr>
        <w:numPr>
          <w:ilvl w:val="0"/>
          <w:numId w:val="11"/>
        </w:numPr>
        <w:jc w:val="both"/>
        <w:rPr>
          <w:rFonts w:ascii="Arial" w:hAnsi="Arial" w:cs="Arial"/>
          <w:sz w:val="22"/>
          <w:szCs w:val="22"/>
        </w:rPr>
      </w:pPr>
      <w:r w:rsidRPr="00371CF9">
        <w:rPr>
          <w:rFonts w:ascii="Arial" w:hAnsi="Arial" w:cs="Arial"/>
          <w:sz w:val="22"/>
          <w:szCs w:val="22"/>
        </w:rPr>
        <w:t>Design, and impact on the character of the area</w:t>
      </w:r>
    </w:p>
    <w:p w:rsidR="00124797" w:rsidRPr="00371CF9" w:rsidRDefault="00124797" w:rsidP="0009487E">
      <w:pPr>
        <w:numPr>
          <w:ilvl w:val="0"/>
          <w:numId w:val="11"/>
        </w:numPr>
        <w:jc w:val="both"/>
        <w:rPr>
          <w:rFonts w:ascii="Arial" w:hAnsi="Arial" w:cs="Arial"/>
          <w:sz w:val="22"/>
          <w:szCs w:val="22"/>
        </w:rPr>
      </w:pPr>
      <w:r w:rsidRPr="00371CF9">
        <w:rPr>
          <w:rFonts w:ascii="Arial" w:hAnsi="Arial" w:cs="Arial"/>
          <w:sz w:val="22"/>
          <w:szCs w:val="22"/>
        </w:rPr>
        <w:t>Residential amenity</w:t>
      </w:r>
    </w:p>
    <w:p w:rsidR="00124797" w:rsidRPr="00FE7B65" w:rsidRDefault="00FE7B65" w:rsidP="0009487E">
      <w:pPr>
        <w:numPr>
          <w:ilvl w:val="0"/>
          <w:numId w:val="11"/>
        </w:numPr>
        <w:jc w:val="both"/>
        <w:rPr>
          <w:rFonts w:ascii="Arial" w:hAnsi="Arial" w:cs="Arial"/>
          <w:sz w:val="22"/>
          <w:szCs w:val="22"/>
        </w:rPr>
      </w:pPr>
      <w:r w:rsidRPr="00FE7B65">
        <w:rPr>
          <w:rFonts w:ascii="Arial" w:hAnsi="Arial" w:cs="Arial"/>
          <w:sz w:val="22"/>
          <w:szCs w:val="22"/>
        </w:rPr>
        <w:t xml:space="preserve">Highway Safety </w:t>
      </w:r>
    </w:p>
    <w:p w:rsidR="00124797" w:rsidRDefault="00124797" w:rsidP="00467D08">
      <w:pPr>
        <w:tabs>
          <w:tab w:val="left" w:pos="6480"/>
        </w:tabs>
        <w:jc w:val="both"/>
        <w:rPr>
          <w:rFonts w:ascii="Arial" w:hAnsi="Arial" w:cs="Arial"/>
          <w:sz w:val="22"/>
          <w:szCs w:val="22"/>
        </w:rPr>
      </w:pPr>
    </w:p>
    <w:p w:rsidR="00FE7B65" w:rsidRPr="00FE7B65" w:rsidRDefault="00FE7B65" w:rsidP="00FE7B65">
      <w:pPr>
        <w:tabs>
          <w:tab w:val="left" w:pos="6480"/>
        </w:tabs>
        <w:ind w:left="567"/>
        <w:jc w:val="both"/>
        <w:rPr>
          <w:rFonts w:ascii="Arial" w:hAnsi="Arial" w:cs="Arial"/>
          <w:sz w:val="22"/>
          <w:szCs w:val="22"/>
          <w:u w:val="single"/>
        </w:rPr>
      </w:pPr>
      <w:r w:rsidRPr="00FE7B65">
        <w:rPr>
          <w:rFonts w:ascii="Arial" w:hAnsi="Arial" w:cs="Arial"/>
          <w:sz w:val="22"/>
          <w:szCs w:val="22"/>
          <w:u w:val="single"/>
        </w:rPr>
        <w:t>Principle of Development</w:t>
      </w:r>
    </w:p>
    <w:p w:rsidR="00FE7B65" w:rsidRPr="00371CF9" w:rsidRDefault="00FE7B65" w:rsidP="00467D08">
      <w:pPr>
        <w:tabs>
          <w:tab w:val="left" w:pos="6480"/>
        </w:tabs>
        <w:jc w:val="both"/>
        <w:rPr>
          <w:rFonts w:ascii="Arial" w:hAnsi="Arial" w:cs="Arial"/>
          <w:sz w:val="22"/>
          <w:szCs w:val="22"/>
        </w:rPr>
      </w:pPr>
    </w:p>
    <w:p w:rsidR="00F03335" w:rsidRPr="00FE7B65" w:rsidRDefault="00F03335" w:rsidP="00FE7B65">
      <w:pPr>
        <w:numPr>
          <w:ilvl w:val="0"/>
          <w:numId w:val="12"/>
        </w:numPr>
        <w:ind w:left="567" w:hanging="567"/>
        <w:jc w:val="both"/>
        <w:rPr>
          <w:rFonts w:ascii="Arial" w:hAnsi="Arial" w:cs="Arial"/>
          <w:sz w:val="22"/>
          <w:szCs w:val="22"/>
        </w:rPr>
      </w:pPr>
      <w:r w:rsidRPr="00FE7B65">
        <w:rPr>
          <w:rFonts w:ascii="Arial" w:hAnsi="Arial" w:cs="Arial"/>
          <w:sz w:val="22"/>
          <w:szCs w:val="22"/>
        </w:rPr>
        <w:t>Paragraph 6 of the NPPF states that: “</w:t>
      </w:r>
      <w:r w:rsidRPr="00B84C53">
        <w:rPr>
          <w:rFonts w:ascii="Arial" w:hAnsi="Arial" w:cs="Arial"/>
          <w:i/>
          <w:sz w:val="22"/>
          <w:szCs w:val="22"/>
        </w:rPr>
        <w:t>The purpose of the planning system is to contribute to the achievement of sustainable development</w:t>
      </w:r>
      <w:r w:rsidRPr="00FE7B65">
        <w:rPr>
          <w:rFonts w:ascii="Arial" w:hAnsi="Arial" w:cs="Arial"/>
          <w:sz w:val="22"/>
          <w:szCs w:val="22"/>
        </w:rPr>
        <w:t>”. Paragraph 14 of the National Planning Policy Framework (NPPF) states that a presumption of sustainable development should be seen as a golden thread running through decision taking and Paragraphs 18 to 219, taken as a whole, constitute the Government’s view of what sustainable development in England means in practice for the planning system. The NPPF goes on to say that, to achieve sustainable development, economic, social and environmental gains should be sought jointly and simultaneously through the planning system.</w:t>
      </w:r>
    </w:p>
    <w:p w:rsidR="00F03335" w:rsidRDefault="00F03335" w:rsidP="00FE7B65">
      <w:pPr>
        <w:ind w:left="567"/>
        <w:jc w:val="both"/>
        <w:rPr>
          <w:rFonts w:ascii="Arial" w:hAnsi="Arial" w:cs="Arial"/>
          <w:sz w:val="22"/>
          <w:szCs w:val="22"/>
        </w:rPr>
      </w:pPr>
    </w:p>
    <w:p w:rsidR="00E5181E" w:rsidRPr="00E5181E" w:rsidRDefault="00E5181E" w:rsidP="00E5181E">
      <w:pPr>
        <w:numPr>
          <w:ilvl w:val="0"/>
          <w:numId w:val="12"/>
        </w:numPr>
        <w:tabs>
          <w:tab w:val="left" w:pos="567"/>
        </w:tabs>
        <w:spacing w:after="240"/>
        <w:ind w:left="567" w:hanging="567"/>
        <w:jc w:val="both"/>
        <w:rPr>
          <w:rFonts w:ascii="Arial" w:hAnsi="Arial" w:cs="Arial"/>
          <w:sz w:val="22"/>
          <w:szCs w:val="22"/>
        </w:rPr>
      </w:pPr>
      <w:r w:rsidRPr="00E5181E">
        <w:rPr>
          <w:rFonts w:ascii="Arial" w:hAnsi="Arial" w:cs="Arial"/>
          <w:sz w:val="22"/>
          <w:szCs w:val="22"/>
        </w:rPr>
        <w:t xml:space="preserve">Paragraph 12 of the NPPF notes that the development plan is the starting point of decision making. Proposed development that accords with an up-to-date Local Plan should be </w:t>
      </w:r>
      <w:proofErr w:type="gramStart"/>
      <w:r w:rsidRPr="00E5181E">
        <w:rPr>
          <w:rFonts w:ascii="Arial" w:hAnsi="Arial" w:cs="Arial"/>
          <w:sz w:val="22"/>
          <w:szCs w:val="22"/>
        </w:rPr>
        <w:t>approved,</w:t>
      </w:r>
      <w:proofErr w:type="gramEnd"/>
      <w:r w:rsidRPr="00E5181E">
        <w:rPr>
          <w:rFonts w:ascii="Arial" w:hAnsi="Arial" w:cs="Arial"/>
          <w:sz w:val="22"/>
          <w:szCs w:val="22"/>
        </w:rPr>
        <w:t xml:space="preserve"> and proposed development that conflicts should be refused unless other material considerations indicate otherwise. Cherwell District Council has an up-to-date Local Plan which was adopted on 20th July 2015. Cherwell District Council can </w:t>
      </w:r>
      <w:r>
        <w:rPr>
          <w:rFonts w:ascii="Arial" w:hAnsi="Arial" w:cs="Arial"/>
          <w:sz w:val="22"/>
          <w:szCs w:val="22"/>
        </w:rPr>
        <w:t xml:space="preserve">also </w:t>
      </w:r>
      <w:r w:rsidRPr="00E5181E">
        <w:rPr>
          <w:rFonts w:ascii="Arial" w:hAnsi="Arial" w:cs="Arial"/>
          <w:sz w:val="22"/>
          <w:szCs w:val="22"/>
        </w:rPr>
        <w:t>demonstrate a five-year supply of deliverable housing sites, therefore the presumption in favour of sustainable development, as advised by the NPPF, will therefore need to be applied in this context.</w:t>
      </w:r>
    </w:p>
    <w:p w:rsidR="00F03335" w:rsidRDefault="00F03335" w:rsidP="00FE7B65">
      <w:pPr>
        <w:numPr>
          <w:ilvl w:val="0"/>
          <w:numId w:val="12"/>
        </w:numPr>
        <w:ind w:left="567" w:hanging="567"/>
        <w:jc w:val="both"/>
        <w:rPr>
          <w:rFonts w:ascii="Arial" w:hAnsi="Arial" w:cs="Arial"/>
          <w:sz w:val="22"/>
          <w:szCs w:val="22"/>
        </w:rPr>
      </w:pPr>
      <w:r w:rsidRPr="00FE7B65">
        <w:rPr>
          <w:rFonts w:ascii="Arial" w:hAnsi="Arial" w:cs="Arial"/>
          <w:sz w:val="22"/>
          <w:szCs w:val="22"/>
        </w:rPr>
        <w:t xml:space="preserve">Policy PSD1 reflects the Government’s aims of achieving sustainable development and states that the Council will work proactively, where possible, to secure development that improves the economic, social and environmental conditions in the area. </w:t>
      </w:r>
    </w:p>
    <w:p w:rsidR="00E5181E" w:rsidRDefault="00E5181E" w:rsidP="00E5181E">
      <w:pPr>
        <w:pStyle w:val="ListParagraph"/>
        <w:rPr>
          <w:rFonts w:ascii="Arial" w:hAnsi="Arial" w:cs="Arial"/>
          <w:sz w:val="22"/>
          <w:szCs w:val="22"/>
        </w:rPr>
      </w:pPr>
    </w:p>
    <w:p w:rsidR="00F03335" w:rsidRPr="00FE7B65" w:rsidRDefault="00F03335" w:rsidP="00FE7B65">
      <w:pPr>
        <w:numPr>
          <w:ilvl w:val="0"/>
          <w:numId w:val="12"/>
        </w:numPr>
        <w:ind w:left="567" w:hanging="567"/>
        <w:jc w:val="both"/>
        <w:rPr>
          <w:rFonts w:ascii="Arial" w:hAnsi="Arial" w:cs="Arial"/>
          <w:sz w:val="22"/>
          <w:szCs w:val="22"/>
        </w:rPr>
      </w:pPr>
      <w:r w:rsidRPr="00FE7B65">
        <w:rPr>
          <w:rFonts w:ascii="Arial" w:hAnsi="Arial" w:cs="Arial"/>
          <w:sz w:val="22"/>
          <w:szCs w:val="22"/>
        </w:rPr>
        <w:t>The NPPF promotes sustainable transport and at paragraph 34, states that decisions should ensure that developments that generate significant movement are located where the need to travel will be minimised and the use of sustainable transport modes can be maximised. In this case, the site cannot be said to be located within a sustainable location, being located some distance from the main settlement and without good access to public transport connections.</w:t>
      </w:r>
      <w:r w:rsidR="00B84C53">
        <w:rPr>
          <w:rFonts w:ascii="Arial" w:hAnsi="Arial" w:cs="Arial"/>
          <w:sz w:val="22"/>
          <w:szCs w:val="22"/>
        </w:rPr>
        <w:t xml:space="preserve"> Furthermore, the application has no footpath connection to the Village (Colony Road being absent </w:t>
      </w:r>
      <w:r w:rsidR="00B84C53">
        <w:rPr>
          <w:rFonts w:ascii="Arial" w:hAnsi="Arial" w:cs="Arial"/>
          <w:sz w:val="22"/>
          <w:szCs w:val="22"/>
        </w:rPr>
        <w:lastRenderedPageBreak/>
        <w:t>of a footpath until within the limits of the village)</w:t>
      </w:r>
      <w:r w:rsidR="00E5181E">
        <w:rPr>
          <w:rFonts w:ascii="Arial" w:hAnsi="Arial" w:cs="Arial"/>
          <w:sz w:val="22"/>
          <w:szCs w:val="22"/>
        </w:rPr>
        <w:t xml:space="preserve"> and therefore any future occupiers are likely to be wholly depended on the use of private motor vehicles. </w:t>
      </w:r>
    </w:p>
    <w:p w:rsidR="00F03335" w:rsidRPr="00FE7B65" w:rsidRDefault="00F03335" w:rsidP="00FE7B65">
      <w:pPr>
        <w:ind w:left="567"/>
        <w:jc w:val="both"/>
        <w:rPr>
          <w:rFonts w:ascii="Arial" w:hAnsi="Arial" w:cs="Arial"/>
          <w:sz w:val="22"/>
          <w:szCs w:val="22"/>
        </w:rPr>
      </w:pPr>
    </w:p>
    <w:p w:rsidR="008E4BF8" w:rsidRDefault="00F03335" w:rsidP="008E4BF8">
      <w:pPr>
        <w:numPr>
          <w:ilvl w:val="0"/>
          <w:numId w:val="12"/>
        </w:numPr>
        <w:ind w:left="567" w:hanging="567"/>
        <w:jc w:val="both"/>
        <w:rPr>
          <w:rFonts w:ascii="Arial" w:hAnsi="Arial" w:cs="Arial"/>
          <w:sz w:val="22"/>
          <w:szCs w:val="22"/>
        </w:rPr>
      </w:pPr>
      <w:r w:rsidRPr="00E5181E">
        <w:rPr>
          <w:rFonts w:ascii="Arial" w:hAnsi="Arial" w:cs="Arial"/>
          <w:sz w:val="22"/>
          <w:szCs w:val="22"/>
        </w:rPr>
        <w:t>Further to the above, Policy ESD1 of the CLP 2031 (Part 1) states that measures will be taken to mitigate the impact of development within the District on climate change. This includes development which seeks to reduce the need to travel and which encourages sustainable travel options including walking, cycling and public transport to reduce dependence on private cars. In this regard, the propos</w:t>
      </w:r>
      <w:r w:rsidR="00E5181E">
        <w:rPr>
          <w:rFonts w:ascii="Arial" w:hAnsi="Arial" w:cs="Arial"/>
          <w:sz w:val="22"/>
          <w:szCs w:val="22"/>
        </w:rPr>
        <w:t>al would not support these aims (as advised above).</w:t>
      </w:r>
    </w:p>
    <w:p w:rsidR="00E5181E" w:rsidRDefault="00E5181E" w:rsidP="00E5181E">
      <w:pPr>
        <w:pStyle w:val="ListParagraph"/>
        <w:rPr>
          <w:rFonts w:ascii="Arial" w:hAnsi="Arial" w:cs="Arial"/>
          <w:sz w:val="22"/>
          <w:szCs w:val="22"/>
        </w:rPr>
      </w:pPr>
    </w:p>
    <w:p w:rsidR="00E5181E" w:rsidRDefault="00E5181E" w:rsidP="00E5181E">
      <w:pPr>
        <w:numPr>
          <w:ilvl w:val="0"/>
          <w:numId w:val="12"/>
        </w:numPr>
        <w:ind w:left="567" w:hanging="567"/>
        <w:jc w:val="both"/>
        <w:rPr>
          <w:rFonts w:ascii="Arial" w:hAnsi="Arial" w:cs="Arial"/>
          <w:sz w:val="22"/>
          <w:szCs w:val="22"/>
        </w:rPr>
      </w:pPr>
      <w:r w:rsidRPr="00FE7B65">
        <w:rPr>
          <w:rFonts w:ascii="Arial" w:hAnsi="Arial" w:cs="Arial"/>
          <w:sz w:val="22"/>
          <w:szCs w:val="22"/>
        </w:rPr>
        <w:t xml:space="preserve">Whilst </w:t>
      </w:r>
      <w:proofErr w:type="spellStart"/>
      <w:r w:rsidRPr="00FE7B65">
        <w:rPr>
          <w:rFonts w:ascii="Arial" w:hAnsi="Arial" w:cs="Arial"/>
          <w:sz w:val="22"/>
          <w:szCs w:val="22"/>
        </w:rPr>
        <w:t>Sibford</w:t>
      </w:r>
      <w:proofErr w:type="spellEnd"/>
      <w:r w:rsidRPr="00FE7B65">
        <w:rPr>
          <w:rFonts w:ascii="Arial" w:hAnsi="Arial" w:cs="Arial"/>
          <w:sz w:val="22"/>
          <w:szCs w:val="22"/>
        </w:rPr>
        <w:t xml:space="preserve"> Gower is classed as a Category </w:t>
      </w:r>
      <w:proofErr w:type="gramStart"/>
      <w:r w:rsidRPr="00FE7B65">
        <w:rPr>
          <w:rFonts w:ascii="Arial" w:hAnsi="Arial" w:cs="Arial"/>
          <w:sz w:val="22"/>
          <w:szCs w:val="22"/>
        </w:rPr>
        <w:t>A</w:t>
      </w:r>
      <w:proofErr w:type="gramEnd"/>
      <w:r w:rsidRPr="00FE7B65">
        <w:rPr>
          <w:rFonts w:ascii="Arial" w:hAnsi="Arial" w:cs="Arial"/>
          <w:sz w:val="22"/>
          <w:szCs w:val="22"/>
        </w:rPr>
        <w:t xml:space="preserve"> Village (with potential for minor development, infilling and conversions) within the CLP 2031 (Part 1), the site itself cannot be said to be located within the built up limits of the settlement. It instead forms part of an isolated group of dwellings, built as a single build in the 1800s, to the south of the village of </w:t>
      </w:r>
      <w:proofErr w:type="spellStart"/>
      <w:r w:rsidRPr="00FE7B65">
        <w:rPr>
          <w:rFonts w:ascii="Arial" w:hAnsi="Arial" w:cs="Arial"/>
          <w:sz w:val="22"/>
          <w:szCs w:val="22"/>
        </w:rPr>
        <w:t>Sibford</w:t>
      </w:r>
      <w:proofErr w:type="spellEnd"/>
      <w:r w:rsidRPr="00FE7B65">
        <w:rPr>
          <w:rFonts w:ascii="Arial" w:hAnsi="Arial" w:cs="Arial"/>
          <w:sz w:val="22"/>
          <w:szCs w:val="22"/>
        </w:rPr>
        <w:t xml:space="preserve"> Gower. The group retains its isolated rural character, with large</w:t>
      </w:r>
      <w:r w:rsidR="00AC4D53">
        <w:rPr>
          <w:rFonts w:ascii="Arial" w:hAnsi="Arial" w:cs="Arial"/>
          <w:sz w:val="22"/>
          <w:szCs w:val="22"/>
        </w:rPr>
        <w:t>,</w:t>
      </w:r>
      <w:r w:rsidRPr="00FE7B65">
        <w:rPr>
          <w:rFonts w:ascii="Arial" w:hAnsi="Arial" w:cs="Arial"/>
          <w:sz w:val="22"/>
          <w:szCs w:val="22"/>
        </w:rPr>
        <w:t xml:space="preserve"> undeveloped gaps remaining between the cottages, and between ‘The Colony’ and </w:t>
      </w:r>
      <w:proofErr w:type="spellStart"/>
      <w:r w:rsidRPr="00FE7B65">
        <w:rPr>
          <w:rFonts w:ascii="Arial" w:hAnsi="Arial" w:cs="Arial"/>
          <w:sz w:val="22"/>
          <w:szCs w:val="22"/>
        </w:rPr>
        <w:t>Sibford</w:t>
      </w:r>
      <w:proofErr w:type="spellEnd"/>
      <w:r w:rsidRPr="00FE7B65">
        <w:rPr>
          <w:rFonts w:ascii="Arial" w:hAnsi="Arial" w:cs="Arial"/>
          <w:sz w:val="22"/>
          <w:szCs w:val="22"/>
        </w:rPr>
        <w:t xml:space="preserve"> Gower itself. </w:t>
      </w:r>
    </w:p>
    <w:p w:rsidR="00E5181E" w:rsidRDefault="00E5181E" w:rsidP="00E5181E">
      <w:pPr>
        <w:pStyle w:val="ListParagraph"/>
        <w:rPr>
          <w:rFonts w:ascii="Arial" w:hAnsi="Arial" w:cs="Arial"/>
          <w:sz w:val="22"/>
          <w:szCs w:val="22"/>
        </w:rPr>
      </w:pPr>
    </w:p>
    <w:p w:rsidR="00F03335" w:rsidRDefault="00E5181E" w:rsidP="00FE7B65">
      <w:pPr>
        <w:numPr>
          <w:ilvl w:val="0"/>
          <w:numId w:val="12"/>
        </w:numPr>
        <w:ind w:left="567" w:hanging="567"/>
        <w:jc w:val="both"/>
        <w:rPr>
          <w:rFonts w:ascii="Arial" w:hAnsi="Arial" w:cs="Arial"/>
          <w:sz w:val="22"/>
          <w:szCs w:val="22"/>
        </w:rPr>
      </w:pPr>
      <w:r>
        <w:rPr>
          <w:rFonts w:ascii="Arial" w:hAnsi="Arial" w:cs="Arial"/>
          <w:sz w:val="22"/>
          <w:szCs w:val="22"/>
        </w:rPr>
        <w:t xml:space="preserve">The Council has </w:t>
      </w:r>
      <w:r w:rsidR="00F03335" w:rsidRPr="00FE7B65">
        <w:rPr>
          <w:rFonts w:ascii="Arial" w:hAnsi="Arial" w:cs="Arial"/>
          <w:sz w:val="22"/>
          <w:szCs w:val="22"/>
        </w:rPr>
        <w:t>consistently held the view that ‘The Colony’ is located beyond the built up limits of the settlement, within the open countryside and that gaps between the cottages should not be filled by development. The principle of development to the rear of Colony Road has been resisted in applications CHN.687/87; CHN.879/79; CHN.502/91; and 98/01014/OUT. The Council’s position in this respect has been upheld twice at appeal on two different sites</w:t>
      </w:r>
      <w:r w:rsidR="00AC4D53">
        <w:rPr>
          <w:rFonts w:ascii="Arial" w:hAnsi="Arial" w:cs="Arial"/>
          <w:sz w:val="22"/>
          <w:szCs w:val="22"/>
        </w:rPr>
        <w:t>:</w:t>
      </w:r>
      <w:r w:rsidR="00F03335" w:rsidRPr="00FE7B65">
        <w:rPr>
          <w:rFonts w:ascii="Arial" w:hAnsi="Arial" w:cs="Arial"/>
          <w:sz w:val="22"/>
          <w:szCs w:val="22"/>
        </w:rPr>
        <w:t xml:space="preserve"> the gap between 4 and 5 The Colony and the gap between 2 and 3 The Colony (applications CHN. 897/79 and CHN. 502/91 respectively, refers).</w:t>
      </w:r>
    </w:p>
    <w:p w:rsidR="00E5181E" w:rsidRPr="00FE7B65" w:rsidRDefault="00E5181E" w:rsidP="00E5181E">
      <w:pPr>
        <w:ind w:left="567"/>
        <w:jc w:val="both"/>
        <w:rPr>
          <w:rFonts w:ascii="Arial" w:hAnsi="Arial" w:cs="Arial"/>
          <w:sz w:val="22"/>
          <w:szCs w:val="22"/>
        </w:rPr>
      </w:pPr>
    </w:p>
    <w:p w:rsidR="00BB456C" w:rsidRPr="00FE7B65" w:rsidRDefault="00E5181E" w:rsidP="00BB456C">
      <w:pPr>
        <w:numPr>
          <w:ilvl w:val="0"/>
          <w:numId w:val="12"/>
        </w:numPr>
        <w:ind w:left="567" w:hanging="567"/>
        <w:jc w:val="both"/>
        <w:rPr>
          <w:rFonts w:ascii="Arial" w:hAnsi="Arial" w:cs="Arial"/>
          <w:sz w:val="22"/>
          <w:szCs w:val="22"/>
        </w:rPr>
      </w:pPr>
      <w:r>
        <w:rPr>
          <w:rFonts w:ascii="Arial" w:hAnsi="Arial" w:cs="Arial"/>
          <w:sz w:val="22"/>
          <w:szCs w:val="22"/>
        </w:rPr>
        <w:t xml:space="preserve">The proposal seeks permission for the </w:t>
      </w:r>
      <w:r w:rsidR="00F03335" w:rsidRPr="00FE7B65">
        <w:rPr>
          <w:rFonts w:ascii="Arial" w:hAnsi="Arial" w:cs="Arial"/>
          <w:sz w:val="22"/>
          <w:szCs w:val="22"/>
        </w:rPr>
        <w:t>conversion of the</w:t>
      </w:r>
      <w:r w:rsidR="00EF23EF">
        <w:rPr>
          <w:rFonts w:ascii="Arial" w:hAnsi="Arial" w:cs="Arial"/>
          <w:sz w:val="22"/>
          <w:szCs w:val="22"/>
        </w:rPr>
        <w:t xml:space="preserve"> agricultural </w:t>
      </w:r>
      <w:r w:rsidR="00F03335" w:rsidRPr="00FE7B65">
        <w:rPr>
          <w:rFonts w:ascii="Arial" w:hAnsi="Arial" w:cs="Arial"/>
          <w:sz w:val="22"/>
          <w:szCs w:val="22"/>
        </w:rPr>
        <w:t xml:space="preserve">building to form a dwelling. </w:t>
      </w:r>
      <w:r w:rsidR="00BB456C">
        <w:rPr>
          <w:rFonts w:ascii="Arial" w:hAnsi="Arial" w:cs="Arial"/>
          <w:sz w:val="22"/>
          <w:szCs w:val="22"/>
        </w:rPr>
        <w:t xml:space="preserve">Policy H18 </w:t>
      </w:r>
      <w:r w:rsidR="00BB456C" w:rsidRPr="00FE7B65">
        <w:rPr>
          <w:rFonts w:ascii="Arial" w:hAnsi="Arial" w:cs="Arial"/>
          <w:sz w:val="22"/>
          <w:szCs w:val="22"/>
        </w:rPr>
        <w:t xml:space="preserve">relates to proposals for new dwellings in the countryside and states that unless the dwelling is essential for agricultural use or for low cost affordable housing, </w:t>
      </w:r>
      <w:r w:rsidR="00FE324A">
        <w:rPr>
          <w:rFonts w:ascii="Arial" w:hAnsi="Arial" w:cs="Arial"/>
          <w:sz w:val="22"/>
          <w:szCs w:val="22"/>
        </w:rPr>
        <w:t xml:space="preserve">then it will conflict with this </w:t>
      </w:r>
      <w:r w:rsidR="00BB456C" w:rsidRPr="00FE7B65">
        <w:rPr>
          <w:rFonts w:ascii="Arial" w:hAnsi="Arial" w:cs="Arial"/>
          <w:sz w:val="22"/>
          <w:szCs w:val="22"/>
        </w:rPr>
        <w:t xml:space="preserve">policy. Given that the dwelling is not required for either purpose, the proposal clearly conflicts with Policy H18. Thus, on the matter of principle, the proposal is considered to constitute unjustified and undesirable new housing development in an isolated location, remote from services and facilities and where there would be a reliance on the private car, contrary to </w:t>
      </w:r>
      <w:r w:rsidR="00996F3E" w:rsidRPr="00996F3E">
        <w:rPr>
          <w:rFonts w:ascii="Arial" w:hAnsi="Arial" w:cs="Arial"/>
          <w:sz w:val="22"/>
          <w:szCs w:val="22"/>
        </w:rPr>
        <w:t xml:space="preserve">Policy ESD1 and saved Policy H18 of </w:t>
      </w:r>
      <w:r w:rsidR="00BB456C" w:rsidRPr="00FE7B65">
        <w:rPr>
          <w:rFonts w:ascii="Arial" w:hAnsi="Arial" w:cs="Arial"/>
          <w:sz w:val="22"/>
          <w:szCs w:val="22"/>
        </w:rPr>
        <w:t>the Local Plan.</w:t>
      </w:r>
    </w:p>
    <w:p w:rsidR="00BB456C" w:rsidRDefault="00BB456C" w:rsidP="00BB456C">
      <w:pPr>
        <w:pStyle w:val="ListParagraph"/>
        <w:rPr>
          <w:rFonts w:ascii="Arial" w:hAnsi="Arial" w:cs="Arial"/>
          <w:sz w:val="22"/>
          <w:szCs w:val="22"/>
        </w:rPr>
      </w:pPr>
    </w:p>
    <w:p w:rsidR="00FE324A" w:rsidRDefault="00EF23EF" w:rsidP="00FE7B65">
      <w:pPr>
        <w:numPr>
          <w:ilvl w:val="0"/>
          <w:numId w:val="12"/>
        </w:numPr>
        <w:ind w:left="567" w:hanging="567"/>
        <w:jc w:val="both"/>
        <w:rPr>
          <w:rFonts w:ascii="Arial" w:hAnsi="Arial" w:cs="Arial"/>
          <w:sz w:val="22"/>
          <w:szCs w:val="22"/>
        </w:rPr>
      </w:pPr>
      <w:r w:rsidRPr="00EF23EF">
        <w:rPr>
          <w:rFonts w:ascii="Arial" w:hAnsi="Arial" w:cs="Arial"/>
          <w:sz w:val="22"/>
          <w:szCs w:val="22"/>
        </w:rPr>
        <w:t xml:space="preserve">Notwithstanding the above, it is noted that the proposal applies for the </w:t>
      </w:r>
      <w:r w:rsidR="00FE324A">
        <w:rPr>
          <w:rFonts w:ascii="Arial" w:hAnsi="Arial" w:cs="Arial"/>
          <w:sz w:val="22"/>
          <w:szCs w:val="22"/>
        </w:rPr>
        <w:t>‘</w:t>
      </w:r>
      <w:r w:rsidRPr="00EF23EF">
        <w:rPr>
          <w:rFonts w:ascii="Arial" w:hAnsi="Arial" w:cs="Arial"/>
          <w:sz w:val="22"/>
          <w:szCs w:val="22"/>
        </w:rPr>
        <w:t>conversion</w:t>
      </w:r>
      <w:r w:rsidR="00FE324A">
        <w:rPr>
          <w:rFonts w:ascii="Arial" w:hAnsi="Arial" w:cs="Arial"/>
          <w:sz w:val="22"/>
          <w:szCs w:val="22"/>
        </w:rPr>
        <w:t>’</w:t>
      </w:r>
      <w:r w:rsidRPr="00EF23EF">
        <w:rPr>
          <w:rFonts w:ascii="Arial" w:hAnsi="Arial" w:cs="Arial"/>
          <w:sz w:val="22"/>
          <w:szCs w:val="22"/>
        </w:rPr>
        <w:t xml:space="preserve"> of the building. Therefore, </w:t>
      </w:r>
      <w:r w:rsidR="00BB456C">
        <w:rPr>
          <w:rFonts w:ascii="Arial" w:hAnsi="Arial" w:cs="Arial"/>
          <w:sz w:val="22"/>
          <w:szCs w:val="22"/>
        </w:rPr>
        <w:t>P</w:t>
      </w:r>
      <w:r w:rsidRPr="00EF23EF">
        <w:rPr>
          <w:rFonts w:ascii="Arial" w:hAnsi="Arial" w:cs="Arial"/>
          <w:sz w:val="22"/>
          <w:szCs w:val="22"/>
        </w:rPr>
        <w:t xml:space="preserve">olicy H19 </w:t>
      </w:r>
      <w:r w:rsidR="00F03335" w:rsidRPr="00EF23EF">
        <w:rPr>
          <w:rFonts w:ascii="Arial" w:hAnsi="Arial" w:cs="Arial"/>
          <w:sz w:val="22"/>
          <w:szCs w:val="22"/>
        </w:rPr>
        <w:t xml:space="preserve">of the CLP 1996 </w:t>
      </w:r>
      <w:r w:rsidR="00E5181E" w:rsidRPr="00EF23EF">
        <w:rPr>
          <w:rFonts w:ascii="Arial" w:hAnsi="Arial" w:cs="Arial"/>
          <w:sz w:val="22"/>
          <w:szCs w:val="22"/>
        </w:rPr>
        <w:t xml:space="preserve">applies. This Policy </w:t>
      </w:r>
      <w:r w:rsidR="00F03335" w:rsidRPr="00EF23EF">
        <w:rPr>
          <w:rFonts w:ascii="Arial" w:hAnsi="Arial" w:cs="Arial"/>
          <w:sz w:val="22"/>
          <w:szCs w:val="22"/>
        </w:rPr>
        <w:t>deals with the conversion of buildings in the countryside</w:t>
      </w:r>
      <w:r w:rsidR="00EC52B1" w:rsidRPr="00EF23EF">
        <w:rPr>
          <w:rFonts w:ascii="Arial" w:hAnsi="Arial" w:cs="Arial"/>
          <w:sz w:val="22"/>
          <w:szCs w:val="22"/>
        </w:rPr>
        <w:t xml:space="preserve"> and </w:t>
      </w:r>
      <w:r w:rsidR="00F03335" w:rsidRPr="00EF23EF">
        <w:rPr>
          <w:rFonts w:ascii="Arial" w:hAnsi="Arial" w:cs="Arial"/>
          <w:sz w:val="22"/>
          <w:szCs w:val="22"/>
        </w:rPr>
        <w:t xml:space="preserve">is intended to encourage the conversion of traditional farm buildings of some architectural or historic merit. It also states that its purpose is to encourage the conversion of rural buildings, ‘whose form, bulk, and general design is in keeping with its surroundings’. It is not intended to apply to buildings of modern construction, of little aesthetic merit. </w:t>
      </w:r>
    </w:p>
    <w:p w:rsidR="00FE324A" w:rsidRDefault="00FE324A" w:rsidP="00FE324A">
      <w:pPr>
        <w:pStyle w:val="ListParagraph"/>
        <w:rPr>
          <w:rFonts w:ascii="Arial" w:hAnsi="Arial" w:cs="Arial"/>
          <w:sz w:val="22"/>
          <w:szCs w:val="22"/>
        </w:rPr>
      </w:pPr>
    </w:p>
    <w:p w:rsidR="00EF23EF" w:rsidRDefault="00FE324A" w:rsidP="00FE7B65">
      <w:pPr>
        <w:numPr>
          <w:ilvl w:val="0"/>
          <w:numId w:val="12"/>
        </w:numPr>
        <w:ind w:left="567" w:hanging="567"/>
        <w:jc w:val="both"/>
        <w:rPr>
          <w:rFonts w:ascii="Arial" w:hAnsi="Arial" w:cs="Arial"/>
          <w:sz w:val="22"/>
          <w:szCs w:val="22"/>
        </w:rPr>
      </w:pPr>
      <w:r>
        <w:rPr>
          <w:rFonts w:ascii="Arial" w:hAnsi="Arial" w:cs="Arial"/>
          <w:sz w:val="22"/>
          <w:szCs w:val="22"/>
        </w:rPr>
        <w:t>Having regard to the above, i</w:t>
      </w:r>
      <w:r w:rsidR="00EF23EF">
        <w:rPr>
          <w:rFonts w:ascii="Arial" w:hAnsi="Arial" w:cs="Arial"/>
          <w:sz w:val="22"/>
          <w:szCs w:val="22"/>
        </w:rPr>
        <w:t xml:space="preserve">t is considered that the </w:t>
      </w:r>
      <w:r w:rsidR="00F03335" w:rsidRPr="00EF23EF">
        <w:rPr>
          <w:rFonts w:ascii="Arial" w:hAnsi="Arial" w:cs="Arial"/>
          <w:sz w:val="22"/>
          <w:szCs w:val="22"/>
        </w:rPr>
        <w:t xml:space="preserve">existing building has little architectural merit and </w:t>
      </w:r>
      <w:r w:rsidR="00EF23EF">
        <w:rPr>
          <w:rFonts w:ascii="Arial" w:hAnsi="Arial" w:cs="Arial"/>
          <w:sz w:val="22"/>
          <w:szCs w:val="22"/>
        </w:rPr>
        <w:t xml:space="preserve">is of a utilitarian design and appearance. It is not the type of building which </w:t>
      </w:r>
      <w:r w:rsidR="00DE4DF1">
        <w:rPr>
          <w:rFonts w:ascii="Arial" w:hAnsi="Arial" w:cs="Arial"/>
          <w:sz w:val="22"/>
          <w:szCs w:val="22"/>
        </w:rPr>
        <w:t>would be covered by the</w:t>
      </w:r>
      <w:r w:rsidR="00EF23EF">
        <w:rPr>
          <w:rFonts w:ascii="Arial" w:hAnsi="Arial" w:cs="Arial"/>
          <w:sz w:val="22"/>
          <w:szCs w:val="22"/>
        </w:rPr>
        <w:t xml:space="preserve"> intension of this policy and </w:t>
      </w:r>
      <w:r w:rsidR="00F03335" w:rsidRPr="00EF23EF">
        <w:rPr>
          <w:rFonts w:ascii="Arial" w:hAnsi="Arial" w:cs="Arial"/>
          <w:sz w:val="22"/>
          <w:szCs w:val="22"/>
        </w:rPr>
        <w:t xml:space="preserve">would </w:t>
      </w:r>
      <w:r w:rsidR="00EF23EF">
        <w:rPr>
          <w:rFonts w:ascii="Arial" w:hAnsi="Arial" w:cs="Arial"/>
          <w:sz w:val="22"/>
          <w:szCs w:val="22"/>
        </w:rPr>
        <w:t xml:space="preserve">therefore </w:t>
      </w:r>
      <w:r w:rsidR="00F03335" w:rsidRPr="00EF23EF">
        <w:rPr>
          <w:rFonts w:ascii="Arial" w:hAnsi="Arial" w:cs="Arial"/>
          <w:sz w:val="22"/>
          <w:szCs w:val="22"/>
        </w:rPr>
        <w:t>not be suitable for conversion under the provisions of Policy H19.</w:t>
      </w:r>
      <w:r w:rsidR="00BB456C">
        <w:rPr>
          <w:rFonts w:ascii="Arial" w:hAnsi="Arial" w:cs="Arial"/>
          <w:sz w:val="22"/>
          <w:szCs w:val="22"/>
        </w:rPr>
        <w:t xml:space="preserve"> Furthermore, no structural survey has been submitted with the application to determine whether or not the existing structure is capable of </w:t>
      </w:r>
      <w:r>
        <w:rPr>
          <w:rFonts w:ascii="Arial" w:hAnsi="Arial" w:cs="Arial"/>
          <w:sz w:val="22"/>
          <w:szCs w:val="22"/>
        </w:rPr>
        <w:t>‘</w:t>
      </w:r>
      <w:r w:rsidR="00BB456C">
        <w:rPr>
          <w:rFonts w:ascii="Arial" w:hAnsi="Arial" w:cs="Arial"/>
          <w:sz w:val="22"/>
          <w:szCs w:val="22"/>
        </w:rPr>
        <w:t>conversion</w:t>
      </w:r>
      <w:r>
        <w:rPr>
          <w:rFonts w:ascii="Arial" w:hAnsi="Arial" w:cs="Arial"/>
          <w:sz w:val="22"/>
          <w:szCs w:val="22"/>
        </w:rPr>
        <w:t>’</w:t>
      </w:r>
      <w:r w:rsidR="00BB456C">
        <w:rPr>
          <w:rFonts w:ascii="Arial" w:hAnsi="Arial" w:cs="Arial"/>
          <w:sz w:val="22"/>
          <w:szCs w:val="22"/>
        </w:rPr>
        <w:t xml:space="preserve"> (given the additional loading of a slate roof).</w:t>
      </w:r>
      <w:r w:rsidR="00F03335" w:rsidRPr="00EF23EF">
        <w:rPr>
          <w:rFonts w:ascii="Arial" w:hAnsi="Arial" w:cs="Arial"/>
          <w:sz w:val="22"/>
          <w:szCs w:val="22"/>
        </w:rPr>
        <w:t xml:space="preserve"> </w:t>
      </w:r>
    </w:p>
    <w:p w:rsidR="00EF23EF" w:rsidRDefault="00EF23EF" w:rsidP="00EF23EF">
      <w:pPr>
        <w:pStyle w:val="ListParagraph"/>
        <w:rPr>
          <w:rFonts w:ascii="Arial" w:hAnsi="Arial" w:cs="Arial"/>
          <w:sz w:val="22"/>
          <w:szCs w:val="22"/>
        </w:rPr>
      </w:pPr>
    </w:p>
    <w:p w:rsidR="00BB456C" w:rsidRDefault="00BB456C" w:rsidP="00BB456C">
      <w:pPr>
        <w:numPr>
          <w:ilvl w:val="0"/>
          <w:numId w:val="12"/>
        </w:numPr>
        <w:ind w:left="567" w:hanging="567"/>
        <w:jc w:val="both"/>
        <w:rPr>
          <w:rFonts w:ascii="Arial" w:hAnsi="Arial" w:cs="Arial"/>
          <w:sz w:val="22"/>
          <w:szCs w:val="22"/>
        </w:rPr>
      </w:pPr>
      <w:r>
        <w:rPr>
          <w:rFonts w:ascii="Arial" w:hAnsi="Arial" w:cs="Arial"/>
          <w:sz w:val="22"/>
          <w:szCs w:val="22"/>
        </w:rPr>
        <w:t xml:space="preserve">The above </w:t>
      </w:r>
      <w:r w:rsidRPr="00EF23EF">
        <w:rPr>
          <w:rFonts w:ascii="Arial" w:hAnsi="Arial" w:cs="Arial"/>
          <w:sz w:val="22"/>
          <w:szCs w:val="22"/>
        </w:rPr>
        <w:t>view was taken in the determination of application CHN.687</w:t>
      </w:r>
      <w:r>
        <w:rPr>
          <w:rFonts w:ascii="Arial" w:hAnsi="Arial" w:cs="Arial"/>
          <w:sz w:val="22"/>
          <w:szCs w:val="22"/>
        </w:rPr>
        <w:t xml:space="preserve">/87 (for the conversion of the same building) and concluded that </w:t>
      </w:r>
      <w:r w:rsidRPr="00EF23EF">
        <w:rPr>
          <w:rFonts w:ascii="Arial" w:hAnsi="Arial" w:cs="Arial"/>
          <w:sz w:val="22"/>
          <w:szCs w:val="22"/>
        </w:rPr>
        <w:t>it is unlikely that the barn could be converted without substantial rebuilding.</w:t>
      </w:r>
    </w:p>
    <w:p w:rsidR="00BB456C" w:rsidRPr="00EF23EF" w:rsidRDefault="00BB456C" w:rsidP="00BB456C">
      <w:pPr>
        <w:ind w:left="567"/>
        <w:jc w:val="both"/>
        <w:rPr>
          <w:rFonts w:ascii="Arial" w:hAnsi="Arial" w:cs="Arial"/>
          <w:sz w:val="22"/>
          <w:szCs w:val="22"/>
        </w:rPr>
      </w:pPr>
      <w:r w:rsidRPr="00EF23EF">
        <w:rPr>
          <w:rFonts w:ascii="Arial" w:hAnsi="Arial" w:cs="Arial"/>
          <w:sz w:val="22"/>
          <w:szCs w:val="22"/>
        </w:rPr>
        <w:t xml:space="preserve"> </w:t>
      </w:r>
    </w:p>
    <w:p w:rsidR="00EF23EF" w:rsidRDefault="00EF23EF" w:rsidP="00EF23EF">
      <w:pPr>
        <w:numPr>
          <w:ilvl w:val="0"/>
          <w:numId w:val="12"/>
        </w:numPr>
        <w:ind w:left="567" w:hanging="567"/>
        <w:jc w:val="both"/>
        <w:rPr>
          <w:rFonts w:ascii="Arial" w:hAnsi="Arial" w:cs="Arial"/>
          <w:sz w:val="22"/>
          <w:szCs w:val="22"/>
        </w:rPr>
      </w:pPr>
      <w:r>
        <w:rPr>
          <w:rFonts w:ascii="Arial" w:hAnsi="Arial" w:cs="Arial"/>
          <w:sz w:val="22"/>
          <w:szCs w:val="22"/>
        </w:rPr>
        <w:lastRenderedPageBreak/>
        <w:t xml:space="preserve">The applicant </w:t>
      </w:r>
      <w:r w:rsidR="00921E18">
        <w:rPr>
          <w:rFonts w:ascii="Arial" w:hAnsi="Arial" w:cs="Arial"/>
          <w:sz w:val="22"/>
          <w:szCs w:val="22"/>
        </w:rPr>
        <w:t>suggest</w:t>
      </w:r>
      <w:r w:rsidR="00AC4D53">
        <w:rPr>
          <w:rFonts w:ascii="Arial" w:hAnsi="Arial" w:cs="Arial"/>
          <w:sz w:val="22"/>
          <w:szCs w:val="22"/>
        </w:rPr>
        <w:t>s</w:t>
      </w:r>
      <w:r>
        <w:rPr>
          <w:rFonts w:ascii="Arial" w:hAnsi="Arial" w:cs="Arial"/>
          <w:sz w:val="22"/>
          <w:szCs w:val="22"/>
        </w:rPr>
        <w:t xml:space="preserve"> in their covering letter that Policies H18 and H19 are 20 years old and ‘are not consistent with up-to-date national planning policy</w:t>
      </w:r>
      <w:r w:rsidR="00BB456C">
        <w:rPr>
          <w:rFonts w:ascii="Arial" w:hAnsi="Arial" w:cs="Arial"/>
          <w:sz w:val="22"/>
          <w:szCs w:val="22"/>
        </w:rPr>
        <w:t>’</w:t>
      </w:r>
      <w:r>
        <w:rPr>
          <w:rFonts w:ascii="Arial" w:hAnsi="Arial" w:cs="Arial"/>
          <w:sz w:val="22"/>
          <w:szCs w:val="22"/>
        </w:rPr>
        <w:t>. However, Members are advised that these are retained policies within the Council</w:t>
      </w:r>
      <w:r w:rsidR="00921E18">
        <w:rPr>
          <w:rFonts w:ascii="Arial" w:hAnsi="Arial" w:cs="Arial"/>
          <w:sz w:val="22"/>
          <w:szCs w:val="22"/>
        </w:rPr>
        <w:t>’s</w:t>
      </w:r>
      <w:r>
        <w:rPr>
          <w:rFonts w:ascii="Arial" w:hAnsi="Arial" w:cs="Arial"/>
          <w:sz w:val="22"/>
          <w:szCs w:val="22"/>
        </w:rPr>
        <w:t xml:space="preserve"> current Development Plan and Inspectors have determined recent appeals in accordance with these Policies</w:t>
      </w:r>
      <w:r w:rsidR="00AC4D53">
        <w:rPr>
          <w:rFonts w:ascii="Arial" w:hAnsi="Arial" w:cs="Arial"/>
          <w:sz w:val="22"/>
          <w:szCs w:val="22"/>
        </w:rPr>
        <w:t>, giving weight to these policies as forming part of the development plan</w:t>
      </w:r>
      <w:r>
        <w:rPr>
          <w:rFonts w:ascii="Arial" w:hAnsi="Arial" w:cs="Arial"/>
          <w:sz w:val="22"/>
          <w:szCs w:val="22"/>
        </w:rPr>
        <w:t>. Members are therefore advised that they carry full weight and should be applied in this instance.</w:t>
      </w:r>
      <w:r w:rsidRPr="00E5181E">
        <w:rPr>
          <w:rFonts w:ascii="Arial" w:hAnsi="Arial" w:cs="Arial"/>
          <w:sz w:val="22"/>
          <w:szCs w:val="22"/>
        </w:rPr>
        <w:t xml:space="preserve"> </w:t>
      </w:r>
    </w:p>
    <w:p w:rsidR="00BB456C" w:rsidRDefault="00BB456C" w:rsidP="00BB456C">
      <w:pPr>
        <w:pStyle w:val="ListParagraph"/>
        <w:rPr>
          <w:rFonts w:ascii="Arial" w:hAnsi="Arial" w:cs="Arial"/>
          <w:sz w:val="22"/>
          <w:szCs w:val="22"/>
        </w:rPr>
      </w:pPr>
    </w:p>
    <w:p w:rsidR="00F03335" w:rsidRPr="00FE7B65" w:rsidRDefault="00BB456C" w:rsidP="00FE7B65">
      <w:pPr>
        <w:numPr>
          <w:ilvl w:val="0"/>
          <w:numId w:val="12"/>
        </w:numPr>
        <w:ind w:left="567" w:hanging="567"/>
        <w:jc w:val="both"/>
        <w:rPr>
          <w:rFonts w:ascii="Arial" w:hAnsi="Arial" w:cs="Arial"/>
          <w:sz w:val="22"/>
          <w:szCs w:val="22"/>
        </w:rPr>
      </w:pPr>
      <w:r>
        <w:rPr>
          <w:rFonts w:ascii="Arial" w:hAnsi="Arial" w:cs="Arial"/>
          <w:sz w:val="22"/>
          <w:szCs w:val="22"/>
        </w:rPr>
        <w:t xml:space="preserve">In addition to the above, </w:t>
      </w:r>
      <w:r w:rsidR="00F03335" w:rsidRPr="00FE7B65">
        <w:rPr>
          <w:rFonts w:ascii="Arial" w:hAnsi="Arial" w:cs="Arial"/>
          <w:sz w:val="22"/>
          <w:szCs w:val="22"/>
        </w:rPr>
        <w:t xml:space="preserve">the agent </w:t>
      </w:r>
      <w:r>
        <w:rPr>
          <w:rFonts w:ascii="Arial" w:hAnsi="Arial" w:cs="Arial"/>
          <w:sz w:val="22"/>
          <w:szCs w:val="22"/>
        </w:rPr>
        <w:t xml:space="preserve">has </w:t>
      </w:r>
      <w:r w:rsidR="00F03335" w:rsidRPr="00FE7B65">
        <w:rPr>
          <w:rFonts w:ascii="Arial" w:hAnsi="Arial" w:cs="Arial"/>
          <w:sz w:val="22"/>
          <w:szCs w:val="22"/>
        </w:rPr>
        <w:t xml:space="preserve">suggested that the proposal would have been eligible for prior approval under Class Q, Part 3 of the GPDO, </w:t>
      </w:r>
      <w:r w:rsidR="00996F3E">
        <w:rPr>
          <w:rFonts w:ascii="Arial" w:hAnsi="Arial" w:cs="Arial"/>
          <w:sz w:val="22"/>
          <w:szCs w:val="22"/>
        </w:rPr>
        <w:t>had</w:t>
      </w:r>
      <w:r w:rsidR="00F03335" w:rsidRPr="00FE7B65">
        <w:rPr>
          <w:rFonts w:ascii="Arial" w:hAnsi="Arial" w:cs="Arial"/>
          <w:sz w:val="22"/>
          <w:szCs w:val="22"/>
        </w:rPr>
        <w:t xml:space="preserve"> the site </w:t>
      </w:r>
      <w:r w:rsidR="00996F3E">
        <w:rPr>
          <w:rFonts w:ascii="Arial" w:hAnsi="Arial" w:cs="Arial"/>
          <w:sz w:val="22"/>
          <w:szCs w:val="22"/>
        </w:rPr>
        <w:t xml:space="preserve">not </w:t>
      </w:r>
      <w:r w:rsidR="00F03335" w:rsidRPr="00FE7B65">
        <w:rPr>
          <w:rFonts w:ascii="Arial" w:hAnsi="Arial" w:cs="Arial"/>
          <w:sz w:val="22"/>
          <w:szCs w:val="22"/>
        </w:rPr>
        <w:t>be</w:t>
      </w:r>
      <w:r w:rsidR="00996F3E">
        <w:rPr>
          <w:rFonts w:ascii="Arial" w:hAnsi="Arial" w:cs="Arial"/>
          <w:sz w:val="22"/>
          <w:szCs w:val="22"/>
        </w:rPr>
        <w:t>en located</w:t>
      </w:r>
      <w:r w:rsidR="00F03335" w:rsidRPr="00FE7B65">
        <w:rPr>
          <w:rFonts w:ascii="Arial" w:hAnsi="Arial" w:cs="Arial"/>
          <w:sz w:val="22"/>
          <w:szCs w:val="22"/>
        </w:rPr>
        <w:t xml:space="preserve"> within the designated </w:t>
      </w:r>
      <w:r>
        <w:rPr>
          <w:rFonts w:ascii="Arial" w:hAnsi="Arial" w:cs="Arial"/>
          <w:sz w:val="22"/>
          <w:szCs w:val="22"/>
        </w:rPr>
        <w:t>C</w:t>
      </w:r>
      <w:r w:rsidR="00F03335" w:rsidRPr="00FE7B65">
        <w:rPr>
          <w:rFonts w:ascii="Arial" w:hAnsi="Arial" w:cs="Arial"/>
          <w:sz w:val="22"/>
          <w:szCs w:val="22"/>
        </w:rPr>
        <w:t xml:space="preserve">onservation </w:t>
      </w:r>
      <w:r>
        <w:rPr>
          <w:rFonts w:ascii="Arial" w:hAnsi="Arial" w:cs="Arial"/>
          <w:sz w:val="22"/>
          <w:szCs w:val="22"/>
        </w:rPr>
        <w:t>A</w:t>
      </w:r>
      <w:r w:rsidR="00F03335" w:rsidRPr="00FE7B65">
        <w:rPr>
          <w:rFonts w:ascii="Arial" w:hAnsi="Arial" w:cs="Arial"/>
          <w:sz w:val="22"/>
          <w:szCs w:val="22"/>
        </w:rPr>
        <w:t xml:space="preserve">rea. However, as the proposal is situated within the designated conservation area, there is no genuine ‘fall-back’ position available to the applicants and thus, in accordance with Paragraphs 11 and 12 of the NPPF, the starting point for assessing the merits of the proposal is the Development Plan. </w:t>
      </w:r>
      <w:r>
        <w:rPr>
          <w:rFonts w:ascii="Arial" w:hAnsi="Arial" w:cs="Arial"/>
          <w:sz w:val="22"/>
          <w:szCs w:val="22"/>
        </w:rPr>
        <w:t>Notwithstanding this</w:t>
      </w:r>
      <w:r w:rsidR="00F03335" w:rsidRPr="00FE7B65">
        <w:rPr>
          <w:rFonts w:ascii="Arial" w:hAnsi="Arial" w:cs="Arial"/>
          <w:sz w:val="22"/>
          <w:szCs w:val="22"/>
        </w:rPr>
        <w:t xml:space="preserve">, based on the evidence presented </w:t>
      </w:r>
      <w:r>
        <w:rPr>
          <w:rFonts w:ascii="Arial" w:hAnsi="Arial" w:cs="Arial"/>
          <w:sz w:val="22"/>
          <w:szCs w:val="22"/>
        </w:rPr>
        <w:t xml:space="preserve">in the application </w:t>
      </w:r>
      <w:r w:rsidR="00F03335" w:rsidRPr="00FE7B65">
        <w:rPr>
          <w:rFonts w:ascii="Arial" w:hAnsi="Arial" w:cs="Arial"/>
          <w:sz w:val="22"/>
          <w:szCs w:val="22"/>
        </w:rPr>
        <w:t>and the condition of the building on site, it appears highly unlikely that the building could be converted in a manner that would meet the strict requirements of Class Q in any case.</w:t>
      </w:r>
      <w:r>
        <w:rPr>
          <w:rFonts w:ascii="Arial" w:hAnsi="Arial" w:cs="Arial"/>
          <w:sz w:val="22"/>
          <w:szCs w:val="22"/>
        </w:rPr>
        <w:t xml:space="preserve"> </w:t>
      </w:r>
      <w:r w:rsidR="00F03335" w:rsidRPr="00FE7B65">
        <w:rPr>
          <w:rFonts w:ascii="Arial" w:hAnsi="Arial" w:cs="Arial"/>
          <w:sz w:val="22"/>
          <w:szCs w:val="22"/>
        </w:rPr>
        <w:t xml:space="preserve"> </w:t>
      </w:r>
    </w:p>
    <w:p w:rsidR="00F03335" w:rsidRPr="00FE7B65" w:rsidRDefault="00F03335" w:rsidP="00FE7B65">
      <w:pPr>
        <w:ind w:left="567"/>
        <w:jc w:val="both"/>
        <w:rPr>
          <w:rFonts w:ascii="Arial" w:hAnsi="Arial" w:cs="Arial"/>
          <w:sz w:val="22"/>
          <w:szCs w:val="22"/>
        </w:rPr>
      </w:pPr>
    </w:p>
    <w:p w:rsidR="00F03335" w:rsidRPr="00FE7B65" w:rsidRDefault="00F03335" w:rsidP="00FE7B65">
      <w:pPr>
        <w:numPr>
          <w:ilvl w:val="0"/>
          <w:numId w:val="12"/>
        </w:numPr>
        <w:ind w:left="567" w:hanging="567"/>
        <w:jc w:val="both"/>
        <w:rPr>
          <w:rFonts w:ascii="Arial" w:hAnsi="Arial" w:cs="Arial"/>
          <w:sz w:val="22"/>
          <w:szCs w:val="22"/>
        </w:rPr>
      </w:pPr>
      <w:r w:rsidRPr="00FE7B65">
        <w:rPr>
          <w:rFonts w:ascii="Arial" w:hAnsi="Arial" w:cs="Arial"/>
          <w:sz w:val="22"/>
          <w:szCs w:val="22"/>
        </w:rPr>
        <w:t xml:space="preserve">Having regard to the above, the proposal is considered to amount to an inappropriate form of development by resulting in the consolidation of the existing isolated and sporadic development in the open countryside beyond the built up limits of the village of </w:t>
      </w:r>
      <w:proofErr w:type="spellStart"/>
      <w:r w:rsidRPr="00FE7B65">
        <w:rPr>
          <w:rFonts w:ascii="Arial" w:hAnsi="Arial" w:cs="Arial"/>
          <w:sz w:val="22"/>
          <w:szCs w:val="22"/>
        </w:rPr>
        <w:t>Sibford</w:t>
      </w:r>
      <w:proofErr w:type="spellEnd"/>
      <w:r w:rsidRPr="00FE7B65">
        <w:rPr>
          <w:rFonts w:ascii="Arial" w:hAnsi="Arial" w:cs="Arial"/>
          <w:sz w:val="22"/>
          <w:szCs w:val="22"/>
        </w:rPr>
        <w:t xml:space="preserve"> Gower. It would also set an undesirable precedent for similar proposals in the other existing gaps in ‘The Colony’ which would be equally vulnerable to this form of development and would be increasingly </w:t>
      </w:r>
      <w:r w:rsidR="00996F3E">
        <w:rPr>
          <w:rFonts w:ascii="Arial" w:hAnsi="Arial" w:cs="Arial"/>
          <w:sz w:val="22"/>
          <w:szCs w:val="22"/>
        </w:rPr>
        <w:t>more difficult</w:t>
      </w:r>
      <w:r w:rsidR="00996F3E" w:rsidRPr="00FE7B65">
        <w:rPr>
          <w:rFonts w:ascii="Arial" w:hAnsi="Arial" w:cs="Arial"/>
          <w:sz w:val="22"/>
          <w:szCs w:val="22"/>
        </w:rPr>
        <w:t xml:space="preserve"> </w:t>
      </w:r>
      <w:r w:rsidRPr="00FE7B65">
        <w:rPr>
          <w:rFonts w:ascii="Arial" w:hAnsi="Arial" w:cs="Arial"/>
          <w:sz w:val="22"/>
          <w:szCs w:val="22"/>
        </w:rPr>
        <w:t xml:space="preserve">to resist. The proposal would be thus contrary to Saved Policies H18 and H19 of the CLP 1996; Policies ESD1 and ESD13 of the Cherwell Local Plan 2011-2031 Part 1 and Government guidance contained within The Framework. </w:t>
      </w:r>
    </w:p>
    <w:p w:rsidR="00630081" w:rsidRDefault="00630081" w:rsidP="00630081">
      <w:pPr>
        <w:tabs>
          <w:tab w:val="left" w:pos="6480"/>
        </w:tabs>
        <w:ind w:left="567"/>
        <w:jc w:val="both"/>
        <w:rPr>
          <w:rFonts w:ascii="Arial" w:hAnsi="Arial" w:cs="Arial"/>
          <w:sz w:val="22"/>
          <w:szCs w:val="22"/>
          <w:u w:val="single"/>
        </w:rPr>
      </w:pPr>
    </w:p>
    <w:p w:rsidR="00630081" w:rsidRPr="00630081" w:rsidRDefault="00630081" w:rsidP="00630081">
      <w:pPr>
        <w:tabs>
          <w:tab w:val="left" w:pos="6480"/>
        </w:tabs>
        <w:ind w:left="567"/>
        <w:jc w:val="both"/>
        <w:rPr>
          <w:rFonts w:ascii="Arial" w:hAnsi="Arial" w:cs="Arial"/>
          <w:sz w:val="22"/>
          <w:szCs w:val="22"/>
          <w:u w:val="single"/>
        </w:rPr>
      </w:pPr>
      <w:r w:rsidRPr="00630081">
        <w:rPr>
          <w:rFonts w:ascii="Arial" w:hAnsi="Arial" w:cs="Arial"/>
          <w:sz w:val="22"/>
          <w:szCs w:val="22"/>
          <w:u w:val="single"/>
        </w:rPr>
        <w:t>Visual Amenity</w:t>
      </w:r>
    </w:p>
    <w:p w:rsidR="00630081" w:rsidRPr="00630081" w:rsidRDefault="00630081" w:rsidP="00630081">
      <w:pPr>
        <w:jc w:val="both"/>
        <w:rPr>
          <w:rFonts w:ascii="Arial" w:hAnsi="Arial" w:cs="Arial"/>
          <w:sz w:val="22"/>
          <w:szCs w:val="22"/>
        </w:rPr>
      </w:pPr>
    </w:p>
    <w:p w:rsidR="00630081" w:rsidRDefault="00630081" w:rsidP="00630081">
      <w:pPr>
        <w:numPr>
          <w:ilvl w:val="0"/>
          <w:numId w:val="12"/>
        </w:numPr>
        <w:ind w:left="567" w:hanging="567"/>
        <w:jc w:val="both"/>
        <w:rPr>
          <w:rFonts w:ascii="Arial" w:hAnsi="Arial" w:cs="Arial"/>
          <w:sz w:val="22"/>
          <w:szCs w:val="22"/>
        </w:rPr>
      </w:pPr>
      <w:r w:rsidRPr="00630081">
        <w:rPr>
          <w:rFonts w:ascii="Arial" w:hAnsi="Arial" w:cs="Arial"/>
          <w:sz w:val="22"/>
          <w:szCs w:val="22"/>
        </w:rPr>
        <w:t>Government guidance contained within the NPPF requiring good design states that good design is a key aspect of sustainable development, is indivisible from good planning, and should contribute positively to making places better for people. Further, permission should be refused for development of poor design that fails to take the opportunities for improving the character and quality of an area and the way it functions.</w:t>
      </w:r>
    </w:p>
    <w:p w:rsidR="00630081" w:rsidRPr="00630081" w:rsidRDefault="00630081" w:rsidP="00630081">
      <w:pPr>
        <w:ind w:left="567"/>
        <w:jc w:val="both"/>
        <w:rPr>
          <w:rFonts w:ascii="Arial" w:hAnsi="Arial" w:cs="Arial"/>
          <w:sz w:val="22"/>
          <w:szCs w:val="22"/>
        </w:rPr>
      </w:pPr>
    </w:p>
    <w:p w:rsidR="00630081" w:rsidRDefault="00630081" w:rsidP="00630081">
      <w:pPr>
        <w:numPr>
          <w:ilvl w:val="0"/>
          <w:numId w:val="12"/>
        </w:numPr>
        <w:ind w:left="567" w:hanging="567"/>
        <w:jc w:val="both"/>
        <w:rPr>
          <w:rFonts w:ascii="Arial" w:hAnsi="Arial" w:cs="Arial"/>
          <w:sz w:val="22"/>
          <w:szCs w:val="22"/>
        </w:rPr>
      </w:pPr>
      <w:r w:rsidRPr="00630081">
        <w:rPr>
          <w:rFonts w:ascii="Arial" w:hAnsi="Arial" w:cs="Arial"/>
          <w:sz w:val="22"/>
          <w:szCs w:val="22"/>
        </w:rPr>
        <w:t>Policy ESD15 of the CLP 2031 further reinforces this view, in that new development will be expected to complement and enhance the character of its context through sensitive siting, layout and high quality design. It also states development should contribute positively to an area’s character and identity by creating or reinforcing local distinctiveness and respecting local topography and landscape features.</w:t>
      </w:r>
    </w:p>
    <w:p w:rsidR="00630081" w:rsidRDefault="00630081" w:rsidP="00630081">
      <w:pPr>
        <w:ind w:left="567"/>
        <w:jc w:val="both"/>
        <w:rPr>
          <w:rFonts w:ascii="Arial" w:hAnsi="Arial" w:cs="Arial"/>
          <w:sz w:val="22"/>
          <w:szCs w:val="22"/>
        </w:rPr>
      </w:pPr>
    </w:p>
    <w:p w:rsidR="00630081" w:rsidRPr="00630081" w:rsidRDefault="00630081" w:rsidP="00630081">
      <w:pPr>
        <w:numPr>
          <w:ilvl w:val="0"/>
          <w:numId w:val="12"/>
        </w:numPr>
        <w:ind w:left="567" w:hanging="567"/>
        <w:jc w:val="both"/>
        <w:rPr>
          <w:rFonts w:ascii="Arial" w:hAnsi="Arial" w:cs="Arial"/>
          <w:sz w:val="22"/>
          <w:szCs w:val="22"/>
        </w:rPr>
      </w:pPr>
      <w:r w:rsidRPr="00630081">
        <w:rPr>
          <w:rFonts w:ascii="Arial" w:hAnsi="Arial" w:cs="Arial"/>
          <w:sz w:val="22"/>
          <w:szCs w:val="22"/>
        </w:rPr>
        <w:t>Saved Policy C28 of the CLP 1996 states that control will be exercised over all new development to ensure that standards of layout, design and external appearance are sympathetic to the character of the rural or urban context of that development.</w:t>
      </w:r>
    </w:p>
    <w:p w:rsidR="00630081" w:rsidRDefault="00630081" w:rsidP="00630081">
      <w:pPr>
        <w:ind w:left="567"/>
        <w:jc w:val="both"/>
        <w:rPr>
          <w:rFonts w:ascii="Arial" w:hAnsi="Arial" w:cs="Arial"/>
          <w:sz w:val="22"/>
          <w:szCs w:val="22"/>
        </w:rPr>
      </w:pPr>
    </w:p>
    <w:p w:rsidR="00630081" w:rsidRPr="00630081" w:rsidRDefault="00630081" w:rsidP="00630081">
      <w:pPr>
        <w:numPr>
          <w:ilvl w:val="0"/>
          <w:numId w:val="12"/>
        </w:numPr>
        <w:ind w:left="567" w:hanging="567"/>
        <w:jc w:val="both"/>
        <w:rPr>
          <w:rFonts w:ascii="Arial" w:hAnsi="Arial" w:cs="Arial"/>
          <w:sz w:val="22"/>
          <w:szCs w:val="22"/>
        </w:rPr>
      </w:pPr>
      <w:r w:rsidRPr="00630081">
        <w:rPr>
          <w:rFonts w:ascii="Arial" w:hAnsi="Arial" w:cs="Arial"/>
          <w:sz w:val="22"/>
          <w:szCs w:val="22"/>
        </w:rPr>
        <w:t xml:space="preserve">Policy ESD 13 seeks to secure the enhancement of the character and appearance of the landscape, through the restoration, management or enhancement of existing landscapes, features or habitats. At the same time, the Policy requires development to respect and enhance local landscape character, stating that proposals will not be permitted if they would, inter alia, cause undue visual intrusion into the open countryside </w:t>
      </w:r>
    </w:p>
    <w:p w:rsidR="00630081" w:rsidRPr="00630081" w:rsidRDefault="00630081" w:rsidP="00630081">
      <w:pPr>
        <w:ind w:left="567"/>
        <w:jc w:val="both"/>
        <w:rPr>
          <w:rFonts w:ascii="Arial" w:hAnsi="Arial" w:cs="Arial"/>
          <w:sz w:val="22"/>
          <w:szCs w:val="22"/>
        </w:rPr>
      </w:pPr>
    </w:p>
    <w:p w:rsidR="00630081" w:rsidRPr="00630081" w:rsidRDefault="00630081" w:rsidP="00630081">
      <w:pPr>
        <w:numPr>
          <w:ilvl w:val="0"/>
          <w:numId w:val="12"/>
        </w:numPr>
        <w:ind w:left="567" w:hanging="567"/>
        <w:jc w:val="both"/>
        <w:rPr>
          <w:rFonts w:ascii="Arial" w:hAnsi="Arial" w:cs="Arial"/>
          <w:sz w:val="22"/>
          <w:szCs w:val="22"/>
        </w:rPr>
      </w:pPr>
      <w:r w:rsidRPr="00630081">
        <w:rPr>
          <w:rFonts w:ascii="Arial" w:hAnsi="Arial" w:cs="Arial"/>
          <w:sz w:val="22"/>
          <w:szCs w:val="22"/>
        </w:rPr>
        <w:t xml:space="preserve">Section 72(1) of the Planning (Listed Buildings and Conservation Areas) Act 1990 (as amended) states that in carrying out its functions as the Local Planning Authority </w:t>
      </w:r>
      <w:r w:rsidRPr="00630081">
        <w:rPr>
          <w:rFonts w:ascii="Arial" w:hAnsi="Arial" w:cs="Arial"/>
          <w:sz w:val="22"/>
          <w:szCs w:val="22"/>
        </w:rPr>
        <w:lastRenderedPageBreak/>
        <w:t>in respect of development in a conservation area: special attention shall be paid to the desirability of preserving or enhancing the character or appearance of that area. Conservation Areas are designated heritage assets, and Paragraph 132 of the NPPF states that: when considering the impact of a proposed development on the significance of a designated heritage asset, great weight should be given to the asset’s conservation. The more important the asset, the greater the weight should be. Significance can be harmed or lost through alteration or destruction of the heritage asset or development within its setting. As heritage assets are irreplaceable, any harm loss should require clear and convincing justification. Policy ESD15 of the CLP 2031 Part 1 echoes this guidance.</w:t>
      </w:r>
    </w:p>
    <w:p w:rsidR="00630081" w:rsidRPr="00630081" w:rsidRDefault="00630081" w:rsidP="00630081">
      <w:pPr>
        <w:ind w:left="567"/>
        <w:jc w:val="both"/>
        <w:rPr>
          <w:rFonts w:ascii="Arial" w:hAnsi="Arial" w:cs="Arial"/>
          <w:sz w:val="22"/>
          <w:szCs w:val="22"/>
        </w:rPr>
      </w:pPr>
    </w:p>
    <w:p w:rsidR="00630081" w:rsidRDefault="002A4EBA" w:rsidP="00630081">
      <w:pPr>
        <w:numPr>
          <w:ilvl w:val="0"/>
          <w:numId w:val="12"/>
        </w:numPr>
        <w:ind w:left="567" w:hanging="567"/>
        <w:jc w:val="both"/>
        <w:rPr>
          <w:rFonts w:ascii="Arial" w:hAnsi="Arial" w:cs="Arial"/>
          <w:sz w:val="22"/>
          <w:szCs w:val="22"/>
        </w:rPr>
      </w:pPr>
      <w:r>
        <w:rPr>
          <w:rFonts w:ascii="Arial" w:hAnsi="Arial" w:cs="Arial"/>
          <w:sz w:val="22"/>
          <w:szCs w:val="22"/>
        </w:rPr>
        <w:t>T</w:t>
      </w:r>
      <w:r w:rsidR="00630081" w:rsidRPr="00630081">
        <w:rPr>
          <w:rFonts w:ascii="Arial" w:hAnsi="Arial" w:cs="Arial"/>
          <w:sz w:val="22"/>
          <w:szCs w:val="22"/>
        </w:rPr>
        <w:t xml:space="preserve">he site lies within the countryside and retains a very rural character. Whilst the building already exists, it </w:t>
      </w:r>
      <w:r>
        <w:rPr>
          <w:rFonts w:ascii="Arial" w:hAnsi="Arial" w:cs="Arial"/>
          <w:sz w:val="22"/>
          <w:szCs w:val="22"/>
        </w:rPr>
        <w:t xml:space="preserve">is not considered to be of a design or appearance which would contribute positively to the character and appearance of the conservation area. </w:t>
      </w:r>
      <w:r w:rsidR="00630081" w:rsidRPr="00630081">
        <w:rPr>
          <w:rFonts w:ascii="Arial" w:hAnsi="Arial" w:cs="Arial"/>
          <w:sz w:val="22"/>
          <w:szCs w:val="22"/>
        </w:rPr>
        <w:t xml:space="preserve">The </w:t>
      </w:r>
      <w:r>
        <w:rPr>
          <w:rFonts w:ascii="Arial" w:hAnsi="Arial" w:cs="Arial"/>
          <w:sz w:val="22"/>
          <w:szCs w:val="22"/>
        </w:rPr>
        <w:t xml:space="preserve">open, loose knit, </w:t>
      </w:r>
      <w:r w:rsidR="00630081" w:rsidRPr="00630081">
        <w:rPr>
          <w:rFonts w:ascii="Arial" w:hAnsi="Arial" w:cs="Arial"/>
          <w:sz w:val="22"/>
          <w:szCs w:val="22"/>
        </w:rPr>
        <w:t>character of this small group of cottages and their rural setting would be unduly disrupted by the conversion and alteration of this building to a dwelling, given the domestication of the building itself and the rural land to the rear of the site. It is further noted that Public Bridle Way 347/1/10 runs across the field to the rear (south), with views to the site possible from these locations.</w:t>
      </w:r>
      <w:r w:rsidR="00C27D7A">
        <w:rPr>
          <w:rFonts w:ascii="Arial" w:hAnsi="Arial" w:cs="Arial"/>
          <w:sz w:val="22"/>
          <w:szCs w:val="22"/>
        </w:rPr>
        <w:t xml:space="preserve"> Should permission be granted, there would undoubtedly be pressure for the further proliferation of </w:t>
      </w:r>
      <w:r w:rsidR="00AD259C">
        <w:rPr>
          <w:rFonts w:ascii="Arial" w:hAnsi="Arial" w:cs="Arial"/>
          <w:sz w:val="22"/>
          <w:szCs w:val="22"/>
        </w:rPr>
        <w:t>the residential paraphernalia of this dwelling which would have an urbanising effect on the open character of the landscape.</w:t>
      </w:r>
    </w:p>
    <w:p w:rsidR="0092669C" w:rsidRDefault="0092669C" w:rsidP="0037397E">
      <w:pPr>
        <w:pStyle w:val="ListParagraph"/>
        <w:rPr>
          <w:rFonts w:ascii="Arial" w:hAnsi="Arial" w:cs="Arial"/>
          <w:sz w:val="22"/>
          <w:szCs w:val="22"/>
        </w:rPr>
      </w:pPr>
    </w:p>
    <w:p w:rsidR="0092669C" w:rsidRPr="00630081" w:rsidRDefault="0092669C" w:rsidP="00630081">
      <w:pPr>
        <w:numPr>
          <w:ilvl w:val="0"/>
          <w:numId w:val="12"/>
        </w:numPr>
        <w:ind w:left="567" w:hanging="567"/>
        <w:jc w:val="both"/>
        <w:rPr>
          <w:rFonts w:ascii="Arial" w:hAnsi="Arial" w:cs="Arial"/>
          <w:sz w:val="22"/>
          <w:szCs w:val="22"/>
        </w:rPr>
      </w:pPr>
      <w:r>
        <w:rPr>
          <w:rFonts w:ascii="Arial" w:hAnsi="Arial" w:cs="Arial"/>
          <w:sz w:val="22"/>
          <w:szCs w:val="22"/>
        </w:rPr>
        <w:t>This is a conclusion regularly reached by the Council and by Planning Inspectors at appeal in relation to other, similar sites.</w:t>
      </w:r>
    </w:p>
    <w:p w:rsidR="00630081" w:rsidRPr="00630081" w:rsidRDefault="00630081" w:rsidP="00630081">
      <w:pPr>
        <w:ind w:left="567"/>
        <w:jc w:val="both"/>
        <w:rPr>
          <w:rFonts w:ascii="Arial" w:hAnsi="Arial" w:cs="Arial"/>
          <w:sz w:val="22"/>
          <w:szCs w:val="22"/>
        </w:rPr>
      </w:pPr>
    </w:p>
    <w:p w:rsidR="00630081" w:rsidRDefault="00630081" w:rsidP="00630081">
      <w:pPr>
        <w:numPr>
          <w:ilvl w:val="0"/>
          <w:numId w:val="12"/>
        </w:numPr>
        <w:ind w:left="567" w:hanging="567"/>
        <w:jc w:val="both"/>
        <w:rPr>
          <w:rFonts w:ascii="Arial" w:hAnsi="Arial" w:cs="Arial"/>
          <w:sz w:val="22"/>
          <w:szCs w:val="22"/>
        </w:rPr>
      </w:pPr>
      <w:r w:rsidRPr="00630081">
        <w:rPr>
          <w:rFonts w:ascii="Arial" w:hAnsi="Arial" w:cs="Arial"/>
          <w:sz w:val="22"/>
          <w:szCs w:val="22"/>
        </w:rPr>
        <w:t xml:space="preserve">The existing building forms an agricultural building that is of modern construction and is of no particular architectural merit. The proposal </w:t>
      </w:r>
      <w:r w:rsidR="00DE4DF1">
        <w:rPr>
          <w:rFonts w:ascii="Arial" w:hAnsi="Arial" w:cs="Arial"/>
          <w:sz w:val="22"/>
          <w:szCs w:val="22"/>
        </w:rPr>
        <w:t xml:space="preserve">is to repoint </w:t>
      </w:r>
      <w:r w:rsidR="00AD259C">
        <w:rPr>
          <w:rFonts w:ascii="Arial" w:hAnsi="Arial" w:cs="Arial"/>
          <w:sz w:val="22"/>
          <w:szCs w:val="22"/>
        </w:rPr>
        <w:t>and paint the external walls of the building. The pre-application submission proposed to clad the existing building in stone work.</w:t>
      </w:r>
      <w:r w:rsidR="00DE4DF1">
        <w:rPr>
          <w:rFonts w:ascii="Arial" w:hAnsi="Arial" w:cs="Arial"/>
          <w:sz w:val="22"/>
          <w:szCs w:val="22"/>
        </w:rPr>
        <w:t xml:space="preserve"> It was advised at that stage that this would result in the </w:t>
      </w:r>
      <w:r w:rsidR="00AD259C">
        <w:rPr>
          <w:rFonts w:ascii="Arial" w:hAnsi="Arial" w:cs="Arial"/>
          <w:sz w:val="22"/>
          <w:szCs w:val="22"/>
        </w:rPr>
        <w:t xml:space="preserve">slight improvement on the </w:t>
      </w:r>
      <w:r w:rsidR="00DE4DF1">
        <w:rPr>
          <w:rFonts w:ascii="Arial" w:hAnsi="Arial" w:cs="Arial"/>
          <w:sz w:val="22"/>
          <w:szCs w:val="22"/>
        </w:rPr>
        <w:t xml:space="preserve">current </w:t>
      </w:r>
      <w:r w:rsidR="00AD259C">
        <w:rPr>
          <w:rFonts w:ascii="Arial" w:hAnsi="Arial" w:cs="Arial"/>
          <w:sz w:val="22"/>
          <w:szCs w:val="22"/>
        </w:rPr>
        <w:t>situation. Nevertheless, this element has now been omitted from the current proposal</w:t>
      </w:r>
      <w:r w:rsidR="00DE4DF1">
        <w:rPr>
          <w:rFonts w:ascii="Arial" w:hAnsi="Arial" w:cs="Arial"/>
          <w:sz w:val="22"/>
          <w:szCs w:val="22"/>
        </w:rPr>
        <w:t xml:space="preserve"> and the proposed materials are not considered to enhance the character and appearance of the Conservation Area</w:t>
      </w:r>
      <w:r w:rsidR="00AD259C">
        <w:rPr>
          <w:rFonts w:ascii="Arial" w:hAnsi="Arial" w:cs="Arial"/>
          <w:sz w:val="22"/>
          <w:szCs w:val="22"/>
        </w:rPr>
        <w:t xml:space="preserve">.  </w:t>
      </w:r>
    </w:p>
    <w:p w:rsidR="00D9241D" w:rsidRDefault="00D9241D" w:rsidP="00D9241D">
      <w:pPr>
        <w:pStyle w:val="ListParagraph"/>
        <w:rPr>
          <w:rFonts w:ascii="Arial" w:hAnsi="Arial" w:cs="Arial"/>
          <w:sz w:val="22"/>
          <w:szCs w:val="22"/>
        </w:rPr>
      </w:pPr>
    </w:p>
    <w:p w:rsidR="00D9241D" w:rsidRPr="00630081" w:rsidRDefault="00D9241D" w:rsidP="00630081">
      <w:pPr>
        <w:numPr>
          <w:ilvl w:val="0"/>
          <w:numId w:val="12"/>
        </w:numPr>
        <w:ind w:left="567" w:hanging="567"/>
        <w:jc w:val="both"/>
        <w:rPr>
          <w:rFonts w:ascii="Arial" w:hAnsi="Arial" w:cs="Arial"/>
          <w:sz w:val="22"/>
          <w:szCs w:val="22"/>
        </w:rPr>
      </w:pPr>
      <w:r>
        <w:rPr>
          <w:rFonts w:ascii="Arial" w:hAnsi="Arial" w:cs="Arial"/>
          <w:sz w:val="22"/>
          <w:szCs w:val="22"/>
        </w:rPr>
        <w:t>The proposal is situated to the rear of 5 The Colony and would be accessed by a track along the side of the property. The building is wholly within land to the rear of the property and its curtilage. The properties along The Colony predominantly front the street and have some relationship with the street. The current proposal is considered to be back-land development which is at odds with the prevailing pattern of development</w:t>
      </w:r>
      <w:r w:rsidR="0092669C">
        <w:rPr>
          <w:rFonts w:ascii="Arial" w:hAnsi="Arial" w:cs="Arial"/>
          <w:sz w:val="22"/>
          <w:szCs w:val="22"/>
        </w:rPr>
        <w:t>,</w:t>
      </w:r>
      <w:r>
        <w:rPr>
          <w:rFonts w:ascii="Arial" w:hAnsi="Arial" w:cs="Arial"/>
          <w:sz w:val="22"/>
          <w:szCs w:val="22"/>
        </w:rPr>
        <w:t xml:space="preserve"> which would be harmful to the open and rural nature of the site and its surroundings. </w:t>
      </w:r>
    </w:p>
    <w:p w:rsidR="00630081" w:rsidRDefault="00630081" w:rsidP="00630081">
      <w:pPr>
        <w:ind w:left="567"/>
        <w:jc w:val="both"/>
        <w:rPr>
          <w:rFonts w:ascii="Arial" w:hAnsi="Arial" w:cs="Arial"/>
          <w:sz w:val="22"/>
          <w:szCs w:val="22"/>
        </w:rPr>
      </w:pPr>
    </w:p>
    <w:p w:rsidR="00A61374" w:rsidRDefault="00A61374" w:rsidP="00A61374">
      <w:pPr>
        <w:numPr>
          <w:ilvl w:val="0"/>
          <w:numId w:val="12"/>
        </w:numPr>
        <w:ind w:left="567" w:hanging="567"/>
        <w:jc w:val="both"/>
        <w:rPr>
          <w:rFonts w:ascii="Arial" w:hAnsi="Arial" w:cs="Arial"/>
          <w:sz w:val="22"/>
          <w:szCs w:val="22"/>
        </w:rPr>
      </w:pPr>
      <w:r>
        <w:rPr>
          <w:rFonts w:ascii="Arial" w:hAnsi="Arial" w:cs="Arial"/>
          <w:sz w:val="22"/>
          <w:szCs w:val="22"/>
        </w:rPr>
        <w:t>The applicant ha</w:t>
      </w:r>
      <w:r w:rsidR="0092669C">
        <w:rPr>
          <w:rFonts w:ascii="Arial" w:hAnsi="Arial" w:cs="Arial"/>
          <w:sz w:val="22"/>
          <w:szCs w:val="22"/>
        </w:rPr>
        <w:t>s</w:t>
      </w:r>
      <w:r>
        <w:rPr>
          <w:rFonts w:ascii="Arial" w:hAnsi="Arial" w:cs="Arial"/>
          <w:sz w:val="22"/>
          <w:szCs w:val="22"/>
        </w:rPr>
        <w:t xml:space="preserve"> advised in their covering letter that as part of this development </w:t>
      </w:r>
      <w:r w:rsidR="0092669C">
        <w:rPr>
          <w:rFonts w:ascii="Arial" w:hAnsi="Arial" w:cs="Arial"/>
          <w:sz w:val="22"/>
          <w:szCs w:val="22"/>
        </w:rPr>
        <w:t xml:space="preserve">she </w:t>
      </w:r>
      <w:r>
        <w:rPr>
          <w:rFonts w:ascii="Arial" w:hAnsi="Arial" w:cs="Arial"/>
          <w:sz w:val="22"/>
          <w:szCs w:val="22"/>
        </w:rPr>
        <w:t xml:space="preserve">would put the overhead </w:t>
      </w:r>
      <w:r w:rsidR="00E15E81">
        <w:rPr>
          <w:rFonts w:ascii="Arial" w:hAnsi="Arial" w:cs="Arial"/>
          <w:sz w:val="22"/>
          <w:szCs w:val="22"/>
        </w:rPr>
        <w:t>cables</w:t>
      </w:r>
      <w:r>
        <w:rPr>
          <w:rFonts w:ascii="Arial" w:hAnsi="Arial" w:cs="Arial"/>
          <w:sz w:val="22"/>
          <w:szCs w:val="22"/>
        </w:rPr>
        <w:t xml:space="preserve"> underground. It is noted that </w:t>
      </w:r>
      <w:r w:rsidR="00E15E81">
        <w:rPr>
          <w:rFonts w:ascii="Arial" w:hAnsi="Arial" w:cs="Arial"/>
          <w:sz w:val="22"/>
          <w:szCs w:val="22"/>
        </w:rPr>
        <w:t>an ‘action’ within the Conservation Area appraisal is to ‘encourage underground power cables to reduce visual pollution’. Whilst there would be some benefit in doing so in this area, n</w:t>
      </w:r>
      <w:r>
        <w:rPr>
          <w:rFonts w:ascii="Arial" w:hAnsi="Arial" w:cs="Arial"/>
          <w:sz w:val="22"/>
          <w:szCs w:val="22"/>
        </w:rPr>
        <w:t>o details have been provided of the extent of wires which would be put underground. Furthermore, no confirmation has been submitted from the utilities company to advise that t</w:t>
      </w:r>
      <w:r w:rsidR="00E15E81">
        <w:rPr>
          <w:rFonts w:ascii="Arial" w:hAnsi="Arial" w:cs="Arial"/>
          <w:sz w:val="22"/>
          <w:szCs w:val="22"/>
        </w:rPr>
        <w:t xml:space="preserve">his is a realistic possibility </w:t>
      </w:r>
      <w:r w:rsidR="00DE4DF1">
        <w:rPr>
          <w:rFonts w:ascii="Arial" w:hAnsi="Arial" w:cs="Arial"/>
          <w:sz w:val="22"/>
          <w:szCs w:val="22"/>
        </w:rPr>
        <w:t>(</w:t>
      </w:r>
      <w:r w:rsidR="00E15E81">
        <w:rPr>
          <w:rFonts w:ascii="Arial" w:hAnsi="Arial" w:cs="Arial"/>
          <w:sz w:val="22"/>
          <w:szCs w:val="22"/>
        </w:rPr>
        <w:t xml:space="preserve">and therefore </w:t>
      </w:r>
      <w:r w:rsidR="00DE4DF1">
        <w:rPr>
          <w:rFonts w:ascii="Arial" w:hAnsi="Arial" w:cs="Arial"/>
          <w:sz w:val="22"/>
          <w:szCs w:val="22"/>
        </w:rPr>
        <w:t>may not actually be possible)</w:t>
      </w:r>
      <w:r w:rsidR="00E15E81">
        <w:rPr>
          <w:rFonts w:ascii="Arial" w:hAnsi="Arial" w:cs="Arial"/>
          <w:sz w:val="22"/>
          <w:szCs w:val="22"/>
        </w:rPr>
        <w:t xml:space="preserve">. </w:t>
      </w:r>
    </w:p>
    <w:p w:rsidR="00A61374" w:rsidRDefault="00A61374" w:rsidP="00A61374">
      <w:pPr>
        <w:pStyle w:val="ListParagraph"/>
        <w:rPr>
          <w:rFonts w:ascii="Arial" w:hAnsi="Arial" w:cs="Arial"/>
          <w:sz w:val="22"/>
          <w:szCs w:val="22"/>
        </w:rPr>
      </w:pPr>
    </w:p>
    <w:p w:rsidR="00A61374" w:rsidRPr="00E15E81" w:rsidRDefault="0092669C" w:rsidP="00E15E81">
      <w:pPr>
        <w:numPr>
          <w:ilvl w:val="0"/>
          <w:numId w:val="12"/>
        </w:numPr>
        <w:ind w:left="567" w:hanging="567"/>
        <w:jc w:val="both"/>
        <w:rPr>
          <w:rFonts w:ascii="Arial" w:hAnsi="Arial" w:cs="Arial"/>
          <w:sz w:val="22"/>
          <w:szCs w:val="22"/>
        </w:rPr>
      </w:pPr>
      <w:r>
        <w:rPr>
          <w:rFonts w:ascii="Arial" w:hAnsi="Arial" w:cs="Arial"/>
          <w:sz w:val="22"/>
          <w:szCs w:val="22"/>
        </w:rPr>
        <w:t>Even if details were forthcoming</w:t>
      </w:r>
      <w:r w:rsidR="00E15E81" w:rsidRPr="00E15E81">
        <w:rPr>
          <w:rFonts w:ascii="Arial" w:hAnsi="Arial" w:cs="Arial"/>
          <w:sz w:val="22"/>
          <w:szCs w:val="22"/>
        </w:rPr>
        <w:t>, it is not considered that this could be conditioned</w:t>
      </w:r>
      <w:r w:rsidR="00303D92">
        <w:rPr>
          <w:rFonts w:ascii="Arial" w:hAnsi="Arial" w:cs="Arial"/>
          <w:sz w:val="22"/>
          <w:szCs w:val="22"/>
        </w:rPr>
        <w:t xml:space="preserve"> in any planning permission</w:t>
      </w:r>
      <w:r w:rsidR="00E15E81" w:rsidRPr="00E15E81">
        <w:rPr>
          <w:rFonts w:ascii="Arial" w:hAnsi="Arial" w:cs="Arial"/>
          <w:sz w:val="22"/>
          <w:szCs w:val="22"/>
        </w:rPr>
        <w:t xml:space="preserve">. When applying conditions, the Government’s guidance is to apply </w:t>
      </w:r>
      <w:r w:rsidR="00E15E81">
        <w:rPr>
          <w:rFonts w:ascii="Arial" w:hAnsi="Arial" w:cs="Arial"/>
          <w:sz w:val="22"/>
          <w:szCs w:val="22"/>
        </w:rPr>
        <w:t xml:space="preserve">all of the </w:t>
      </w:r>
      <w:r w:rsidR="00E15E81" w:rsidRPr="00E15E81">
        <w:rPr>
          <w:rFonts w:ascii="Arial" w:hAnsi="Arial" w:cs="Arial"/>
          <w:sz w:val="22"/>
          <w:szCs w:val="22"/>
        </w:rPr>
        <w:t xml:space="preserve">6 tests: is </w:t>
      </w:r>
      <w:r w:rsidR="00E15E81">
        <w:rPr>
          <w:rFonts w:ascii="Arial" w:hAnsi="Arial" w:cs="Arial"/>
          <w:sz w:val="22"/>
          <w:szCs w:val="22"/>
        </w:rPr>
        <w:t>it</w:t>
      </w:r>
      <w:r w:rsidR="00E15E81" w:rsidRPr="00E15E81">
        <w:rPr>
          <w:rFonts w:ascii="Arial" w:hAnsi="Arial" w:cs="Arial"/>
          <w:sz w:val="22"/>
          <w:szCs w:val="22"/>
        </w:rPr>
        <w:t xml:space="preserve"> </w:t>
      </w:r>
      <w:r w:rsidR="00303D92">
        <w:rPr>
          <w:rFonts w:ascii="Arial" w:hAnsi="Arial" w:cs="Arial"/>
          <w:sz w:val="22"/>
          <w:szCs w:val="22"/>
        </w:rPr>
        <w:t>‘</w:t>
      </w:r>
      <w:r w:rsidR="00E15E81" w:rsidRPr="00303D92">
        <w:rPr>
          <w:rFonts w:ascii="Arial" w:hAnsi="Arial" w:cs="Arial"/>
          <w:i/>
          <w:sz w:val="22"/>
          <w:szCs w:val="22"/>
        </w:rPr>
        <w:t>necessary; relevant to planning and; to the development to be permitted; enforceable; precise and; reasonable in all other respects</w:t>
      </w:r>
      <w:r w:rsidR="00303D92" w:rsidRPr="00303D92">
        <w:rPr>
          <w:rFonts w:ascii="Arial" w:hAnsi="Arial" w:cs="Arial"/>
          <w:i/>
          <w:sz w:val="22"/>
          <w:szCs w:val="22"/>
        </w:rPr>
        <w:t>’</w:t>
      </w:r>
      <w:r w:rsidR="00E15E81" w:rsidRPr="00E15E81">
        <w:rPr>
          <w:rFonts w:ascii="Arial" w:hAnsi="Arial" w:cs="Arial"/>
          <w:sz w:val="22"/>
          <w:szCs w:val="22"/>
        </w:rPr>
        <w:t>.</w:t>
      </w:r>
      <w:r w:rsidR="00E15E81">
        <w:rPr>
          <w:rFonts w:ascii="Arial" w:hAnsi="Arial" w:cs="Arial"/>
          <w:sz w:val="22"/>
          <w:szCs w:val="22"/>
        </w:rPr>
        <w:t xml:space="preserve"> In this instance, a condition requiring the applicants to put the cables underground would be unreasonable, unrelated to planning and </w:t>
      </w:r>
      <w:r w:rsidR="00E15E81">
        <w:rPr>
          <w:rFonts w:ascii="Arial" w:hAnsi="Arial" w:cs="Arial"/>
          <w:sz w:val="22"/>
          <w:szCs w:val="22"/>
        </w:rPr>
        <w:lastRenderedPageBreak/>
        <w:t xml:space="preserve">unrelated to the development. Should Members be minded to approve the application (contrary to the Officer’s recommendation), </w:t>
      </w:r>
      <w:r>
        <w:rPr>
          <w:rFonts w:ascii="Arial" w:hAnsi="Arial" w:cs="Arial"/>
          <w:sz w:val="22"/>
          <w:szCs w:val="22"/>
        </w:rPr>
        <w:t xml:space="preserve">such </w:t>
      </w:r>
      <w:r w:rsidR="00E15E81">
        <w:rPr>
          <w:rFonts w:ascii="Arial" w:hAnsi="Arial" w:cs="Arial"/>
          <w:sz w:val="22"/>
          <w:szCs w:val="22"/>
        </w:rPr>
        <w:t xml:space="preserve">a condition would not </w:t>
      </w:r>
      <w:r>
        <w:rPr>
          <w:rFonts w:ascii="Arial" w:hAnsi="Arial" w:cs="Arial"/>
          <w:sz w:val="22"/>
          <w:szCs w:val="22"/>
        </w:rPr>
        <w:t>make the development acceptable</w:t>
      </w:r>
      <w:r w:rsidR="00E15E81">
        <w:rPr>
          <w:rFonts w:ascii="Arial" w:hAnsi="Arial" w:cs="Arial"/>
          <w:sz w:val="22"/>
          <w:szCs w:val="22"/>
        </w:rPr>
        <w:t xml:space="preserve">. </w:t>
      </w:r>
      <w:r w:rsidR="00303D92">
        <w:rPr>
          <w:rFonts w:ascii="Arial" w:hAnsi="Arial" w:cs="Arial"/>
          <w:sz w:val="22"/>
          <w:szCs w:val="22"/>
        </w:rPr>
        <w:t xml:space="preserve">If a condition is </w:t>
      </w:r>
      <w:r w:rsidR="00B13AAA">
        <w:rPr>
          <w:rFonts w:ascii="Arial" w:hAnsi="Arial" w:cs="Arial"/>
          <w:sz w:val="22"/>
          <w:szCs w:val="22"/>
        </w:rPr>
        <w:t>imposed</w:t>
      </w:r>
      <w:r w:rsidR="00303D92">
        <w:rPr>
          <w:rFonts w:ascii="Arial" w:hAnsi="Arial" w:cs="Arial"/>
          <w:sz w:val="22"/>
          <w:szCs w:val="22"/>
        </w:rPr>
        <w:t xml:space="preserve"> and the </w:t>
      </w:r>
      <w:r w:rsidR="00E15E81">
        <w:rPr>
          <w:rFonts w:ascii="Arial" w:hAnsi="Arial" w:cs="Arial"/>
          <w:sz w:val="22"/>
          <w:szCs w:val="22"/>
        </w:rPr>
        <w:t>applicant’s later apply to remove the condition, then it is likely that the application would be approved (as it is unlikely to be defendable at appeal</w:t>
      </w:r>
      <w:r w:rsidR="00303D92">
        <w:rPr>
          <w:rFonts w:ascii="Arial" w:hAnsi="Arial" w:cs="Arial"/>
          <w:sz w:val="22"/>
          <w:szCs w:val="22"/>
        </w:rPr>
        <w:t xml:space="preserve"> having regard to the 6 tests</w:t>
      </w:r>
      <w:r w:rsidR="00E15E81">
        <w:rPr>
          <w:rFonts w:ascii="Arial" w:hAnsi="Arial" w:cs="Arial"/>
          <w:sz w:val="22"/>
          <w:szCs w:val="22"/>
        </w:rPr>
        <w:t xml:space="preserve">). If Members are minded to approve the application, then regard should be had as to whether or not </w:t>
      </w:r>
      <w:r w:rsidR="00303D92">
        <w:rPr>
          <w:rFonts w:ascii="Arial" w:hAnsi="Arial" w:cs="Arial"/>
          <w:sz w:val="22"/>
          <w:szCs w:val="22"/>
        </w:rPr>
        <w:t>the development</w:t>
      </w:r>
      <w:r w:rsidR="00E15E81">
        <w:rPr>
          <w:rFonts w:ascii="Arial" w:hAnsi="Arial" w:cs="Arial"/>
          <w:sz w:val="22"/>
          <w:szCs w:val="22"/>
        </w:rPr>
        <w:t xml:space="preserve"> is acceptable regardless of the removal of the overhead cables.</w:t>
      </w:r>
    </w:p>
    <w:p w:rsidR="00A61374" w:rsidRDefault="00A61374" w:rsidP="00E15E81">
      <w:pPr>
        <w:jc w:val="both"/>
        <w:rPr>
          <w:rFonts w:ascii="Arial" w:hAnsi="Arial" w:cs="Arial"/>
          <w:sz w:val="22"/>
          <w:szCs w:val="22"/>
        </w:rPr>
      </w:pPr>
    </w:p>
    <w:p w:rsidR="00630081" w:rsidRDefault="00AD259C" w:rsidP="00630081">
      <w:pPr>
        <w:numPr>
          <w:ilvl w:val="0"/>
          <w:numId w:val="12"/>
        </w:numPr>
        <w:ind w:left="567" w:hanging="567"/>
        <w:jc w:val="both"/>
        <w:rPr>
          <w:rFonts w:ascii="Arial" w:hAnsi="Arial" w:cs="Arial"/>
          <w:sz w:val="22"/>
          <w:szCs w:val="22"/>
        </w:rPr>
      </w:pPr>
      <w:r>
        <w:rPr>
          <w:rFonts w:ascii="Arial" w:hAnsi="Arial" w:cs="Arial"/>
          <w:sz w:val="22"/>
          <w:szCs w:val="22"/>
        </w:rPr>
        <w:t xml:space="preserve">No details have been provided on the works required to upgrade the existing </w:t>
      </w:r>
      <w:r w:rsidR="00630081" w:rsidRPr="00630081">
        <w:rPr>
          <w:rFonts w:ascii="Arial" w:hAnsi="Arial" w:cs="Arial"/>
          <w:sz w:val="22"/>
          <w:szCs w:val="22"/>
        </w:rPr>
        <w:t xml:space="preserve">track </w:t>
      </w:r>
      <w:r>
        <w:rPr>
          <w:rFonts w:ascii="Arial" w:hAnsi="Arial" w:cs="Arial"/>
          <w:sz w:val="22"/>
          <w:szCs w:val="22"/>
        </w:rPr>
        <w:t xml:space="preserve">to the site. The proposal is </w:t>
      </w:r>
      <w:r w:rsidR="00D9241D">
        <w:rPr>
          <w:rFonts w:ascii="Arial" w:hAnsi="Arial" w:cs="Arial"/>
          <w:sz w:val="22"/>
          <w:szCs w:val="22"/>
        </w:rPr>
        <w:t xml:space="preserve">also </w:t>
      </w:r>
      <w:r>
        <w:rPr>
          <w:rFonts w:ascii="Arial" w:hAnsi="Arial" w:cs="Arial"/>
          <w:sz w:val="22"/>
          <w:szCs w:val="22"/>
        </w:rPr>
        <w:t xml:space="preserve">likely to require the </w:t>
      </w:r>
      <w:r w:rsidR="00630081" w:rsidRPr="00630081">
        <w:rPr>
          <w:rFonts w:ascii="Arial" w:hAnsi="Arial" w:cs="Arial"/>
          <w:sz w:val="22"/>
          <w:szCs w:val="22"/>
        </w:rPr>
        <w:t xml:space="preserve">removal of </w:t>
      </w:r>
      <w:r w:rsidR="00D9241D">
        <w:rPr>
          <w:rFonts w:ascii="Arial" w:hAnsi="Arial" w:cs="Arial"/>
          <w:sz w:val="22"/>
          <w:szCs w:val="22"/>
        </w:rPr>
        <w:t xml:space="preserve">some of the </w:t>
      </w:r>
      <w:r w:rsidR="00630081" w:rsidRPr="00630081">
        <w:rPr>
          <w:rFonts w:ascii="Arial" w:hAnsi="Arial" w:cs="Arial"/>
          <w:sz w:val="22"/>
          <w:szCs w:val="22"/>
        </w:rPr>
        <w:t xml:space="preserve">hedgerow </w:t>
      </w:r>
      <w:r>
        <w:rPr>
          <w:rFonts w:ascii="Arial" w:hAnsi="Arial" w:cs="Arial"/>
          <w:sz w:val="22"/>
          <w:szCs w:val="22"/>
        </w:rPr>
        <w:t xml:space="preserve">along the Colony </w:t>
      </w:r>
      <w:r w:rsidR="00D9241D">
        <w:rPr>
          <w:rFonts w:ascii="Arial" w:hAnsi="Arial" w:cs="Arial"/>
          <w:sz w:val="22"/>
          <w:szCs w:val="22"/>
        </w:rPr>
        <w:t xml:space="preserve">(as per the pre-application advice) </w:t>
      </w:r>
      <w:r>
        <w:rPr>
          <w:rFonts w:ascii="Arial" w:hAnsi="Arial" w:cs="Arial"/>
          <w:sz w:val="22"/>
          <w:szCs w:val="22"/>
        </w:rPr>
        <w:t xml:space="preserve">to </w:t>
      </w:r>
      <w:r w:rsidR="00630081" w:rsidRPr="00630081">
        <w:rPr>
          <w:rFonts w:ascii="Arial" w:hAnsi="Arial" w:cs="Arial"/>
          <w:sz w:val="22"/>
          <w:szCs w:val="22"/>
        </w:rPr>
        <w:t xml:space="preserve">allow </w:t>
      </w:r>
      <w:r w:rsidR="002639FC">
        <w:rPr>
          <w:rFonts w:ascii="Arial" w:hAnsi="Arial" w:cs="Arial"/>
          <w:sz w:val="22"/>
          <w:szCs w:val="22"/>
        </w:rPr>
        <w:t xml:space="preserve">the necessary </w:t>
      </w:r>
      <w:r>
        <w:rPr>
          <w:rFonts w:ascii="Arial" w:hAnsi="Arial" w:cs="Arial"/>
          <w:sz w:val="22"/>
          <w:szCs w:val="22"/>
        </w:rPr>
        <w:t>vision splay</w:t>
      </w:r>
      <w:r w:rsidR="002639FC">
        <w:rPr>
          <w:rFonts w:ascii="Arial" w:hAnsi="Arial" w:cs="Arial"/>
          <w:sz w:val="22"/>
          <w:szCs w:val="22"/>
        </w:rPr>
        <w:t>s</w:t>
      </w:r>
      <w:r>
        <w:rPr>
          <w:rFonts w:ascii="Arial" w:hAnsi="Arial" w:cs="Arial"/>
          <w:sz w:val="22"/>
          <w:szCs w:val="22"/>
        </w:rPr>
        <w:t xml:space="preserve"> and safe </w:t>
      </w:r>
      <w:r w:rsidR="00630081" w:rsidRPr="00630081">
        <w:rPr>
          <w:rFonts w:ascii="Arial" w:hAnsi="Arial" w:cs="Arial"/>
          <w:sz w:val="22"/>
          <w:szCs w:val="22"/>
        </w:rPr>
        <w:t xml:space="preserve">access </w:t>
      </w:r>
      <w:r>
        <w:rPr>
          <w:rFonts w:ascii="Arial" w:hAnsi="Arial" w:cs="Arial"/>
          <w:sz w:val="22"/>
          <w:szCs w:val="22"/>
        </w:rPr>
        <w:t xml:space="preserve">to the site. The removal of these hedgerows </w:t>
      </w:r>
      <w:r w:rsidR="00630081" w:rsidRPr="00630081">
        <w:rPr>
          <w:rFonts w:ascii="Arial" w:hAnsi="Arial" w:cs="Arial"/>
          <w:sz w:val="22"/>
          <w:szCs w:val="22"/>
        </w:rPr>
        <w:t xml:space="preserve">is likely to compound the visual impact of the development and further domesticate the visual appearance of the site. This </w:t>
      </w:r>
      <w:r w:rsidR="002639FC">
        <w:rPr>
          <w:rFonts w:ascii="Arial" w:hAnsi="Arial" w:cs="Arial"/>
          <w:sz w:val="22"/>
          <w:szCs w:val="22"/>
        </w:rPr>
        <w:t xml:space="preserve">loss of hedgerow </w:t>
      </w:r>
      <w:r w:rsidR="00630081" w:rsidRPr="00630081">
        <w:rPr>
          <w:rFonts w:ascii="Arial" w:hAnsi="Arial" w:cs="Arial"/>
          <w:sz w:val="22"/>
          <w:szCs w:val="22"/>
        </w:rPr>
        <w:t xml:space="preserve">is also considered to result in </w:t>
      </w:r>
      <w:r w:rsidR="002639FC">
        <w:rPr>
          <w:rFonts w:ascii="Arial" w:hAnsi="Arial" w:cs="Arial"/>
          <w:sz w:val="22"/>
          <w:szCs w:val="22"/>
        </w:rPr>
        <w:t xml:space="preserve">demonstrable </w:t>
      </w:r>
      <w:r w:rsidR="00630081" w:rsidRPr="00630081">
        <w:rPr>
          <w:rFonts w:ascii="Arial" w:hAnsi="Arial" w:cs="Arial"/>
          <w:sz w:val="22"/>
          <w:szCs w:val="22"/>
        </w:rPr>
        <w:t>harm to the character and appearance of the Conservation Area by eroding the rural setting of the historic buildings within ‘The Colony’ and the relationship between the properties (former small holdings) and the land.</w:t>
      </w:r>
    </w:p>
    <w:p w:rsidR="00D9241D" w:rsidRDefault="00D9241D" w:rsidP="00D9241D">
      <w:pPr>
        <w:pStyle w:val="ListParagraph"/>
        <w:rPr>
          <w:rFonts w:ascii="Arial" w:hAnsi="Arial" w:cs="Arial"/>
          <w:sz w:val="22"/>
          <w:szCs w:val="22"/>
        </w:rPr>
      </w:pPr>
    </w:p>
    <w:p w:rsidR="00D9241D" w:rsidRDefault="00D9241D" w:rsidP="00D9241D">
      <w:pPr>
        <w:numPr>
          <w:ilvl w:val="0"/>
          <w:numId w:val="12"/>
        </w:numPr>
        <w:ind w:left="567" w:hanging="567"/>
        <w:jc w:val="both"/>
        <w:rPr>
          <w:rFonts w:ascii="Arial" w:hAnsi="Arial" w:cs="Arial"/>
          <w:sz w:val="22"/>
          <w:szCs w:val="22"/>
        </w:rPr>
      </w:pPr>
      <w:r>
        <w:rPr>
          <w:rFonts w:ascii="Arial" w:hAnsi="Arial" w:cs="Arial"/>
          <w:sz w:val="22"/>
          <w:szCs w:val="22"/>
        </w:rPr>
        <w:t xml:space="preserve">Having regard to all of the above, the proposal, by way of its </w:t>
      </w:r>
      <w:proofErr w:type="spellStart"/>
      <w:r>
        <w:rPr>
          <w:rFonts w:ascii="Arial" w:hAnsi="Arial" w:cs="Arial"/>
          <w:sz w:val="22"/>
          <w:szCs w:val="22"/>
        </w:rPr>
        <w:t>backland</w:t>
      </w:r>
      <w:proofErr w:type="spellEnd"/>
      <w:r>
        <w:rPr>
          <w:rFonts w:ascii="Arial" w:hAnsi="Arial" w:cs="Arial"/>
          <w:sz w:val="22"/>
          <w:szCs w:val="22"/>
        </w:rPr>
        <w:t xml:space="preserve"> position, fails to address the street in which it would be accessed from and would be wholly to the rear of 5 The Colony. The proposal would, thus be at odds with the prevailing pattern of development which would be harmful to the open and rural nature of the site and its surroundings</w:t>
      </w:r>
      <w:r w:rsidR="002639FC">
        <w:rPr>
          <w:rFonts w:ascii="Arial" w:hAnsi="Arial" w:cs="Arial"/>
          <w:sz w:val="22"/>
          <w:szCs w:val="22"/>
        </w:rPr>
        <w:t xml:space="preserve"> and fail to preserve the character and appearance of the Conservation Area</w:t>
      </w:r>
      <w:r>
        <w:rPr>
          <w:rFonts w:ascii="Arial" w:hAnsi="Arial" w:cs="Arial"/>
          <w:sz w:val="22"/>
          <w:szCs w:val="22"/>
        </w:rPr>
        <w:t xml:space="preserve">. The proposal is therefore contrary to Saved Policy C28 of the CLP 1996; Policy ESD 15 of the CLP 2031 (Part 1); and Government guidance contained within The Framework. </w:t>
      </w:r>
    </w:p>
    <w:p w:rsidR="00AD259C" w:rsidRDefault="00AD259C" w:rsidP="00AD259C">
      <w:pPr>
        <w:pStyle w:val="ListParagraph"/>
        <w:rPr>
          <w:rFonts w:ascii="Arial" w:hAnsi="Arial" w:cs="Arial"/>
          <w:sz w:val="22"/>
          <w:szCs w:val="22"/>
        </w:rPr>
      </w:pPr>
    </w:p>
    <w:p w:rsidR="00630081" w:rsidRDefault="00630081" w:rsidP="00630081">
      <w:pPr>
        <w:tabs>
          <w:tab w:val="left" w:pos="6480"/>
        </w:tabs>
        <w:ind w:left="567"/>
        <w:jc w:val="both"/>
        <w:rPr>
          <w:rFonts w:ascii="Arial" w:hAnsi="Arial" w:cs="Arial"/>
          <w:sz w:val="22"/>
          <w:szCs w:val="22"/>
          <w:u w:val="single"/>
        </w:rPr>
      </w:pPr>
      <w:r w:rsidRPr="00630081">
        <w:rPr>
          <w:rFonts w:ascii="Arial" w:hAnsi="Arial" w:cs="Arial"/>
          <w:sz w:val="22"/>
          <w:szCs w:val="22"/>
          <w:u w:val="single"/>
        </w:rPr>
        <w:t xml:space="preserve">Neighbour Amenity </w:t>
      </w:r>
    </w:p>
    <w:p w:rsidR="00630081" w:rsidRPr="00630081" w:rsidRDefault="00630081" w:rsidP="00630081">
      <w:pPr>
        <w:tabs>
          <w:tab w:val="left" w:pos="6480"/>
        </w:tabs>
        <w:ind w:left="567"/>
        <w:jc w:val="both"/>
        <w:rPr>
          <w:rFonts w:ascii="Arial" w:hAnsi="Arial" w:cs="Arial"/>
          <w:sz w:val="22"/>
          <w:szCs w:val="22"/>
          <w:u w:val="single"/>
        </w:rPr>
      </w:pPr>
    </w:p>
    <w:p w:rsidR="00C23892" w:rsidRDefault="00C23892" w:rsidP="00C23892">
      <w:pPr>
        <w:numPr>
          <w:ilvl w:val="0"/>
          <w:numId w:val="12"/>
        </w:numPr>
        <w:tabs>
          <w:tab w:val="left" w:pos="567"/>
        </w:tabs>
        <w:spacing w:after="240"/>
        <w:ind w:left="567" w:hanging="567"/>
        <w:jc w:val="both"/>
        <w:rPr>
          <w:rFonts w:ascii="Arial" w:hAnsi="Arial" w:cs="Arial"/>
          <w:sz w:val="22"/>
          <w:szCs w:val="22"/>
        </w:rPr>
      </w:pPr>
      <w:r>
        <w:rPr>
          <w:rFonts w:ascii="Arial" w:hAnsi="Arial" w:cs="Arial"/>
          <w:sz w:val="22"/>
          <w:szCs w:val="22"/>
        </w:rPr>
        <w:t xml:space="preserve">Policy ESD15 of the Cherwell Local Plan 2011 – 2031 Part 1 states that new development proposals should consider the amenity of both existing and future development, including matters of privacy, outlook, natural lighting, ventilation and indoor and outdoor space. </w:t>
      </w:r>
    </w:p>
    <w:p w:rsidR="00630081" w:rsidRPr="00630081" w:rsidRDefault="00630081" w:rsidP="00630081">
      <w:pPr>
        <w:numPr>
          <w:ilvl w:val="0"/>
          <w:numId w:val="12"/>
        </w:numPr>
        <w:ind w:left="567" w:hanging="567"/>
        <w:jc w:val="both"/>
        <w:rPr>
          <w:rFonts w:ascii="Arial" w:hAnsi="Arial" w:cs="Arial"/>
          <w:sz w:val="22"/>
          <w:szCs w:val="22"/>
        </w:rPr>
      </w:pPr>
      <w:r w:rsidRPr="00630081">
        <w:rPr>
          <w:rFonts w:ascii="Arial" w:hAnsi="Arial" w:cs="Arial"/>
          <w:sz w:val="22"/>
          <w:szCs w:val="22"/>
        </w:rPr>
        <w:t>Given the proposed siting of the property and isolated nature of the site, it is unlikely that there would be any harm caused to neighbour’s amenity</w:t>
      </w:r>
      <w:r w:rsidR="00C23892">
        <w:rPr>
          <w:rFonts w:ascii="Arial" w:hAnsi="Arial" w:cs="Arial"/>
          <w:sz w:val="22"/>
          <w:szCs w:val="22"/>
        </w:rPr>
        <w:t>. Whilst there is a window on the side</w:t>
      </w:r>
      <w:r w:rsidRPr="00630081">
        <w:rPr>
          <w:rFonts w:ascii="Arial" w:hAnsi="Arial" w:cs="Arial"/>
          <w:sz w:val="22"/>
          <w:szCs w:val="22"/>
        </w:rPr>
        <w:t xml:space="preserve"> (east) elevation</w:t>
      </w:r>
      <w:r w:rsidR="00C23892">
        <w:rPr>
          <w:rFonts w:ascii="Arial" w:hAnsi="Arial" w:cs="Arial"/>
          <w:sz w:val="22"/>
          <w:szCs w:val="22"/>
        </w:rPr>
        <w:t>, this is unlikely to result in any overlooking</w:t>
      </w:r>
      <w:r w:rsidRPr="00630081">
        <w:rPr>
          <w:rFonts w:ascii="Arial" w:hAnsi="Arial" w:cs="Arial"/>
          <w:sz w:val="22"/>
          <w:szCs w:val="22"/>
        </w:rPr>
        <w:t xml:space="preserve"> </w:t>
      </w:r>
      <w:r w:rsidR="00C23892">
        <w:rPr>
          <w:rFonts w:ascii="Arial" w:hAnsi="Arial" w:cs="Arial"/>
          <w:sz w:val="22"/>
          <w:szCs w:val="22"/>
        </w:rPr>
        <w:t xml:space="preserve">of </w:t>
      </w:r>
      <w:r w:rsidRPr="00630081">
        <w:rPr>
          <w:rFonts w:ascii="Arial" w:hAnsi="Arial" w:cs="Arial"/>
          <w:sz w:val="22"/>
          <w:szCs w:val="22"/>
        </w:rPr>
        <w:t>the neighbouring property</w:t>
      </w:r>
      <w:r w:rsidR="00D9241D">
        <w:rPr>
          <w:rFonts w:ascii="Arial" w:hAnsi="Arial" w:cs="Arial"/>
          <w:sz w:val="22"/>
          <w:szCs w:val="22"/>
        </w:rPr>
        <w:t xml:space="preserve"> (as any views are</w:t>
      </w:r>
      <w:r w:rsidR="00C23892">
        <w:rPr>
          <w:rFonts w:ascii="Arial" w:hAnsi="Arial" w:cs="Arial"/>
          <w:sz w:val="22"/>
          <w:szCs w:val="22"/>
        </w:rPr>
        <w:t xml:space="preserve"> likely to </w:t>
      </w:r>
      <w:r w:rsidR="00D9241D">
        <w:rPr>
          <w:rFonts w:ascii="Arial" w:hAnsi="Arial" w:cs="Arial"/>
          <w:sz w:val="22"/>
          <w:szCs w:val="22"/>
        </w:rPr>
        <w:t>be screened by the vegetation between the properties)</w:t>
      </w:r>
      <w:r w:rsidR="00C23892">
        <w:rPr>
          <w:rFonts w:ascii="Arial" w:hAnsi="Arial" w:cs="Arial"/>
          <w:sz w:val="22"/>
          <w:szCs w:val="22"/>
        </w:rPr>
        <w:t xml:space="preserve">. </w:t>
      </w:r>
      <w:r w:rsidR="00D9241D">
        <w:rPr>
          <w:rFonts w:ascii="Arial" w:hAnsi="Arial" w:cs="Arial"/>
          <w:sz w:val="22"/>
          <w:szCs w:val="22"/>
        </w:rPr>
        <w:t>Furthermore, t</w:t>
      </w:r>
      <w:r w:rsidR="00C23892">
        <w:rPr>
          <w:rFonts w:ascii="Arial" w:hAnsi="Arial" w:cs="Arial"/>
          <w:sz w:val="22"/>
          <w:szCs w:val="22"/>
        </w:rPr>
        <w:t>he high level windows in the gables would not allow views out of</w:t>
      </w:r>
      <w:r w:rsidR="00C727FC">
        <w:rPr>
          <w:rFonts w:ascii="Arial" w:hAnsi="Arial" w:cs="Arial"/>
          <w:sz w:val="22"/>
          <w:szCs w:val="22"/>
        </w:rPr>
        <w:t>,</w:t>
      </w:r>
      <w:r w:rsidR="00C23892">
        <w:rPr>
          <w:rFonts w:ascii="Arial" w:hAnsi="Arial" w:cs="Arial"/>
          <w:sz w:val="22"/>
          <w:szCs w:val="22"/>
        </w:rPr>
        <w:t xml:space="preserve"> or into</w:t>
      </w:r>
      <w:r w:rsidR="00C727FC">
        <w:rPr>
          <w:rFonts w:ascii="Arial" w:hAnsi="Arial" w:cs="Arial"/>
          <w:sz w:val="22"/>
          <w:szCs w:val="22"/>
        </w:rPr>
        <w:t>,</w:t>
      </w:r>
      <w:r w:rsidR="00C23892">
        <w:rPr>
          <w:rFonts w:ascii="Arial" w:hAnsi="Arial" w:cs="Arial"/>
          <w:sz w:val="22"/>
          <w:szCs w:val="22"/>
        </w:rPr>
        <w:t xml:space="preserve"> the building and therefore would not result in a loss of privacy to the neighbouring occupiers or the future occupiers of the application site.</w:t>
      </w:r>
    </w:p>
    <w:p w:rsidR="00630081" w:rsidRPr="00630081" w:rsidRDefault="00630081" w:rsidP="00630081">
      <w:pPr>
        <w:rPr>
          <w:rFonts w:ascii="Arial" w:hAnsi="Arial" w:cs="Arial"/>
          <w:color w:val="FF0000"/>
          <w:sz w:val="22"/>
          <w:szCs w:val="22"/>
        </w:rPr>
      </w:pPr>
    </w:p>
    <w:p w:rsidR="00630081" w:rsidRDefault="00630081" w:rsidP="00630081">
      <w:pPr>
        <w:tabs>
          <w:tab w:val="left" w:pos="6480"/>
        </w:tabs>
        <w:ind w:left="567"/>
        <w:jc w:val="both"/>
        <w:rPr>
          <w:rFonts w:ascii="Arial" w:hAnsi="Arial" w:cs="Arial"/>
          <w:sz w:val="22"/>
          <w:szCs w:val="22"/>
          <w:u w:val="single"/>
        </w:rPr>
      </w:pPr>
      <w:r w:rsidRPr="00630081">
        <w:rPr>
          <w:rFonts w:ascii="Arial" w:hAnsi="Arial" w:cs="Arial"/>
          <w:sz w:val="22"/>
          <w:szCs w:val="22"/>
          <w:u w:val="single"/>
        </w:rPr>
        <w:t>Highway Safety</w:t>
      </w:r>
    </w:p>
    <w:p w:rsidR="00AC43CF" w:rsidRDefault="00AC43CF" w:rsidP="00630081">
      <w:pPr>
        <w:tabs>
          <w:tab w:val="left" w:pos="6480"/>
        </w:tabs>
        <w:ind w:left="567"/>
        <w:jc w:val="both"/>
        <w:rPr>
          <w:rFonts w:ascii="Arial" w:hAnsi="Arial" w:cs="Arial"/>
          <w:sz w:val="22"/>
          <w:szCs w:val="22"/>
          <w:u w:val="single"/>
        </w:rPr>
      </w:pPr>
    </w:p>
    <w:p w:rsidR="00AC43CF" w:rsidRPr="00AC43CF" w:rsidRDefault="00AC43CF" w:rsidP="00AC43CF">
      <w:pPr>
        <w:numPr>
          <w:ilvl w:val="0"/>
          <w:numId w:val="12"/>
        </w:numPr>
        <w:ind w:left="567" w:hanging="567"/>
        <w:jc w:val="both"/>
        <w:rPr>
          <w:rFonts w:ascii="Arial" w:hAnsi="Arial" w:cs="Arial"/>
          <w:sz w:val="22"/>
          <w:szCs w:val="22"/>
        </w:rPr>
      </w:pPr>
      <w:r w:rsidRPr="00AC43CF">
        <w:rPr>
          <w:rFonts w:ascii="Arial" w:hAnsi="Arial" w:cs="Arial"/>
          <w:sz w:val="22"/>
          <w:szCs w:val="22"/>
        </w:rPr>
        <w:t>Policy ESD15 of the CLP 2031 Part 1 states, amongst other matters, that new development proposals should: be designed to deliver high quality safe…places to live and work in. This is consistent with Paragraph 35 of the NPPF which states that: developments should be located and designed where practical to…create safe and secure layouts which minimise conflicts between traffic and cyclists or pedestrians.</w:t>
      </w:r>
    </w:p>
    <w:p w:rsidR="00630081" w:rsidRPr="00630081" w:rsidRDefault="00630081" w:rsidP="00630081">
      <w:pPr>
        <w:tabs>
          <w:tab w:val="left" w:pos="6480"/>
        </w:tabs>
        <w:ind w:left="567"/>
        <w:jc w:val="both"/>
        <w:rPr>
          <w:rFonts w:ascii="Arial" w:hAnsi="Arial" w:cs="Arial"/>
          <w:sz w:val="22"/>
          <w:szCs w:val="22"/>
          <w:u w:val="single"/>
        </w:rPr>
      </w:pPr>
    </w:p>
    <w:p w:rsidR="00630081" w:rsidRPr="00630081" w:rsidRDefault="00630081" w:rsidP="00630081">
      <w:pPr>
        <w:numPr>
          <w:ilvl w:val="0"/>
          <w:numId w:val="12"/>
        </w:numPr>
        <w:ind w:left="567" w:hanging="567"/>
        <w:jc w:val="both"/>
        <w:rPr>
          <w:rFonts w:ascii="Arial" w:hAnsi="Arial" w:cs="Arial"/>
          <w:sz w:val="22"/>
          <w:szCs w:val="22"/>
        </w:rPr>
      </w:pPr>
      <w:r w:rsidRPr="00630081">
        <w:rPr>
          <w:rFonts w:ascii="Arial" w:hAnsi="Arial" w:cs="Arial"/>
          <w:sz w:val="22"/>
          <w:szCs w:val="22"/>
        </w:rPr>
        <w:t xml:space="preserve">The Local Highway Authority (LHA) </w:t>
      </w:r>
      <w:r w:rsidR="00AC43CF">
        <w:rPr>
          <w:rFonts w:ascii="Arial" w:hAnsi="Arial" w:cs="Arial"/>
          <w:sz w:val="22"/>
          <w:szCs w:val="22"/>
        </w:rPr>
        <w:t>raises no objections to the proposals</w:t>
      </w:r>
      <w:r w:rsidR="002639FC">
        <w:rPr>
          <w:rFonts w:ascii="Arial" w:hAnsi="Arial" w:cs="Arial"/>
          <w:sz w:val="22"/>
          <w:szCs w:val="22"/>
        </w:rPr>
        <w:t>, subject to certain conditions</w:t>
      </w:r>
      <w:r w:rsidR="00AC43CF">
        <w:rPr>
          <w:rFonts w:ascii="Arial" w:hAnsi="Arial" w:cs="Arial"/>
          <w:sz w:val="22"/>
          <w:szCs w:val="22"/>
        </w:rPr>
        <w:t>. Whilst i</w:t>
      </w:r>
      <w:r w:rsidRPr="00630081">
        <w:rPr>
          <w:rFonts w:ascii="Arial" w:hAnsi="Arial" w:cs="Arial"/>
          <w:sz w:val="22"/>
          <w:szCs w:val="22"/>
        </w:rPr>
        <w:t xml:space="preserve">t is noted that there have, in the past, been issues regarding the provision of access to the site, </w:t>
      </w:r>
      <w:r w:rsidR="00AC43CF">
        <w:rPr>
          <w:rFonts w:ascii="Arial" w:hAnsi="Arial" w:cs="Arial"/>
          <w:sz w:val="22"/>
          <w:szCs w:val="22"/>
        </w:rPr>
        <w:t xml:space="preserve">in this instance the </w:t>
      </w:r>
      <w:r w:rsidRPr="00630081">
        <w:rPr>
          <w:rFonts w:ascii="Arial" w:hAnsi="Arial" w:cs="Arial"/>
          <w:sz w:val="22"/>
          <w:szCs w:val="22"/>
        </w:rPr>
        <w:t xml:space="preserve">LHA did not </w:t>
      </w:r>
      <w:r w:rsidR="00AC43CF">
        <w:rPr>
          <w:rFonts w:ascii="Arial" w:hAnsi="Arial" w:cs="Arial"/>
          <w:sz w:val="22"/>
          <w:szCs w:val="22"/>
        </w:rPr>
        <w:lastRenderedPageBreak/>
        <w:t>raise any objections to this application</w:t>
      </w:r>
      <w:r w:rsidRPr="00630081">
        <w:rPr>
          <w:rFonts w:ascii="Arial" w:hAnsi="Arial" w:cs="Arial"/>
          <w:sz w:val="22"/>
          <w:szCs w:val="22"/>
        </w:rPr>
        <w:t xml:space="preserve">. </w:t>
      </w:r>
      <w:r w:rsidR="00AC43CF">
        <w:rPr>
          <w:rFonts w:ascii="Arial" w:hAnsi="Arial" w:cs="Arial"/>
          <w:sz w:val="22"/>
          <w:szCs w:val="22"/>
        </w:rPr>
        <w:t>It is therefore, considered that a reason for refusal on this basis could not be sustained at appeal.</w:t>
      </w:r>
    </w:p>
    <w:p w:rsidR="00630081" w:rsidRPr="00630081" w:rsidRDefault="00630081" w:rsidP="00630081">
      <w:pPr>
        <w:ind w:left="567"/>
        <w:jc w:val="both"/>
        <w:rPr>
          <w:rFonts w:ascii="Arial" w:hAnsi="Arial" w:cs="Arial"/>
          <w:sz w:val="22"/>
          <w:szCs w:val="22"/>
        </w:rPr>
      </w:pPr>
    </w:p>
    <w:p w:rsidR="00630081" w:rsidRDefault="00630081" w:rsidP="00630081">
      <w:pPr>
        <w:tabs>
          <w:tab w:val="left" w:pos="6480"/>
        </w:tabs>
        <w:ind w:left="567"/>
        <w:jc w:val="both"/>
        <w:rPr>
          <w:rFonts w:ascii="Arial" w:hAnsi="Arial" w:cs="Arial"/>
          <w:sz w:val="22"/>
          <w:szCs w:val="22"/>
          <w:u w:val="single"/>
        </w:rPr>
      </w:pPr>
      <w:r w:rsidRPr="00630081">
        <w:rPr>
          <w:rFonts w:ascii="Arial" w:hAnsi="Arial" w:cs="Arial"/>
          <w:sz w:val="22"/>
          <w:szCs w:val="22"/>
          <w:u w:val="single"/>
        </w:rPr>
        <w:t>Ecological Impact</w:t>
      </w:r>
    </w:p>
    <w:p w:rsidR="00630081" w:rsidRPr="00630081" w:rsidRDefault="00630081" w:rsidP="00630081">
      <w:pPr>
        <w:tabs>
          <w:tab w:val="left" w:pos="6480"/>
        </w:tabs>
        <w:ind w:left="567"/>
        <w:jc w:val="both"/>
        <w:rPr>
          <w:rFonts w:ascii="Arial" w:hAnsi="Arial" w:cs="Arial"/>
          <w:sz w:val="22"/>
          <w:szCs w:val="22"/>
          <w:u w:val="single"/>
        </w:rPr>
      </w:pPr>
    </w:p>
    <w:p w:rsidR="004C5764" w:rsidRPr="004C5764" w:rsidRDefault="004C5764" w:rsidP="004C5764">
      <w:pPr>
        <w:numPr>
          <w:ilvl w:val="0"/>
          <w:numId w:val="12"/>
        </w:numPr>
        <w:ind w:left="567" w:hanging="567"/>
        <w:jc w:val="both"/>
        <w:rPr>
          <w:rFonts w:ascii="Arial" w:hAnsi="Arial" w:cs="Arial"/>
          <w:i/>
          <w:sz w:val="22"/>
          <w:szCs w:val="22"/>
        </w:rPr>
      </w:pPr>
      <w:r w:rsidRPr="004C5764">
        <w:rPr>
          <w:rFonts w:ascii="Arial" w:hAnsi="Arial" w:cs="Arial"/>
          <w:sz w:val="22"/>
          <w:szCs w:val="22"/>
        </w:rPr>
        <w:t xml:space="preserve">Section 40 of the Natural Environment and Rural Communities Act 2006 (as amended) places a duty on all public authorities in England and Wales to have regard, in the exercise of their functions, to the purpose of conserving biodiversity.  A key purpose of this duty is to embed consideration of biodiversity as an integral part of policy and decision making. Paragraph 99 of Circular 06/2005: Biodiversity and Geological Conservation states that: </w:t>
      </w:r>
      <w:r w:rsidRPr="004C5764">
        <w:rPr>
          <w:rFonts w:ascii="Arial" w:hAnsi="Arial" w:cs="Arial"/>
          <w:i/>
          <w:sz w:val="22"/>
          <w:szCs w:val="22"/>
        </w:rPr>
        <w:t xml:space="preserve">It is essential that the presence or otherwise of protected species, and the extent that they may be affected by the proposed development, is established before the planning permission is granted, otherwise all relevant material considerations may not have been addressed in making the decision. </w:t>
      </w:r>
    </w:p>
    <w:p w:rsidR="004C5764" w:rsidRPr="004C5764" w:rsidRDefault="004C5764" w:rsidP="004C5764">
      <w:pPr>
        <w:ind w:left="567"/>
        <w:jc w:val="both"/>
        <w:rPr>
          <w:rFonts w:ascii="Arial" w:hAnsi="Arial" w:cs="Arial"/>
          <w:i/>
          <w:sz w:val="22"/>
          <w:szCs w:val="22"/>
        </w:rPr>
      </w:pPr>
    </w:p>
    <w:p w:rsidR="004C5764" w:rsidRDefault="004C5764" w:rsidP="004C5764">
      <w:pPr>
        <w:numPr>
          <w:ilvl w:val="0"/>
          <w:numId w:val="12"/>
        </w:numPr>
        <w:ind w:left="567" w:hanging="567"/>
        <w:jc w:val="both"/>
        <w:rPr>
          <w:rFonts w:ascii="Arial" w:hAnsi="Arial" w:cs="Arial"/>
          <w:sz w:val="22"/>
          <w:szCs w:val="22"/>
        </w:rPr>
      </w:pPr>
      <w:r w:rsidRPr="004C5764">
        <w:rPr>
          <w:rFonts w:ascii="Arial" w:hAnsi="Arial" w:cs="Arial"/>
          <w:sz w:val="22"/>
          <w:szCs w:val="22"/>
        </w:rPr>
        <w:t xml:space="preserve">Paragraph 109 of the NPPF states that: </w:t>
      </w:r>
      <w:r w:rsidRPr="004C5764">
        <w:rPr>
          <w:rFonts w:ascii="Arial" w:hAnsi="Arial" w:cs="Arial"/>
          <w:i/>
          <w:sz w:val="22"/>
          <w:szCs w:val="22"/>
        </w:rPr>
        <w:t>The planning system should contribute to and enhance the natural and local environment by…minimising impacts on biodiversity and providing net gains in biodiversity where possible.</w:t>
      </w:r>
      <w:r w:rsidRPr="004C5764">
        <w:rPr>
          <w:rFonts w:ascii="Arial" w:hAnsi="Arial" w:cs="Arial"/>
          <w:sz w:val="22"/>
          <w:szCs w:val="22"/>
        </w:rPr>
        <w:t xml:space="preserve"> This requirement is echoed by Policy ESD10 of the CLP 2031 Part 1.</w:t>
      </w:r>
    </w:p>
    <w:p w:rsidR="004C5764" w:rsidRDefault="004C5764" w:rsidP="004C5764">
      <w:pPr>
        <w:pStyle w:val="ListParagraph"/>
        <w:rPr>
          <w:rFonts w:ascii="Arial" w:hAnsi="Arial" w:cs="Arial"/>
          <w:sz w:val="22"/>
          <w:szCs w:val="22"/>
        </w:rPr>
      </w:pPr>
    </w:p>
    <w:p w:rsidR="004C5764" w:rsidRPr="00665688" w:rsidRDefault="004C5764" w:rsidP="004C5764">
      <w:pPr>
        <w:numPr>
          <w:ilvl w:val="0"/>
          <w:numId w:val="12"/>
        </w:numPr>
        <w:ind w:left="567" w:hanging="567"/>
        <w:jc w:val="both"/>
        <w:rPr>
          <w:rFonts w:ascii="Arial" w:hAnsi="Arial" w:cs="Arial"/>
          <w:sz w:val="22"/>
          <w:szCs w:val="22"/>
        </w:rPr>
      </w:pPr>
      <w:r w:rsidRPr="00665688">
        <w:rPr>
          <w:rFonts w:ascii="Arial" w:hAnsi="Arial" w:cs="Arial"/>
          <w:sz w:val="22"/>
          <w:szCs w:val="22"/>
        </w:rPr>
        <w:t>The applicant ha</w:t>
      </w:r>
      <w:r w:rsidR="002639FC">
        <w:rPr>
          <w:rFonts w:ascii="Arial" w:hAnsi="Arial" w:cs="Arial"/>
          <w:sz w:val="22"/>
          <w:szCs w:val="22"/>
        </w:rPr>
        <w:t>s</w:t>
      </w:r>
      <w:r w:rsidRPr="00665688">
        <w:rPr>
          <w:rFonts w:ascii="Arial" w:hAnsi="Arial" w:cs="Arial"/>
          <w:sz w:val="22"/>
          <w:szCs w:val="22"/>
        </w:rPr>
        <w:t xml:space="preserve"> provided a Bat Assessment with the submission of the application. The Ecologist has advises that they raise no objections to the proposal (following clarity that the smaller outbuildings have also been surveyed). </w:t>
      </w:r>
      <w:r w:rsidR="00504CD4" w:rsidRPr="00665688">
        <w:rPr>
          <w:rFonts w:ascii="Arial" w:hAnsi="Arial" w:cs="Arial"/>
          <w:sz w:val="22"/>
          <w:szCs w:val="22"/>
        </w:rPr>
        <w:t>The proposal is, therefore, considered to be acceptable in this regard.</w:t>
      </w:r>
    </w:p>
    <w:p w:rsidR="00630081" w:rsidRPr="00630081" w:rsidRDefault="00630081" w:rsidP="00630081">
      <w:pPr>
        <w:ind w:left="567"/>
        <w:jc w:val="both"/>
        <w:rPr>
          <w:rFonts w:ascii="Arial" w:hAnsi="Arial" w:cs="Arial"/>
          <w:b/>
          <w:sz w:val="22"/>
          <w:szCs w:val="22"/>
        </w:rPr>
      </w:pPr>
    </w:p>
    <w:p w:rsidR="0032279D" w:rsidRPr="00371CF9" w:rsidRDefault="001B59D9" w:rsidP="00AD206D">
      <w:pPr>
        <w:numPr>
          <w:ilvl w:val="0"/>
          <w:numId w:val="2"/>
        </w:numPr>
        <w:tabs>
          <w:tab w:val="clear" w:pos="360"/>
          <w:tab w:val="left" w:pos="567"/>
        </w:tabs>
        <w:spacing w:after="240"/>
        <w:ind w:left="709" w:hanging="709"/>
        <w:jc w:val="both"/>
        <w:rPr>
          <w:rFonts w:ascii="Arial" w:hAnsi="Arial" w:cs="Arial"/>
          <w:b/>
          <w:sz w:val="22"/>
          <w:szCs w:val="22"/>
        </w:rPr>
      </w:pPr>
      <w:r w:rsidRPr="00371CF9">
        <w:rPr>
          <w:rFonts w:ascii="Arial" w:hAnsi="Arial" w:cs="Arial"/>
          <w:b/>
          <w:sz w:val="22"/>
          <w:szCs w:val="22"/>
        </w:rPr>
        <w:t xml:space="preserve">PLANNING BALANCE AND </w:t>
      </w:r>
      <w:r w:rsidR="00E4191D" w:rsidRPr="00371CF9">
        <w:rPr>
          <w:rFonts w:ascii="Arial" w:hAnsi="Arial" w:cs="Arial"/>
          <w:b/>
          <w:sz w:val="22"/>
          <w:szCs w:val="22"/>
        </w:rPr>
        <w:t>CONCLUSION</w:t>
      </w:r>
    </w:p>
    <w:p w:rsidR="00D60810" w:rsidRDefault="00D60810" w:rsidP="00D60810">
      <w:pPr>
        <w:numPr>
          <w:ilvl w:val="0"/>
          <w:numId w:val="13"/>
        </w:numPr>
        <w:tabs>
          <w:tab w:val="clear" w:pos="360"/>
          <w:tab w:val="num" w:pos="567"/>
        </w:tabs>
        <w:spacing w:after="240"/>
        <w:ind w:left="567" w:hanging="567"/>
        <w:jc w:val="both"/>
        <w:rPr>
          <w:rFonts w:ascii="Arial" w:hAnsi="Arial" w:cs="Arial"/>
          <w:sz w:val="22"/>
          <w:szCs w:val="22"/>
        </w:rPr>
      </w:pPr>
      <w:r>
        <w:rPr>
          <w:rFonts w:ascii="Arial" w:hAnsi="Arial" w:cs="Arial"/>
          <w:sz w:val="22"/>
          <w:szCs w:val="22"/>
        </w:rPr>
        <w:t xml:space="preserve">Having regard to all of the above, the proposal is considered to result in the creation of a dwelling </w:t>
      </w:r>
      <w:r w:rsidRPr="00D60810">
        <w:rPr>
          <w:rFonts w:ascii="Arial" w:hAnsi="Arial" w:cs="Arial"/>
          <w:sz w:val="22"/>
          <w:szCs w:val="22"/>
        </w:rPr>
        <w:t>outside of the built limits o</w:t>
      </w:r>
      <w:r>
        <w:rPr>
          <w:rFonts w:ascii="Arial" w:hAnsi="Arial" w:cs="Arial"/>
          <w:sz w:val="22"/>
          <w:szCs w:val="22"/>
        </w:rPr>
        <w:t xml:space="preserve">f the village of </w:t>
      </w:r>
      <w:proofErr w:type="spellStart"/>
      <w:r>
        <w:rPr>
          <w:rFonts w:ascii="Arial" w:hAnsi="Arial" w:cs="Arial"/>
          <w:sz w:val="22"/>
          <w:szCs w:val="22"/>
        </w:rPr>
        <w:t>Sibford</w:t>
      </w:r>
      <w:proofErr w:type="spellEnd"/>
      <w:r>
        <w:rPr>
          <w:rFonts w:ascii="Arial" w:hAnsi="Arial" w:cs="Arial"/>
          <w:sz w:val="22"/>
          <w:szCs w:val="22"/>
        </w:rPr>
        <w:t xml:space="preserve"> Gower a</w:t>
      </w:r>
      <w:r w:rsidRPr="00D60810">
        <w:rPr>
          <w:rFonts w:ascii="Arial" w:hAnsi="Arial" w:cs="Arial"/>
          <w:sz w:val="22"/>
          <w:szCs w:val="22"/>
        </w:rPr>
        <w:t xml:space="preserve">nd therefore the proposal would also be contrary to Saved Policies C8 and H18 of the CLP 1996; Policy ESD1 of the CLP 2031 (Part 1); and Government guidance contained within The Framework. </w:t>
      </w:r>
      <w:r>
        <w:rPr>
          <w:rFonts w:ascii="Arial" w:hAnsi="Arial" w:cs="Arial"/>
          <w:sz w:val="22"/>
          <w:szCs w:val="22"/>
        </w:rPr>
        <w:t>The p</w:t>
      </w:r>
      <w:r w:rsidRPr="00D60810">
        <w:rPr>
          <w:rFonts w:ascii="Arial" w:hAnsi="Arial" w:cs="Arial"/>
          <w:sz w:val="22"/>
          <w:szCs w:val="22"/>
        </w:rPr>
        <w:t>roposal</w:t>
      </w:r>
      <w:r>
        <w:rPr>
          <w:rFonts w:ascii="Arial" w:hAnsi="Arial" w:cs="Arial"/>
          <w:sz w:val="22"/>
          <w:szCs w:val="22"/>
        </w:rPr>
        <w:t>s</w:t>
      </w:r>
      <w:r w:rsidRPr="00D60810">
        <w:rPr>
          <w:rFonts w:ascii="Arial" w:hAnsi="Arial" w:cs="Arial"/>
          <w:sz w:val="22"/>
          <w:szCs w:val="22"/>
        </w:rPr>
        <w:t xml:space="preserve"> do not fall within the remit of Policy Villages 1 of the CLP 2031 (Part 1) as it is outside of the built limits of the village.</w:t>
      </w:r>
      <w:r>
        <w:rPr>
          <w:rFonts w:ascii="Arial" w:hAnsi="Arial" w:cs="Arial"/>
          <w:sz w:val="22"/>
          <w:szCs w:val="22"/>
        </w:rPr>
        <w:t xml:space="preserve"> </w:t>
      </w:r>
    </w:p>
    <w:p w:rsidR="00D60810" w:rsidRPr="00D60810" w:rsidRDefault="00D60810" w:rsidP="00D60810">
      <w:pPr>
        <w:numPr>
          <w:ilvl w:val="0"/>
          <w:numId w:val="13"/>
        </w:numPr>
        <w:tabs>
          <w:tab w:val="clear" w:pos="360"/>
          <w:tab w:val="num" w:pos="567"/>
        </w:tabs>
        <w:spacing w:after="240"/>
        <w:ind w:left="567" w:hanging="567"/>
        <w:jc w:val="both"/>
        <w:rPr>
          <w:rFonts w:ascii="Arial" w:hAnsi="Arial" w:cs="Arial"/>
          <w:sz w:val="22"/>
          <w:szCs w:val="22"/>
        </w:rPr>
      </w:pPr>
      <w:r>
        <w:rPr>
          <w:rFonts w:ascii="Arial" w:hAnsi="Arial" w:cs="Arial"/>
          <w:sz w:val="22"/>
          <w:szCs w:val="22"/>
        </w:rPr>
        <w:t>Notwithstanding the above, the proposal, by way of its back land position, fails to address the street in which it would be accessed from and would be wholly to the rear of 5 The Colony. The proposal would, thus be at odds with the prevailing pattern of development which would be harmful to the open and rural nature of the site and its surroundings</w:t>
      </w:r>
      <w:r w:rsidR="002639FC">
        <w:rPr>
          <w:rFonts w:ascii="Arial" w:hAnsi="Arial" w:cs="Arial"/>
          <w:sz w:val="22"/>
          <w:szCs w:val="22"/>
        </w:rPr>
        <w:t xml:space="preserve"> and fail to preserve the character and appearance of the Conservation Area</w:t>
      </w:r>
      <w:r>
        <w:rPr>
          <w:rFonts w:ascii="Arial" w:hAnsi="Arial" w:cs="Arial"/>
          <w:sz w:val="22"/>
          <w:szCs w:val="22"/>
        </w:rPr>
        <w:t>. The proposal is therefore contrary to Saved Policy C28 of the CLP 1996; Policy ESD 15 of the CLP 2031 (Part 1); and Government guidance contained within The Framework.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E4191D" w:rsidRPr="00371CF9" w:rsidTr="00147EA3">
        <w:tc>
          <w:tcPr>
            <w:tcW w:w="9004" w:type="dxa"/>
          </w:tcPr>
          <w:p w:rsidR="008308E1" w:rsidRPr="00B13AAA" w:rsidRDefault="008308E1" w:rsidP="00B13AAA">
            <w:pPr>
              <w:numPr>
                <w:ilvl w:val="0"/>
                <w:numId w:val="2"/>
              </w:numPr>
              <w:tabs>
                <w:tab w:val="clear" w:pos="360"/>
                <w:tab w:val="left" w:pos="567"/>
              </w:tabs>
              <w:spacing w:after="240"/>
              <w:ind w:left="709" w:hanging="709"/>
              <w:jc w:val="both"/>
              <w:rPr>
                <w:rFonts w:ascii="Arial" w:hAnsi="Arial" w:cs="Arial"/>
                <w:color w:val="FF0000"/>
                <w:sz w:val="22"/>
                <w:szCs w:val="22"/>
              </w:rPr>
            </w:pPr>
            <w:r w:rsidRPr="00B13AAA">
              <w:rPr>
                <w:rFonts w:ascii="Arial" w:hAnsi="Arial" w:cs="Arial"/>
                <w:b/>
                <w:bCs/>
                <w:sz w:val="22"/>
                <w:szCs w:val="22"/>
                <w:lang w:eastAsia="en-US"/>
              </w:rPr>
              <w:t>RECOMMENDATION</w:t>
            </w:r>
            <w:r w:rsidR="00B13AAA" w:rsidRPr="00B13AAA">
              <w:rPr>
                <w:rFonts w:ascii="Arial" w:hAnsi="Arial" w:cs="Arial"/>
                <w:b/>
                <w:bCs/>
                <w:sz w:val="22"/>
                <w:szCs w:val="22"/>
                <w:lang w:eastAsia="en-US"/>
              </w:rPr>
              <w:t xml:space="preserve">: </w:t>
            </w:r>
            <w:r w:rsidRPr="00B13AAA">
              <w:rPr>
                <w:rFonts w:ascii="Arial" w:hAnsi="Arial" w:cs="Arial"/>
                <w:sz w:val="22"/>
                <w:szCs w:val="22"/>
              </w:rPr>
              <w:t>That permission is refused, for the following reason(s):</w:t>
            </w:r>
            <w:r w:rsidRPr="00B13AAA">
              <w:rPr>
                <w:rFonts w:ascii="Arial" w:hAnsi="Arial" w:cs="Arial"/>
                <w:color w:val="FF0000"/>
                <w:sz w:val="22"/>
                <w:szCs w:val="22"/>
              </w:rPr>
              <w:t xml:space="preserve"> </w:t>
            </w:r>
          </w:p>
          <w:p w:rsidR="00B13AAA" w:rsidRPr="00B13AAA" w:rsidRDefault="00B13AAA" w:rsidP="00B13AAA">
            <w:pPr>
              <w:pStyle w:val="ListParagraph"/>
              <w:numPr>
                <w:ilvl w:val="0"/>
                <w:numId w:val="23"/>
              </w:numPr>
              <w:ind w:left="567" w:hanging="283"/>
              <w:jc w:val="both"/>
              <w:rPr>
                <w:rFonts w:ascii="Arial" w:hAnsi="Arial" w:cs="Arial"/>
                <w:sz w:val="22"/>
                <w:szCs w:val="22"/>
              </w:rPr>
            </w:pPr>
            <w:bookmarkStart w:id="0" w:name="_GoBack"/>
            <w:r w:rsidRPr="00B13AAA">
              <w:rPr>
                <w:rFonts w:ascii="Arial" w:hAnsi="Arial" w:cs="Arial"/>
                <w:sz w:val="22"/>
                <w:szCs w:val="22"/>
              </w:rPr>
              <w:t>The proposal</w:t>
            </w:r>
            <w:r w:rsidR="002639FC">
              <w:rPr>
                <w:rFonts w:ascii="Arial" w:hAnsi="Arial" w:cs="Arial"/>
                <w:sz w:val="22"/>
                <w:szCs w:val="22"/>
              </w:rPr>
              <w:t xml:space="preserve"> would </w:t>
            </w:r>
            <w:r w:rsidRPr="00B13AAA">
              <w:rPr>
                <w:rFonts w:ascii="Arial" w:hAnsi="Arial" w:cs="Arial"/>
                <w:sz w:val="22"/>
                <w:szCs w:val="22"/>
              </w:rPr>
              <w:t xml:space="preserve">amount to an inappropriate form of development by resulting in the consolidation of the existing isolated and sporadic development in the open countryside beyond the built up limits of the village of </w:t>
            </w:r>
            <w:proofErr w:type="spellStart"/>
            <w:r w:rsidRPr="00B13AAA">
              <w:rPr>
                <w:rFonts w:ascii="Arial" w:hAnsi="Arial" w:cs="Arial"/>
                <w:sz w:val="22"/>
                <w:szCs w:val="22"/>
              </w:rPr>
              <w:t>Sibford</w:t>
            </w:r>
            <w:proofErr w:type="spellEnd"/>
            <w:r w:rsidRPr="00B13AAA">
              <w:rPr>
                <w:rFonts w:ascii="Arial" w:hAnsi="Arial" w:cs="Arial"/>
                <w:sz w:val="22"/>
                <w:szCs w:val="22"/>
              </w:rPr>
              <w:t xml:space="preserve"> Gower. This would set an undesirable precedent for similar proposals in the other existing gaps in ‘The Colony’ which would be equally vulnerable to this form of development and would be increasingly </w:t>
            </w:r>
            <w:r w:rsidR="002639FC">
              <w:rPr>
                <w:rFonts w:ascii="Arial" w:hAnsi="Arial" w:cs="Arial"/>
                <w:sz w:val="22"/>
                <w:szCs w:val="22"/>
              </w:rPr>
              <w:t>more difficult</w:t>
            </w:r>
            <w:r w:rsidR="002639FC" w:rsidRPr="00B13AAA">
              <w:rPr>
                <w:rFonts w:ascii="Arial" w:hAnsi="Arial" w:cs="Arial"/>
                <w:sz w:val="22"/>
                <w:szCs w:val="22"/>
              </w:rPr>
              <w:t xml:space="preserve"> </w:t>
            </w:r>
            <w:r w:rsidRPr="00B13AAA">
              <w:rPr>
                <w:rFonts w:ascii="Arial" w:hAnsi="Arial" w:cs="Arial"/>
                <w:sz w:val="22"/>
                <w:szCs w:val="22"/>
              </w:rPr>
              <w:t>to resist. It would also result in development which is at odds with the prevailing pattern of development - which is harmful to the open and rural nature of the site and its surroundings</w:t>
            </w:r>
            <w:r w:rsidR="0037397E">
              <w:rPr>
                <w:rFonts w:ascii="Arial" w:hAnsi="Arial" w:cs="Arial"/>
                <w:sz w:val="22"/>
                <w:szCs w:val="22"/>
              </w:rPr>
              <w:t xml:space="preserve"> </w:t>
            </w:r>
            <w:r w:rsidR="0037397E">
              <w:rPr>
                <w:rFonts w:ascii="Arial" w:hAnsi="Arial" w:cs="Arial"/>
                <w:sz w:val="22"/>
                <w:szCs w:val="22"/>
              </w:rPr>
              <w:t>and fail</w:t>
            </w:r>
            <w:r w:rsidR="0037397E">
              <w:rPr>
                <w:rFonts w:ascii="Arial" w:hAnsi="Arial" w:cs="Arial"/>
                <w:sz w:val="22"/>
                <w:szCs w:val="22"/>
              </w:rPr>
              <w:t>s</w:t>
            </w:r>
            <w:r w:rsidR="0037397E">
              <w:rPr>
                <w:rFonts w:ascii="Arial" w:hAnsi="Arial" w:cs="Arial"/>
                <w:sz w:val="22"/>
                <w:szCs w:val="22"/>
              </w:rPr>
              <w:t xml:space="preserve"> to preserve the character and appearance of the Conservation Area</w:t>
            </w:r>
            <w:r w:rsidRPr="00B13AAA">
              <w:rPr>
                <w:rFonts w:ascii="Arial" w:hAnsi="Arial" w:cs="Arial"/>
                <w:sz w:val="22"/>
                <w:szCs w:val="22"/>
              </w:rPr>
              <w:t xml:space="preserve">. The proposal would be thus contrary to Saved Policies C8, C28, H18 and H19 of the CLP 1996; Policies ESD1, ESD13 and ESD15 of the Cherwell Local Plan 2011-2031 Part 1 and Government guidance </w:t>
            </w:r>
            <w:r w:rsidRPr="00B13AAA">
              <w:rPr>
                <w:rFonts w:ascii="Arial" w:hAnsi="Arial" w:cs="Arial"/>
                <w:sz w:val="22"/>
                <w:szCs w:val="22"/>
              </w:rPr>
              <w:lastRenderedPageBreak/>
              <w:t xml:space="preserve">contained within The Framework. </w:t>
            </w:r>
          </w:p>
          <w:bookmarkEnd w:id="0"/>
          <w:p w:rsidR="00D9241D" w:rsidRPr="00371CF9" w:rsidRDefault="00D9241D" w:rsidP="00B13AAA">
            <w:pPr>
              <w:ind w:left="567"/>
              <w:jc w:val="both"/>
              <w:rPr>
                <w:rFonts w:ascii="Arial" w:hAnsi="Arial" w:cs="Arial"/>
                <w:color w:val="FF0000"/>
                <w:sz w:val="22"/>
                <w:szCs w:val="22"/>
              </w:rPr>
            </w:pPr>
          </w:p>
        </w:tc>
      </w:tr>
    </w:tbl>
    <w:p w:rsidR="0019459F" w:rsidRPr="00371CF9" w:rsidRDefault="0019459F" w:rsidP="0019459F">
      <w:pPr>
        <w:jc w:val="both"/>
        <w:rPr>
          <w:rFonts w:ascii="Arial" w:hAnsi="Arial" w:cs="Arial"/>
          <w:sz w:val="22"/>
          <w:szCs w:val="22"/>
        </w:rPr>
      </w:pPr>
    </w:p>
    <w:tbl>
      <w:tblPr>
        <w:tblW w:w="0" w:type="auto"/>
        <w:tblLook w:val="04A0" w:firstRow="1" w:lastRow="0" w:firstColumn="1" w:lastColumn="0" w:noHBand="0" w:noVBand="1"/>
      </w:tblPr>
      <w:tblGrid>
        <w:gridCol w:w="5070"/>
        <w:gridCol w:w="3934"/>
      </w:tblGrid>
      <w:tr w:rsidR="00DC4325" w:rsidRPr="00371CF9" w:rsidTr="00DC4325">
        <w:tc>
          <w:tcPr>
            <w:tcW w:w="5070" w:type="dxa"/>
          </w:tcPr>
          <w:p w:rsidR="00DC4325" w:rsidRPr="00371CF9" w:rsidRDefault="00DC4325" w:rsidP="000F29F5">
            <w:pPr>
              <w:spacing w:after="200" w:line="276" w:lineRule="auto"/>
              <w:jc w:val="both"/>
              <w:rPr>
                <w:rFonts w:ascii="Arial" w:hAnsi="Arial" w:cs="Arial"/>
                <w:i/>
                <w:sz w:val="22"/>
                <w:szCs w:val="22"/>
              </w:rPr>
            </w:pPr>
            <w:r w:rsidRPr="00371CF9">
              <w:rPr>
                <w:rFonts w:ascii="Arial" w:hAnsi="Arial" w:cs="Arial"/>
                <w:sz w:val="22"/>
                <w:szCs w:val="22"/>
              </w:rPr>
              <w:t xml:space="preserve">CASE OFFICER: </w:t>
            </w:r>
            <w:r w:rsidR="00DC4C84" w:rsidRPr="00371CF9">
              <w:rPr>
                <w:rFonts w:ascii="Arial" w:hAnsi="Arial" w:cs="Arial"/>
                <w:sz w:val="22"/>
                <w:szCs w:val="22"/>
              </w:rPr>
              <w:t>Matthew Coyne</w:t>
            </w:r>
          </w:p>
        </w:tc>
        <w:tc>
          <w:tcPr>
            <w:tcW w:w="3934" w:type="dxa"/>
          </w:tcPr>
          <w:p w:rsidR="00DC4325" w:rsidRPr="00371CF9" w:rsidRDefault="00DC4325" w:rsidP="00DC4C84">
            <w:pPr>
              <w:spacing w:after="200" w:line="276" w:lineRule="auto"/>
              <w:jc w:val="both"/>
              <w:rPr>
                <w:rFonts w:ascii="Arial" w:hAnsi="Arial" w:cs="Arial"/>
                <w:i/>
                <w:sz w:val="22"/>
                <w:szCs w:val="22"/>
              </w:rPr>
            </w:pPr>
            <w:r w:rsidRPr="00371CF9">
              <w:rPr>
                <w:rFonts w:ascii="Arial" w:hAnsi="Arial" w:cs="Arial"/>
                <w:sz w:val="22"/>
                <w:szCs w:val="22"/>
              </w:rPr>
              <w:t xml:space="preserve">TEL: </w:t>
            </w:r>
            <w:r w:rsidR="00DC4C84" w:rsidRPr="00371CF9">
              <w:rPr>
                <w:rFonts w:ascii="Arial" w:hAnsi="Arial" w:cs="Arial"/>
                <w:sz w:val="22"/>
                <w:szCs w:val="22"/>
              </w:rPr>
              <w:t>01295 221652</w:t>
            </w:r>
          </w:p>
        </w:tc>
      </w:tr>
    </w:tbl>
    <w:p w:rsidR="005B7A83" w:rsidRPr="00371CF9" w:rsidRDefault="005B7A83" w:rsidP="0019459F">
      <w:pPr>
        <w:jc w:val="both"/>
        <w:rPr>
          <w:rFonts w:ascii="Arial" w:hAnsi="Arial" w:cs="Arial"/>
          <w:sz w:val="22"/>
          <w:szCs w:val="22"/>
        </w:rPr>
      </w:pPr>
    </w:p>
    <w:sectPr w:rsidR="005B7A83" w:rsidRPr="00371CF9" w:rsidSect="007A3BF0">
      <w:headerReference w:type="default" r:id="rId9"/>
      <w:headerReference w:type="first" r:id="rId10"/>
      <w:pgSz w:w="11906" w:h="16838"/>
      <w:pgMar w:top="1079" w:right="1700" w:bottom="125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97E" w:rsidRDefault="00FB697E" w:rsidP="00213EE1">
      <w:r>
        <w:separator/>
      </w:r>
    </w:p>
  </w:endnote>
  <w:endnote w:type="continuationSeparator" w:id="0">
    <w:p w:rsidR="00FB697E" w:rsidRDefault="00FB697E" w:rsidP="00213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97E" w:rsidRDefault="00FB697E" w:rsidP="00213EE1">
      <w:r>
        <w:separator/>
      </w:r>
    </w:p>
  </w:footnote>
  <w:footnote w:type="continuationSeparator" w:id="0">
    <w:p w:rsidR="00FB697E" w:rsidRDefault="00FB697E" w:rsidP="00213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EE1" w:rsidRDefault="00213EE1" w:rsidP="005D5FAA">
    <w:pPr>
      <w:pStyle w:val="Header"/>
      <w:ind w:left="-28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2376"/>
      <w:gridCol w:w="2410"/>
      <w:gridCol w:w="1276"/>
      <w:gridCol w:w="709"/>
      <w:gridCol w:w="2233"/>
    </w:tblGrid>
    <w:tr w:rsidR="008A6B7C" w:rsidRPr="00371CF9" w:rsidTr="00277507">
      <w:trPr>
        <w:trHeight w:val="567"/>
      </w:trPr>
      <w:tc>
        <w:tcPr>
          <w:tcW w:w="6062" w:type="dxa"/>
          <w:gridSpan w:val="3"/>
        </w:tcPr>
        <w:p w:rsidR="00883E28" w:rsidRPr="00371CF9" w:rsidRDefault="00883E28" w:rsidP="006B26DE">
          <w:pPr>
            <w:spacing w:line="276" w:lineRule="auto"/>
            <w:rPr>
              <w:rFonts w:ascii="Arial" w:hAnsi="Arial" w:cs="Arial"/>
              <w:b/>
              <w:sz w:val="22"/>
              <w:szCs w:val="22"/>
            </w:rPr>
          </w:pPr>
          <w:r w:rsidRPr="00371CF9">
            <w:rPr>
              <w:rFonts w:ascii="Arial" w:hAnsi="Arial" w:cs="Arial"/>
              <w:b/>
              <w:sz w:val="22"/>
              <w:szCs w:val="22"/>
            </w:rPr>
            <w:t>Miramar Cottage</w:t>
          </w:r>
          <w:r w:rsidR="00371CF9" w:rsidRPr="00371CF9">
            <w:rPr>
              <w:rFonts w:ascii="Arial" w:hAnsi="Arial" w:cs="Arial"/>
              <w:b/>
              <w:sz w:val="22"/>
              <w:szCs w:val="22"/>
            </w:rPr>
            <w:t xml:space="preserve">, </w:t>
          </w:r>
          <w:r w:rsidRPr="00371CF9">
            <w:rPr>
              <w:rFonts w:ascii="Arial" w:hAnsi="Arial" w:cs="Arial"/>
              <w:b/>
              <w:sz w:val="22"/>
              <w:szCs w:val="22"/>
            </w:rPr>
            <w:t>5 The Colony</w:t>
          </w:r>
        </w:p>
        <w:p w:rsidR="00883E28" w:rsidRPr="00371CF9" w:rsidRDefault="00883E28" w:rsidP="006B26DE">
          <w:pPr>
            <w:spacing w:line="276" w:lineRule="auto"/>
            <w:rPr>
              <w:rFonts w:ascii="Arial" w:hAnsi="Arial" w:cs="Arial"/>
              <w:b/>
              <w:sz w:val="22"/>
              <w:szCs w:val="22"/>
            </w:rPr>
          </w:pPr>
          <w:r w:rsidRPr="00371CF9">
            <w:rPr>
              <w:rFonts w:ascii="Arial" w:hAnsi="Arial" w:cs="Arial"/>
              <w:b/>
              <w:sz w:val="22"/>
              <w:szCs w:val="22"/>
            </w:rPr>
            <w:t>Colony Road</w:t>
          </w:r>
          <w:r w:rsidR="00371CF9" w:rsidRPr="00371CF9">
            <w:rPr>
              <w:rFonts w:ascii="Arial" w:hAnsi="Arial" w:cs="Arial"/>
              <w:b/>
              <w:sz w:val="22"/>
              <w:szCs w:val="22"/>
            </w:rPr>
            <w:t xml:space="preserve">, </w:t>
          </w:r>
          <w:proofErr w:type="spellStart"/>
          <w:r w:rsidRPr="00371CF9">
            <w:rPr>
              <w:rFonts w:ascii="Arial" w:hAnsi="Arial" w:cs="Arial"/>
              <w:b/>
              <w:sz w:val="22"/>
              <w:szCs w:val="22"/>
            </w:rPr>
            <w:t>Sibford</w:t>
          </w:r>
          <w:proofErr w:type="spellEnd"/>
          <w:r w:rsidRPr="00371CF9">
            <w:rPr>
              <w:rFonts w:ascii="Arial" w:hAnsi="Arial" w:cs="Arial"/>
              <w:b/>
              <w:sz w:val="22"/>
              <w:szCs w:val="22"/>
            </w:rPr>
            <w:t xml:space="preserve"> Gower</w:t>
          </w:r>
        </w:p>
        <w:p w:rsidR="00883E28" w:rsidRPr="00371CF9" w:rsidRDefault="00883E28" w:rsidP="006B26DE">
          <w:pPr>
            <w:spacing w:line="276" w:lineRule="auto"/>
            <w:rPr>
              <w:rFonts w:ascii="Arial" w:hAnsi="Arial" w:cs="Arial"/>
              <w:b/>
              <w:sz w:val="22"/>
              <w:szCs w:val="22"/>
            </w:rPr>
          </w:pPr>
          <w:r w:rsidRPr="00371CF9">
            <w:rPr>
              <w:rFonts w:ascii="Arial" w:hAnsi="Arial" w:cs="Arial"/>
              <w:b/>
              <w:sz w:val="22"/>
              <w:szCs w:val="22"/>
            </w:rPr>
            <w:t>Banbury</w:t>
          </w:r>
          <w:r w:rsidR="00371CF9" w:rsidRPr="00371CF9">
            <w:rPr>
              <w:rFonts w:ascii="Arial" w:hAnsi="Arial" w:cs="Arial"/>
              <w:b/>
              <w:sz w:val="22"/>
              <w:szCs w:val="22"/>
            </w:rPr>
            <w:t xml:space="preserve">, </w:t>
          </w:r>
          <w:r w:rsidRPr="00371CF9">
            <w:rPr>
              <w:rFonts w:ascii="Arial" w:hAnsi="Arial" w:cs="Arial"/>
              <w:b/>
              <w:sz w:val="22"/>
              <w:szCs w:val="22"/>
            </w:rPr>
            <w:t>OX15 5RY</w:t>
          </w:r>
        </w:p>
        <w:p w:rsidR="008A6B7C" w:rsidRPr="00371CF9" w:rsidRDefault="008A6B7C" w:rsidP="006B26DE">
          <w:pPr>
            <w:spacing w:line="276" w:lineRule="auto"/>
            <w:rPr>
              <w:rFonts w:ascii="Arial" w:hAnsi="Arial" w:cs="Arial"/>
              <w:b/>
              <w:sz w:val="22"/>
              <w:szCs w:val="22"/>
            </w:rPr>
          </w:pPr>
        </w:p>
      </w:tc>
      <w:tc>
        <w:tcPr>
          <w:tcW w:w="2942" w:type="dxa"/>
          <w:gridSpan w:val="2"/>
        </w:tcPr>
        <w:p w:rsidR="008A6B7C" w:rsidRPr="00371CF9" w:rsidRDefault="00FD6957" w:rsidP="00277507">
          <w:pPr>
            <w:spacing w:line="276" w:lineRule="auto"/>
            <w:jc w:val="right"/>
            <w:rPr>
              <w:rFonts w:ascii="Arial" w:hAnsi="Arial" w:cs="Arial"/>
              <w:b/>
              <w:sz w:val="22"/>
              <w:szCs w:val="22"/>
            </w:rPr>
          </w:pPr>
          <w:r w:rsidRPr="00371CF9">
            <w:rPr>
              <w:rFonts w:ascii="Arial" w:hAnsi="Arial" w:cs="Arial"/>
              <w:b/>
              <w:sz w:val="22"/>
              <w:szCs w:val="22"/>
            </w:rPr>
            <w:t>17/02192/F</w:t>
          </w:r>
        </w:p>
      </w:tc>
    </w:tr>
    <w:tr w:rsidR="00A52CA1" w:rsidRPr="00371CF9" w:rsidTr="00277507">
      <w:trPr>
        <w:trHeight w:val="567"/>
      </w:trPr>
      <w:tc>
        <w:tcPr>
          <w:tcW w:w="2376" w:type="dxa"/>
        </w:tcPr>
        <w:p w:rsidR="00A52CA1" w:rsidRPr="00371CF9" w:rsidRDefault="00A52CA1" w:rsidP="006B26DE">
          <w:pPr>
            <w:tabs>
              <w:tab w:val="left" w:pos="6480"/>
            </w:tabs>
            <w:spacing w:after="120" w:line="276" w:lineRule="auto"/>
            <w:rPr>
              <w:rFonts w:ascii="Arial" w:hAnsi="Arial" w:cs="Arial"/>
              <w:b/>
              <w:sz w:val="22"/>
              <w:szCs w:val="22"/>
            </w:rPr>
          </w:pPr>
          <w:r w:rsidRPr="00371CF9">
            <w:rPr>
              <w:rFonts w:ascii="Arial" w:hAnsi="Arial" w:cs="Arial"/>
              <w:b/>
              <w:sz w:val="22"/>
              <w:szCs w:val="22"/>
            </w:rPr>
            <w:t xml:space="preserve">Applicant: </w:t>
          </w:r>
        </w:p>
      </w:tc>
      <w:tc>
        <w:tcPr>
          <w:tcW w:w="6628" w:type="dxa"/>
          <w:gridSpan w:val="4"/>
        </w:tcPr>
        <w:p w:rsidR="00A52CA1" w:rsidRPr="00371CF9" w:rsidRDefault="00883E28" w:rsidP="006B26DE">
          <w:pPr>
            <w:tabs>
              <w:tab w:val="left" w:pos="6480"/>
            </w:tabs>
            <w:spacing w:after="120" w:line="276" w:lineRule="auto"/>
            <w:rPr>
              <w:rFonts w:ascii="Arial" w:hAnsi="Arial" w:cs="Arial"/>
              <w:b/>
              <w:sz w:val="22"/>
              <w:szCs w:val="22"/>
            </w:rPr>
          </w:pPr>
          <w:r w:rsidRPr="00371CF9">
            <w:rPr>
              <w:rFonts w:ascii="Arial" w:hAnsi="Arial" w:cs="Arial"/>
              <w:sz w:val="22"/>
              <w:szCs w:val="22"/>
            </w:rPr>
            <w:t>Miss C Tucker</w:t>
          </w:r>
        </w:p>
      </w:tc>
    </w:tr>
    <w:tr w:rsidR="00A52CA1" w:rsidRPr="00371CF9" w:rsidTr="00277507">
      <w:trPr>
        <w:trHeight w:val="567"/>
      </w:trPr>
      <w:tc>
        <w:tcPr>
          <w:tcW w:w="2376" w:type="dxa"/>
        </w:tcPr>
        <w:p w:rsidR="00A52CA1" w:rsidRPr="00371CF9" w:rsidRDefault="00A52CA1" w:rsidP="006B26DE">
          <w:pPr>
            <w:tabs>
              <w:tab w:val="left" w:pos="6480"/>
            </w:tabs>
            <w:spacing w:after="120" w:line="276" w:lineRule="auto"/>
            <w:rPr>
              <w:rFonts w:ascii="Arial" w:hAnsi="Arial" w:cs="Arial"/>
              <w:sz w:val="22"/>
              <w:szCs w:val="22"/>
            </w:rPr>
          </w:pPr>
          <w:r w:rsidRPr="00371CF9">
            <w:rPr>
              <w:rFonts w:ascii="Arial" w:hAnsi="Arial" w:cs="Arial"/>
              <w:b/>
              <w:sz w:val="22"/>
              <w:szCs w:val="22"/>
            </w:rPr>
            <w:t>Proposal:</w:t>
          </w:r>
          <w:r w:rsidRPr="00371CF9">
            <w:rPr>
              <w:rFonts w:ascii="Arial" w:hAnsi="Arial" w:cs="Arial"/>
              <w:sz w:val="22"/>
              <w:szCs w:val="22"/>
            </w:rPr>
            <w:t xml:space="preserve"> </w:t>
          </w:r>
        </w:p>
      </w:tc>
      <w:tc>
        <w:tcPr>
          <w:tcW w:w="6628" w:type="dxa"/>
          <w:gridSpan w:val="4"/>
        </w:tcPr>
        <w:p w:rsidR="00A52CA1" w:rsidRPr="00371CF9" w:rsidRDefault="00883E28" w:rsidP="006B26DE">
          <w:pPr>
            <w:tabs>
              <w:tab w:val="left" w:pos="6480"/>
            </w:tabs>
            <w:spacing w:after="120" w:line="276" w:lineRule="auto"/>
            <w:rPr>
              <w:rFonts w:ascii="Arial" w:hAnsi="Arial" w:cs="Arial"/>
              <w:i/>
              <w:sz w:val="22"/>
              <w:szCs w:val="22"/>
            </w:rPr>
          </w:pPr>
          <w:r w:rsidRPr="00371CF9">
            <w:rPr>
              <w:rFonts w:ascii="Arial" w:hAnsi="Arial" w:cs="Arial"/>
              <w:sz w:val="22"/>
              <w:szCs w:val="22"/>
            </w:rPr>
            <w:t>Alterations to existing building to form single dwelling house; demolition of unlisted buildings in the Conservation Area</w:t>
          </w:r>
        </w:p>
      </w:tc>
    </w:tr>
    <w:tr w:rsidR="005C70AE" w:rsidRPr="00371CF9" w:rsidTr="00277507">
      <w:trPr>
        <w:trHeight w:val="567"/>
      </w:trPr>
      <w:tc>
        <w:tcPr>
          <w:tcW w:w="2376" w:type="dxa"/>
        </w:tcPr>
        <w:p w:rsidR="005C70AE" w:rsidRPr="00371CF9" w:rsidRDefault="005C70AE" w:rsidP="006B26DE">
          <w:pPr>
            <w:tabs>
              <w:tab w:val="left" w:pos="6480"/>
            </w:tabs>
            <w:spacing w:line="276" w:lineRule="auto"/>
            <w:rPr>
              <w:rFonts w:ascii="Arial" w:hAnsi="Arial" w:cs="Arial"/>
              <w:b/>
              <w:sz w:val="22"/>
              <w:szCs w:val="22"/>
            </w:rPr>
          </w:pPr>
          <w:r w:rsidRPr="00371CF9">
            <w:rPr>
              <w:rFonts w:ascii="Arial" w:hAnsi="Arial" w:cs="Arial"/>
              <w:b/>
              <w:sz w:val="22"/>
              <w:szCs w:val="22"/>
            </w:rPr>
            <w:t>Ward:</w:t>
          </w:r>
        </w:p>
      </w:tc>
      <w:tc>
        <w:tcPr>
          <w:tcW w:w="6628" w:type="dxa"/>
          <w:gridSpan w:val="4"/>
        </w:tcPr>
        <w:p w:rsidR="005C70AE" w:rsidRPr="00371CF9" w:rsidRDefault="00A94F21" w:rsidP="00776D6E">
          <w:pPr>
            <w:spacing w:line="240" w:lineRule="exact"/>
            <w:ind w:right="-108"/>
            <w:rPr>
              <w:rFonts w:ascii="Arial" w:hAnsi="Arial" w:cs="Arial"/>
              <w:bCs/>
              <w:sz w:val="22"/>
              <w:szCs w:val="22"/>
            </w:rPr>
          </w:pPr>
          <w:proofErr w:type="spellStart"/>
          <w:r w:rsidRPr="00371CF9">
            <w:rPr>
              <w:rFonts w:ascii="Arial" w:hAnsi="Arial" w:cs="Arial"/>
              <w:bCs/>
              <w:sz w:val="22"/>
              <w:szCs w:val="22"/>
            </w:rPr>
            <w:t>Cropredy</w:t>
          </w:r>
          <w:proofErr w:type="spellEnd"/>
          <w:r w:rsidRPr="00371CF9">
            <w:rPr>
              <w:rFonts w:ascii="Arial" w:hAnsi="Arial" w:cs="Arial"/>
              <w:bCs/>
              <w:sz w:val="22"/>
              <w:szCs w:val="22"/>
            </w:rPr>
            <w:t xml:space="preserve">, </w:t>
          </w:r>
          <w:proofErr w:type="spellStart"/>
          <w:r w:rsidRPr="00371CF9">
            <w:rPr>
              <w:rFonts w:ascii="Arial" w:hAnsi="Arial" w:cs="Arial"/>
              <w:bCs/>
              <w:sz w:val="22"/>
              <w:szCs w:val="22"/>
            </w:rPr>
            <w:t>Sibfords</w:t>
          </w:r>
          <w:proofErr w:type="spellEnd"/>
          <w:r w:rsidRPr="00371CF9">
            <w:rPr>
              <w:rFonts w:ascii="Arial" w:hAnsi="Arial" w:cs="Arial"/>
              <w:bCs/>
              <w:sz w:val="22"/>
              <w:szCs w:val="22"/>
            </w:rPr>
            <w:t xml:space="preserve"> And </w:t>
          </w:r>
          <w:proofErr w:type="spellStart"/>
          <w:r w:rsidRPr="00371CF9">
            <w:rPr>
              <w:rFonts w:ascii="Arial" w:hAnsi="Arial" w:cs="Arial"/>
              <w:bCs/>
              <w:sz w:val="22"/>
              <w:szCs w:val="22"/>
            </w:rPr>
            <w:t>Wroxton</w:t>
          </w:r>
          <w:proofErr w:type="spellEnd"/>
        </w:p>
      </w:tc>
    </w:tr>
    <w:tr w:rsidR="00DC4325" w:rsidRPr="00371CF9" w:rsidTr="00277507">
      <w:trPr>
        <w:trHeight w:val="541"/>
      </w:trPr>
      <w:tc>
        <w:tcPr>
          <w:tcW w:w="2376" w:type="dxa"/>
        </w:tcPr>
        <w:p w:rsidR="00DC4325" w:rsidRPr="00371CF9" w:rsidRDefault="00DC4325" w:rsidP="006B26DE">
          <w:pPr>
            <w:tabs>
              <w:tab w:val="left" w:pos="6480"/>
            </w:tabs>
            <w:spacing w:after="120" w:line="276" w:lineRule="auto"/>
            <w:rPr>
              <w:rFonts w:ascii="Arial" w:hAnsi="Arial" w:cs="Arial"/>
              <w:b/>
              <w:sz w:val="22"/>
              <w:szCs w:val="22"/>
            </w:rPr>
          </w:pPr>
          <w:r w:rsidRPr="00371CF9">
            <w:rPr>
              <w:rFonts w:ascii="Arial" w:hAnsi="Arial" w:cs="Arial"/>
              <w:b/>
              <w:sz w:val="22"/>
              <w:szCs w:val="22"/>
            </w:rPr>
            <w:t>Councillors:</w:t>
          </w:r>
        </w:p>
      </w:tc>
      <w:tc>
        <w:tcPr>
          <w:tcW w:w="6628" w:type="dxa"/>
          <w:gridSpan w:val="4"/>
        </w:tcPr>
        <w:p w:rsidR="006B26DE" w:rsidRPr="00371CF9" w:rsidRDefault="00A94F21" w:rsidP="004B1362">
          <w:pPr>
            <w:tabs>
              <w:tab w:val="left" w:pos="720"/>
              <w:tab w:val="center" w:pos="4153"/>
              <w:tab w:val="right" w:pos="8306"/>
            </w:tabs>
            <w:autoSpaceDE w:val="0"/>
            <w:autoSpaceDN w:val="0"/>
            <w:rPr>
              <w:rFonts w:ascii="Arial" w:hAnsi="Arial" w:cs="Arial"/>
              <w:sz w:val="22"/>
              <w:szCs w:val="22"/>
            </w:rPr>
          </w:pPr>
          <w:r w:rsidRPr="00371CF9">
            <w:rPr>
              <w:rFonts w:ascii="Arial" w:hAnsi="Arial" w:cs="Arial"/>
              <w:sz w:val="22"/>
              <w:szCs w:val="22"/>
            </w:rPr>
            <w:t>Cllr Ken Atack</w:t>
          </w:r>
        </w:p>
        <w:p w:rsidR="006B26DE" w:rsidRPr="00371CF9" w:rsidRDefault="00A94F21" w:rsidP="004B1362">
          <w:pPr>
            <w:tabs>
              <w:tab w:val="left" w:pos="720"/>
              <w:tab w:val="center" w:pos="4153"/>
              <w:tab w:val="right" w:pos="8306"/>
            </w:tabs>
            <w:autoSpaceDE w:val="0"/>
            <w:autoSpaceDN w:val="0"/>
            <w:rPr>
              <w:rFonts w:ascii="Arial" w:hAnsi="Arial" w:cs="Arial"/>
              <w:sz w:val="22"/>
              <w:szCs w:val="22"/>
            </w:rPr>
          </w:pPr>
          <w:r w:rsidRPr="00371CF9">
            <w:rPr>
              <w:rFonts w:ascii="Arial" w:hAnsi="Arial" w:cs="Arial"/>
              <w:sz w:val="22"/>
              <w:szCs w:val="22"/>
            </w:rPr>
            <w:t>Cllr George Reynolds</w:t>
          </w:r>
        </w:p>
        <w:p w:rsidR="006B26DE" w:rsidRPr="00371CF9" w:rsidRDefault="00A94F21" w:rsidP="004B1362">
          <w:pPr>
            <w:tabs>
              <w:tab w:val="left" w:pos="720"/>
              <w:tab w:val="center" w:pos="4153"/>
              <w:tab w:val="right" w:pos="8306"/>
            </w:tabs>
            <w:autoSpaceDE w:val="0"/>
            <w:autoSpaceDN w:val="0"/>
            <w:rPr>
              <w:rFonts w:ascii="Arial" w:hAnsi="Arial" w:cs="Arial"/>
              <w:sz w:val="22"/>
              <w:szCs w:val="22"/>
            </w:rPr>
          </w:pPr>
          <w:r w:rsidRPr="00371CF9">
            <w:rPr>
              <w:rFonts w:ascii="Arial" w:hAnsi="Arial" w:cs="Arial"/>
              <w:sz w:val="22"/>
              <w:szCs w:val="22"/>
            </w:rPr>
            <w:t>Cllr Douglas Webb</w:t>
          </w:r>
        </w:p>
        <w:p w:rsidR="00DC4325" w:rsidRPr="00371CF9" w:rsidRDefault="00DC4325" w:rsidP="004B1362">
          <w:pPr>
            <w:tabs>
              <w:tab w:val="left" w:pos="720"/>
              <w:tab w:val="center" w:pos="4153"/>
              <w:tab w:val="right" w:pos="8306"/>
            </w:tabs>
            <w:autoSpaceDE w:val="0"/>
            <w:autoSpaceDN w:val="0"/>
            <w:rPr>
              <w:rFonts w:ascii="Arial" w:hAnsi="Arial" w:cs="Arial"/>
              <w:sz w:val="22"/>
              <w:szCs w:val="22"/>
            </w:rPr>
          </w:pPr>
        </w:p>
      </w:tc>
    </w:tr>
    <w:tr w:rsidR="005C70AE" w:rsidRPr="00371CF9" w:rsidTr="00277507">
      <w:trPr>
        <w:trHeight w:val="567"/>
      </w:trPr>
      <w:tc>
        <w:tcPr>
          <w:tcW w:w="2376" w:type="dxa"/>
        </w:tcPr>
        <w:p w:rsidR="005C70AE" w:rsidRPr="00371CF9" w:rsidRDefault="005C70AE" w:rsidP="006B26DE">
          <w:pPr>
            <w:tabs>
              <w:tab w:val="left" w:pos="6480"/>
            </w:tabs>
            <w:spacing w:after="120" w:line="276" w:lineRule="auto"/>
            <w:rPr>
              <w:rFonts w:ascii="Arial" w:hAnsi="Arial" w:cs="Arial"/>
              <w:b/>
              <w:sz w:val="22"/>
              <w:szCs w:val="22"/>
            </w:rPr>
          </w:pPr>
          <w:r w:rsidRPr="00371CF9">
            <w:rPr>
              <w:rFonts w:ascii="Arial" w:hAnsi="Arial" w:cs="Arial"/>
              <w:b/>
              <w:sz w:val="22"/>
              <w:szCs w:val="22"/>
            </w:rPr>
            <w:t>Reason for Referral:</w:t>
          </w:r>
        </w:p>
      </w:tc>
      <w:tc>
        <w:tcPr>
          <w:tcW w:w="6628" w:type="dxa"/>
          <w:gridSpan w:val="4"/>
        </w:tcPr>
        <w:p w:rsidR="005C70AE" w:rsidRPr="00371CF9" w:rsidRDefault="00371CF9" w:rsidP="006B26DE">
          <w:pPr>
            <w:tabs>
              <w:tab w:val="left" w:pos="6480"/>
            </w:tabs>
            <w:spacing w:after="120" w:line="276" w:lineRule="auto"/>
            <w:rPr>
              <w:rFonts w:ascii="Arial" w:hAnsi="Arial" w:cs="Arial"/>
              <w:sz w:val="22"/>
              <w:szCs w:val="22"/>
            </w:rPr>
          </w:pPr>
          <w:r w:rsidRPr="00371CF9">
            <w:rPr>
              <w:rFonts w:ascii="Arial" w:hAnsi="Arial" w:cs="Arial"/>
              <w:sz w:val="22"/>
              <w:szCs w:val="22"/>
            </w:rPr>
            <w:t>Member Call in Request</w:t>
          </w:r>
        </w:p>
      </w:tc>
    </w:tr>
    <w:tr w:rsidR="002B4506" w:rsidRPr="00371CF9" w:rsidTr="00277507">
      <w:trPr>
        <w:trHeight w:val="481"/>
      </w:trPr>
      <w:tc>
        <w:tcPr>
          <w:tcW w:w="2376" w:type="dxa"/>
        </w:tcPr>
        <w:p w:rsidR="002B4506" w:rsidRPr="00371CF9" w:rsidRDefault="009813E5" w:rsidP="006B26DE">
          <w:pPr>
            <w:tabs>
              <w:tab w:val="left" w:pos="6480"/>
            </w:tabs>
            <w:spacing w:after="120" w:line="276" w:lineRule="auto"/>
            <w:rPr>
              <w:rFonts w:ascii="Arial" w:hAnsi="Arial" w:cs="Arial"/>
              <w:b/>
              <w:sz w:val="22"/>
              <w:szCs w:val="22"/>
            </w:rPr>
          </w:pPr>
          <w:r w:rsidRPr="00371CF9">
            <w:rPr>
              <w:rFonts w:ascii="Arial" w:hAnsi="Arial" w:cs="Arial"/>
              <w:b/>
              <w:sz w:val="22"/>
              <w:szCs w:val="22"/>
            </w:rPr>
            <w:t>Expiry Date</w:t>
          </w:r>
          <w:r w:rsidR="002B4506" w:rsidRPr="00371CF9">
            <w:rPr>
              <w:rFonts w:ascii="Arial" w:hAnsi="Arial" w:cs="Arial"/>
              <w:b/>
              <w:sz w:val="22"/>
              <w:szCs w:val="22"/>
            </w:rPr>
            <w:t>:</w:t>
          </w:r>
        </w:p>
      </w:tc>
      <w:tc>
        <w:tcPr>
          <w:tcW w:w="2410" w:type="dxa"/>
        </w:tcPr>
        <w:p w:rsidR="002B4506" w:rsidRPr="00371CF9" w:rsidRDefault="00883E28" w:rsidP="006B26DE">
          <w:pPr>
            <w:tabs>
              <w:tab w:val="left" w:pos="6480"/>
            </w:tabs>
            <w:spacing w:after="120" w:line="276" w:lineRule="auto"/>
            <w:rPr>
              <w:rFonts w:ascii="Arial" w:hAnsi="Arial" w:cs="Arial"/>
              <w:i/>
              <w:sz w:val="22"/>
              <w:szCs w:val="22"/>
            </w:rPr>
          </w:pPr>
          <w:r w:rsidRPr="00371CF9">
            <w:rPr>
              <w:rFonts w:ascii="Arial" w:hAnsi="Arial" w:cs="Arial"/>
              <w:sz w:val="22"/>
              <w:szCs w:val="22"/>
            </w:rPr>
            <w:t>3 January 2018</w:t>
          </w:r>
        </w:p>
      </w:tc>
      <w:tc>
        <w:tcPr>
          <w:tcW w:w="1985" w:type="dxa"/>
          <w:gridSpan w:val="2"/>
        </w:tcPr>
        <w:p w:rsidR="002B4506" w:rsidRPr="00371CF9" w:rsidRDefault="00A52CA1" w:rsidP="006B26DE">
          <w:pPr>
            <w:tabs>
              <w:tab w:val="left" w:pos="6480"/>
            </w:tabs>
            <w:spacing w:after="120" w:line="276" w:lineRule="auto"/>
            <w:rPr>
              <w:rFonts w:ascii="Arial" w:hAnsi="Arial" w:cs="Arial"/>
              <w:b/>
              <w:sz w:val="22"/>
              <w:szCs w:val="22"/>
            </w:rPr>
          </w:pPr>
          <w:r w:rsidRPr="00371CF9">
            <w:rPr>
              <w:rFonts w:ascii="Arial" w:hAnsi="Arial" w:cs="Arial"/>
              <w:b/>
              <w:sz w:val="22"/>
              <w:szCs w:val="22"/>
            </w:rPr>
            <w:t>Committee Date:</w:t>
          </w:r>
        </w:p>
      </w:tc>
      <w:tc>
        <w:tcPr>
          <w:tcW w:w="2233" w:type="dxa"/>
        </w:tcPr>
        <w:p w:rsidR="002B4506" w:rsidRPr="00371CF9" w:rsidRDefault="00A94F21" w:rsidP="006B26DE">
          <w:pPr>
            <w:tabs>
              <w:tab w:val="left" w:pos="6480"/>
            </w:tabs>
            <w:spacing w:after="120" w:line="276" w:lineRule="auto"/>
            <w:rPr>
              <w:rFonts w:ascii="Arial" w:hAnsi="Arial" w:cs="Arial"/>
              <w:sz w:val="22"/>
              <w:szCs w:val="22"/>
            </w:rPr>
          </w:pPr>
          <w:r w:rsidRPr="00371CF9">
            <w:rPr>
              <w:rFonts w:ascii="Arial" w:hAnsi="Arial" w:cs="Arial"/>
              <w:sz w:val="22"/>
              <w:szCs w:val="22"/>
            </w:rPr>
            <w:t>14 December 2017</w:t>
          </w:r>
        </w:p>
      </w:tc>
    </w:tr>
    <w:tr w:rsidR="005C70AE" w:rsidRPr="00371CF9" w:rsidTr="00277507">
      <w:trPr>
        <w:trHeight w:val="577"/>
      </w:trPr>
      <w:tc>
        <w:tcPr>
          <w:tcW w:w="2376" w:type="dxa"/>
          <w:tcBorders>
            <w:bottom w:val="single" w:sz="4" w:space="0" w:color="auto"/>
          </w:tcBorders>
        </w:tcPr>
        <w:p w:rsidR="005C70AE" w:rsidRPr="00371CF9" w:rsidRDefault="005C70AE" w:rsidP="006B26DE">
          <w:pPr>
            <w:tabs>
              <w:tab w:val="left" w:pos="6480"/>
            </w:tabs>
            <w:spacing w:after="120" w:line="276" w:lineRule="auto"/>
            <w:rPr>
              <w:rFonts w:ascii="Arial" w:hAnsi="Arial" w:cs="Arial"/>
              <w:b/>
              <w:sz w:val="22"/>
              <w:szCs w:val="22"/>
            </w:rPr>
          </w:pPr>
          <w:r w:rsidRPr="00371CF9">
            <w:rPr>
              <w:rFonts w:ascii="Arial" w:hAnsi="Arial" w:cs="Arial"/>
              <w:b/>
              <w:sz w:val="22"/>
              <w:szCs w:val="22"/>
            </w:rPr>
            <w:t>Recommendation:</w:t>
          </w:r>
        </w:p>
      </w:tc>
      <w:tc>
        <w:tcPr>
          <w:tcW w:w="6628" w:type="dxa"/>
          <w:gridSpan w:val="4"/>
          <w:tcBorders>
            <w:bottom w:val="single" w:sz="4" w:space="0" w:color="auto"/>
          </w:tcBorders>
        </w:tcPr>
        <w:p w:rsidR="00816333" w:rsidRPr="00371CF9" w:rsidRDefault="00883E28" w:rsidP="00816333">
          <w:pPr>
            <w:tabs>
              <w:tab w:val="left" w:pos="6480"/>
            </w:tabs>
            <w:spacing w:line="276" w:lineRule="auto"/>
            <w:rPr>
              <w:rFonts w:ascii="Arial" w:hAnsi="Arial" w:cs="Arial"/>
              <w:sz w:val="22"/>
              <w:szCs w:val="22"/>
            </w:rPr>
          </w:pPr>
          <w:r w:rsidRPr="00371CF9">
            <w:rPr>
              <w:rFonts w:ascii="Arial" w:hAnsi="Arial" w:cs="Arial"/>
              <w:sz w:val="22"/>
              <w:szCs w:val="22"/>
            </w:rPr>
            <w:t>Refuse</w:t>
          </w:r>
        </w:p>
        <w:p w:rsidR="00816333" w:rsidRPr="00371CF9" w:rsidRDefault="00816333" w:rsidP="00816333">
          <w:pPr>
            <w:tabs>
              <w:tab w:val="left" w:pos="6480"/>
            </w:tabs>
            <w:spacing w:line="276" w:lineRule="auto"/>
            <w:rPr>
              <w:rFonts w:ascii="Arial" w:hAnsi="Arial" w:cs="Arial"/>
              <w:sz w:val="22"/>
              <w:szCs w:val="22"/>
            </w:rPr>
          </w:pPr>
        </w:p>
      </w:tc>
    </w:tr>
  </w:tbl>
  <w:p w:rsidR="007A3BF0" w:rsidRPr="00371CF9" w:rsidRDefault="007A3BF0" w:rsidP="00462D5F">
    <w:pPr>
      <w:tabs>
        <w:tab w:val="left" w:pos="6480"/>
      </w:tabs>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953"/>
    <w:multiLevelType w:val="hybridMultilevel"/>
    <w:tmpl w:val="062648E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hint="default"/>
      </w:rPr>
    </w:lvl>
    <w:lvl w:ilvl="8" w:tplc="08090005">
      <w:start w:val="1"/>
      <w:numFmt w:val="bullet"/>
      <w:lvlText w:val=""/>
      <w:lvlJc w:val="left"/>
      <w:pPr>
        <w:ind w:left="7047" w:hanging="360"/>
      </w:pPr>
      <w:rPr>
        <w:rFonts w:ascii="Wingdings" w:hAnsi="Wingdings" w:hint="default"/>
      </w:rPr>
    </w:lvl>
  </w:abstractNum>
  <w:abstractNum w:abstractNumId="1">
    <w:nsid w:val="0EBD1079"/>
    <w:multiLevelType w:val="hybridMultilevel"/>
    <w:tmpl w:val="39863F4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hint="default"/>
      </w:rPr>
    </w:lvl>
    <w:lvl w:ilvl="8" w:tplc="08090005">
      <w:start w:val="1"/>
      <w:numFmt w:val="bullet"/>
      <w:lvlText w:val=""/>
      <w:lvlJc w:val="left"/>
      <w:pPr>
        <w:ind w:left="7047" w:hanging="360"/>
      </w:pPr>
      <w:rPr>
        <w:rFonts w:ascii="Wingdings" w:hAnsi="Wingdings" w:hint="default"/>
      </w:rPr>
    </w:lvl>
  </w:abstractNum>
  <w:abstractNum w:abstractNumId="2">
    <w:nsid w:val="13F85098"/>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18D60D47"/>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23081011"/>
    <w:multiLevelType w:val="multilevel"/>
    <w:tmpl w:val="E49A68AC"/>
    <w:lvl w:ilvl="0">
      <w:start w:val="1"/>
      <w:numFmt w:val="decimal"/>
      <w:lvlText w:val="%1."/>
      <w:lvlJc w:val="left"/>
      <w:pPr>
        <w:tabs>
          <w:tab w:val="num" w:pos="360"/>
        </w:tabs>
        <w:ind w:left="360" w:hanging="360"/>
      </w:pPr>
      <w:rPr>
        <w:rFonts w:cs="Times New Roman" w:hint="default"/>
        <w:b/>
        <w:color w:val="auto"/>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5">
    <w:nsid w:val="243536E1"/>
    <w:multiLevelType w:val="multilevel"/>
    <w:tmpl w:val="B7D29DB8"/>
    <w:lvl w:ilvl="0">
      <w:start w:val="5"/>
      <w:numFmt w:val="decimal"/>
      <w:lvlText w:val="%1"/>
      <w:lvlJc w:val="left"/>
      <w:pPr>
        <w:ind w:left="360" w:hanging="360"/>
      </w:pPr>
      <w:rPr>
        <w:rFonts w:cs="Times New Roman" w:hint="default"/>
        <w:b w:val="0"/>
        <w:u w:val="single"/>
      </w:rPr>
    </w:lvl>
    <w:lvl w:ilvl="1">
      <w:start w:val="1"/>
      <w:numFmt w:val="decimal"/>
      <w:lvlText w:val="6.%2."/>
      <w:lvlJc w:val="left"/>
      <w:pPr>
        <w:ind w:left="1800" w:hanging="360"/>
      </w:pPr>
      <w:rPr>
        <w:rFonts w:cs="Times New Roman" w:hint="default"/>
        <w:b w:val="0"/>
        <w:i w:val="0"/>
        <w:color w:val="auto"/>
        <w:u w:val="none"/>
      </w:rPr>
    </w:lvl>
    <w:lvl w:ilvl="2">
      <w:start w:val="1"/>
      <w:numFmt w:val="decimal"/>
      <w:lvlText w:val="%1.%2.%3"/>
      <w:lvlJc w:val="left"/>
      <w:pPr>
        <w:ind w:left="3600" w:hanging="720"/>
      </w:pPr>
      <w:rPr>
        <w:rFonts w:cs="Times New Roman" w:hint="default"/>
        <w:b w:val="0"/>
        <w:u w:val="single"/>
      </w:rPr>
    </w:lvl>
    <w:lvl w:ilvl="3">
      <w:start w:val="1"/>
      <w:numFmt w:val="decimal"/>
      <w:lvlText w:val="%1.%2.%3.%4"/>
      <w:lvlJc w:val="left"/>
      <w:pPr>
        <w:ind w:left="5040" w:hanging="720"/>
      </w:pPr>
      <w:rPr>
        <w:rFonts w:cs="Times New Roman" w:hint="default"/>
        <w:b w:val="0"/>
        <w:u w:val="single"/>
      </w:rPr>
    </w:lvl>
    <w:lvl w:ilvl="4">
      <w:start w:val="1"/>
      <w:numFmt w:val="decimal"/>
      <w:lvlText w:val="%1.%2.%3.%4.%5"/>
      <w:lvlJc w:val="left"/>
      <w:pPr>
        <w:ind w:left="6840" w:hanging="1080"/>
      </w:pPr>
      <w:rPr>
        <w:rFonts w:cs="Times New Roman" w:hint="default"/>
        <w:b w:val="0"/>
        <w:u w:val="single"/>
      </w:rPr>
    </w:lvl>
    <w:lvl w:ilvl="5">
      <w:start w:val="1"/>
      <w:numFmt w:val="decimal"/>
      <w:lvlText w:val="%1.%2.%3.%4.%5.%6"/>
      <w:lvlJc w:val="left"/>
      <w:pPr>
        <w:ind w:left="8280" w:hanging="1080"/>
      </w:pPr>
      <w:rPr>
        <w:rFonts w:cs="Times New Roman" w:hint="default"/>
        <w:b w:val="0"/>
        <w:u w:val="single"/>
      </w:rPr>
    </w:lvl>
    <w:lvl w:ilvl="6">
      <w:start w:val="1"/>
      <w:numFmt w:val="decimal"/>
      <w:lvlText w:val="%1.%2.%3.%4.%5.%6.%7"/>
      <w:lvlJc w:val="left"/>
      <w:pPr>
        <w:ind w:left="10080" w:hanging="1440"/>
      </w:pPr>
      <w:rPr>
        <w:rFonts w:cs="Times New Roman" w:hint="default"/>
        <w:b w:val="0"/>
        <w:u w:val="single"/>
      </w:rPr>
    </w:lvl>
    <w:lvl w:ilvl="7">
      <w:start w:val="1"/>
      <w:numFmt w:val="decimal"/>
      <w:lvlText w:val="%1.%2.%3.%4.%5.%6.%7.%8"/>
      <w:lvlJc w:val="left"/>
      <w:pPr>
        <w:ind w:left="11520" w:hanging="1440"/>
      </w:pPr>
      <w:rPr>
        <w:rFonts w:cs="Times New Roman" w:hint="default"/>
        <w:b w:val="0"/>
        <w:u w:val="single"/>
      </w:rPr>
    </w:lvl>
    <w:lvl w:ilvl="8">
      <w:start w:val="1"/>
      <w:numFmt w:val="decimal"/>
      <w:lvlText w:val="%1.%2.%3.%4.%5.%6.%7.%8.%9"/>
      <w:lvlJc w:val="left"/>
      <w:pPr>
        <w:ind w:left="13320" w:hanging="1800"/>
      </w:pPr>
      <w:rPr>
        <w:rFonts w:cs="Times New Roman" w:hint="default"/>
        <w:b w:val="0"/>
        <w:u w:val="single"/>
      </w:rPr>
    </w:lvl>
  </w:abstractNum>
  <w:abstractNum w:abstractNumId="6">
    <w:nsid w:val="25CF1CB4"/>
    <w:multiLevelType w:val="hybridMultilevel"/>
    <w:tmpl w:val="247E6CEC"/>
    <w:lvl w:ilvl="0" w:tplc="065C6700">
      <w:start w:val="1"/>
      <w:numFmt w:val="decimal"/>
      <w:lvlText w:val="3.%1."/>
      <w:lvlJc w:val="left"/>
      <w:pPr>
        <w:ind w:left="927"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2B3551E9"/>
    <w:multiLevelType w:val="hybridMultilevel"/>
    <w:tmpl w:val="DCCC1AFC"/>
    <w:lvl w:ilvl="0" w:tplc="892285A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nsid w:val="2F145507"/>
    <w:multiLevelType w:val="multilevel"/>
    <w:tmpl w:val="5D1C878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2F201A7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F3671BF"/>
    <w:multiLevelType w:val="hybridMultilevel"/>
    <w:tmpl w:val="154204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30E20CD7"/>
    <w:multiLevelType w:val="hybridMultilevel"/>
    <w:tmpl w:val="29563DFC"/>
    <w:lvl w:ilvl="0" w:tplc="6BAE4F98">
      <w:start w:val="1"/>
      <w:numFmt w:val="decimal"/>
      <w:lvlText w:val="%1."/>
      <w:lvlJc w:val="left"/>
      <w:pPr>
        <w:ind w:left="927" w:hanging="360"/>
      </w:pPr>
      <w:rPr>
        <w:rFonts w:cs="Times New Roman" w:hint="default"/>
        <w:color w:val="auto"/>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2">
    <w:nsid w:val="36063F8C"/>
    <w:multiLevelType w:val="hybridMultilevel"/>
    <w:tmpl w:val="2F08B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965D0F"/>
    <w:multiLevelType w:val="multilevel"/>
    <w:tmpl w:val="28BAC15E"/>
    <w:lvl w:ilvl="0">
      <w:start w:val="4"/>
      <w:numFmt w:val="decimal"/>
      <w:lvlText w:val="%1"/>
      <w:lvlJc w:val="left"/>
      <w:pPr>
        <w:ind w:left="360" w:hanging="360"/>
      </w:pPr>
      <w:rPr>
        <w:rFonts w:cs="Times New Roman" w:hint="default"/>
      </w:rPr>
    </w:lvl>
    <w:lvl w:ilvl="1">
      <w:start w:val="1"/>
      <w:numFmt w:val="decimal"/>
      <w:lvlText w:val="5.%2."/>
      <w:lvlJc w:val="left"/>
      <w:pPr>
        <w:ind w:left="1287" w:hanging="360"/>
      </w:pPr>
      <w:rPr>
        <w:rFonts w:cs="Times New Roman" w:hint="default"/>
        <w:b w:val="0"/>
        <w:color w:val="auto"/>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14">
    <w:nsid w:val="4345616F"/>
    <w:multiLevelType w:val="hybridMultilevel"/>
    <w:tmpl w:val="669A7C72"/>
    <w:lvl w:ilvl="0" w:tplc="A5CE6AC6">
      <w:start w:val="1"/>
      <w:numFmt w:val="decimal"/>
      <w:lvlText w:val="4.%1."/>
      <w:lvlJc w:val="left"/>
      <w:pPr>
        <w:ind w:left="927" w:hanging="360"/>
      </w:pPr>
      <w:rPr>
        <w:rFonts w:cs="Times New Roman" w:hint="default"/>
        <w:color w:val="auto"/>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5">
    <w:nsid w:val="4F3607E8"/>
    <w:multiLevelType w:val="hybridMultilevel"/>
    <w:tmpl w:val="16EA742C"/>
    <w:lvl w:ilvl="0" w:tplc="4ADC2A7E">
      <w:start w:val="1"/>
      <w:numFmt w:val="decimal"/>
      <w:lvlText w:val="8.%1."/>
      <w:lvlJc w:val="left"/>
      <w:pPr>
        <w:ind w:left="1287" w:hanging="360"/>
      </w:pPr>
      <w:rPr>
        <w:rFonts w:cs="Times New Roman" w:hint="default"/>
        <w:b w:val="0"/>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5A7C21E9"/>
    <w:multiLevelType w:val="multilevel"/>
    <w:tmpl w:val="A3E656E0"/>
    <w:lvl w:ilvl="0">
      <w:start w:val="2"/>
      <w:numFmt w:val="decimal"/>
      <w:lvlText w:val="%1"/>
      <w:lvlJc w:val="left"/>
      <w:pPr>
        <w:ind w:left="360" w:hanging="360"/>
      </w:pPr>
      <w:rPr>
        <w:rFonts w:cs="Times New Roman" w:hint="default"/>
      </w:rPr>
    </w:lvl>
    <w:lvl w:ilvl="1">
      <w:start w:val="1"/>
      <w:numFmt w:val="decimal"/>
      <w:lvlText w:val="2.%2."/>
      <w:lvlJc w:val="left"/>
      <w:pPr>
        <w:ind w:left="502"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nsid w:val="738866E8"/>
    <w:multiLevelType w:val="multilevel"/>
    <w:tmpl w:val="08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8">
    <w:nsid w:val="77444A1D"/>
    <w:multiLevelType w:val="multilevel"/>
    <w:tmpl w:val="E7DED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75B3B22"/>
    <w:multiLevelType w:val="hybridMultilevel"/>
    <w:tmpl w:val="346A2D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nsid w:val="7B2348D7"/>
    <w:multiLevelType w:val="hybridMultilevel"/>
    <w:tmpl w:val="D7349282"/>
    <w:lvl w:ilvl="0" w:tplc="D08290A6">
      <w:start w:val="1"/>
      <w:numFmt w:val="decimal"/>
      <w:lvlText w:val="7.%1."/>
      <w:lvlJc w:val="left"/>
      <w:pPr>
        <w:ind w:left="1287" w:hanging="360"/>
      </w:pPr>
      <w:rPr>
        <w:rFonts w:cs="Times New Roman" w:hint="default"/>
        <w:i w:val="0"/>
      </w:rPr>
    </w:lvl>
    <w:lvl w:ilvl="1" w:tplc="08090019" w:tentative="1">
      <w:start w:val="1"/>
      <w:numFmt w:val="lowerLetter"/>
      <w:lvlText w:val="%2."/>
      <w:lvlJc w:val="left"/>
      <w:pPr>
        <w:ind w:left="2007"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21">
    <w:nsid w:val="7EB072D7"/>
    <w:multiLevelType w:val="multilevel"/>
    <w:tmpl w:val="65E21324"/>
    <w:lvl w:ilvl="0">
      <w:start w:val="1"/>
      <w:numFmt w:val="decimal"/>
      <w:lvlText w:val="9.%1."/>
      <w:lvlJc w:val="left"/>
      <w:pPr>
        <w:tabs>
          <w:tab w:val="num" w:pos="360"/>
        </w:tabs>
        <w:ind w:left="360" w:hanging="360"/>
      </w:pPr>
      <w:rPr>
        <w:rFonts w:cs="Times New Roman" w:hint="default"/>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2">
    <w:nsid w:val="7EF96163"/>
    <w:multiLevelType w:val="hybridMultilevel"/>
    <w:tmpl w:val="CA944A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7"/>
  </w:num>
  <w:num w:numId="2">
    <w:abstractNumId w:val="4"/>
  </w:num>
  <w:num w:numId="3">
    <w:abstractNumId w:val="2"/>
  </w:num>
  <w:num w:numId="4">
    <w:abstractNumId w:val="8"/>
  </w:num>
  <w:num w:numId="5">
    <w:abstractNumId w:val="16"/>
  </w:num>
  <w:num w:numId="6">
    <w:abstractNumId w:val="13"/>
  </w:num>
  <w:num w:numId="7">
    <w:abstractNumId w:val="5"/>
  </w:num>
  <w:num w:numId="8">
    <w:abstractNumId w:val="14"/>
  </w:num>
  <w:num w:numId="9">
    <w:abstractNumId w:val="19"/>
  </w:num>
  <w:num w:numId="10">
    <w:abstractNumId w:val="20"/>
  </w:num>
  <w:num w:numId="11">
    <w:abstractNumId w:val="22"/>
  </w:num>
  <w:num w:numId="12">
    <w:abstractNumId w:val="15"/>
  </w:num>
  <w:num w:numId="13">
    <w:abstractNumId w:val="21"/>
  </w:num>
  <w:num w:numId="14">
    <w:abstractNumId w:val="10"/>
  </w:num>
  <w:num w:numId="15">
    <w:abstractNumId w:val="6"/>
  </w:num>
  <w:num w:numId="16">
    <w:abstractNumId w:val="11"/>
  </w:num>
  <w:num w:numId="17">
    <w:abstractNumId w:val="1"/>
  </w:num>
  <w:num w:numId="18">
    <w:abstractNumId w:val="0"/>
  </w:num>
  <w:num w:numId="19">
    <w:abstractNumId w:val="3"/>
  </w:num>
  <w:num w:numId="20">
    <w:abstractNumId w:val="9"/>
  </w:num>
  <w:num w:numId="21">
    <w:abstractNumId w:val="12"/>
  </w:num>
  <w:num w:numId="22">
    <w:abstractNumId w:val="18"/>
  </w:num>
  <w:num w:numId="23">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F6F"/>
    <w:rsid w:val="000005BF"/>
    <w:rsid w:val="00001C4A"/>
    <w:rsid w:val="000052C9"/>
    <w:rsid w:val="00006F6C"/>
    <w:rsid w:val="0001345F"/>
    <w:rsid w:val="00025638"/>
    <w:rsid w:val="00030184"/>
    <w:rsid w:val="00032411"/>
    <w:rsid w:val="00032735"/>
    <w:rsid w:val="00033FAF"/>
    <w:rsid w:val="000356CA"/>
    <w:rsid w:val="00042B5E"/>
    <w:rsid w:val="000439E2"/>
    <w:rsid w:val="00044F69"/>
    <w:rsid w:val="00053C60"/>
    <w:rsid w:val="00055B98"/>
    <w:rsid w:val="0005605C"/>
    <w:rsid w:val="00066471"/>
    <w:rsid w:val="0007584A"/>
    <w:rsid w:val="00082A60"/>
    <w:rsid w:val="00084780"/>
    <w:rsid w:val="000860F9"/>
    <w:rsid w:val="000918DB"/>
    <w:rsid w:val="00093A2E"/>
    <w:rsid w:val="0009487E"/>
    <w:rsid w:val="00097D4A"/>
    <w:rsid w:val="000A169E"/>
    <w:rsid w:val="000B3CD0"/>
    <w:rsid w:val="000B5CDD"/>
    <w:rsid w:val="000B7A1C"/>
    <w:rsid w:val="000C23E4"/>
    <w:rsid w:val="000C6638"/>
    <w:rsid w:val="000D01B8"/>
    <w:rsid w:val="000D61D1"/>
    <w:rsid w:val="000E2076"/>
    <w:rsid w:val="000F0B1A"/>
    <w:rsid w:val="000F29F5"/>
    <w:rsid w:val="001024F4"/>
    <w:rsid w:val="0011000E"/>
    <w:rsid w:val="0011096D"/>
    <w:rsid w:val="00111F86"/>
    <w:rsid w:val="00124797"/>
    <w:rsid w:val="001253D0"/>
    <w:rsid w:val="00130AD7"/>
    <w:rsid w:val="0013551E"/>
    <w:rsid w:val="001463A1"/>
    <w:rsid w:val="00147948"/>
    <w:rsid w:val="00147EA3"/>
    <w:rsid w:val="00150D66"/>
    <w:rsid w:val="00152728"/>
    <w:rsid w:val="0015290D"/>
    <w:rsid w:val="00152AC0"/>
    <w:rsid w:val="0016656E"/>
    <w:rsid w:val="001675B9"/>
    <w:rsid w:val="00167904"/>
    <w:rsid w:val="00175CAE"/>
    <w:rsid w:val="00181175"/>
    <w:rsid w:val="0018308A"/>
    <w:rsid w:val="0018664C"/>
    <w:rsid w:val="0019459F"/>
    <w:rsid w:val="00196591"/>
    <w:rsid w:val="001A6174"/>
    <w:rsid w:val="001A67DC"/>
    <w:rsid w:val="001B3666"/>
    <w:rsid w:val="001B59D9"/>
    <w:rsid w:val="001B5D35"/>
    <w:rsid w:val="001C244E"/>
    <w:rsid w:val="001C274C"/>
    <w:rsid w:val="001C7B03"/>
    <w:rsid w:val="001D44D6"/>
    <w:rsid w:val="001D4CF0"/>
    <w:rsid w:val="001F658B"/>
    <w:rsid w:val="001F6728"/>
    <w:rsid w:val="00203755"/>
    <w:rsid w:val="00213ACA"/>
    <w:rsid w:val="00213EE1"/>
    <w:rsid w:val="00222A79"/>
    <w:rsid w:val="0022440D"/>
    <w:rsid w:val="002325EF"/>
    <w:rsid w:val="00233023"/>
    <w:rsid w:val="002406B8"/>
    <w:rsid w:val="002428E3"/>
    <w:rsid w:val="00243141"/>
    <w:rsid w:val="00243FFC"/>
    <w:rsid w:val="0024539F"/>
    <w:rsid w:val="002459B7"/>
    <w:rsid w:val="002526B9"/>
    <w:rsid w:val="00263584"/>
    <w:rsid w:val="002639FC"/>
    <w:rsid w:val="0026422C"/>
    <w:rsid w:val="00265354"/>
    <w:rsid w:val="00277507"/>
    <w:rsid w:val="00277BBF"/>
    <w:rsid w:val="002867C2"/>
    <w:rsid w:val="00291B98"/>
    <w:rsid w:val="0029746E"/>
    <w:rsid w:val="002A24C8"/>
    <w:rsid w:val="002A378A"/>
    <w:rsid w:val="002A4EBA"/>
    <w:rsid w:val="002A6BCE"/>
    <w:rsid w:val="002B2596"/>
    <w:rsid w:val="002B4506"/>
    <w:rsid w:val="002D5911"/>
    <w:rsid w:val="002E35F7"/>
    <w:rsid w:val="002F1626"/>
    <w:rsid w:val="002F2C57"/>
    <w:rsid w:val="002F68DC"/>
    <w:rsid w:val="00301E60"/>
    <w:rsid w:val="00303D92"/>
    <w:rsid w:val="003054CA"/>
    <w:rsid w:val="00310ABF"/>
    <w:rsid w:val="00314421"/>
    <w:rsid w:val="0032279D"/>
    <w:rsid w:val="0032789C"/>
    <w:rsid w:val="00343D5F"/>
    <w:rsid w:val="003467E4"/>
    <w:rsid w:val="0034682D"/>
    <w:rsid w:val="00346878"/>
    <w:rsid w:val="0035130D"/>
    <w:rsid w:val="0035163B"/>
    <w:rsid w:val="003526F7"/>
    <w:rsid w:val="00371CF9"/>
    <w:rsid w:val="0037252B"/>
    <w:rsid w:val="0037397E"/>
    <w:rsid w:val="003744D6"/>
    <w:rsid w:val="003806D3"/>
    <w:rsid w:val="00381F5A"/>
    <w:rsid w:val="00384125"/>
    <w:rsid w:val="003858CB"/>
    <w:rsid w:val="00385F21"/>
    <w:rsid w:val="00386054"/>
    <w:rsid w:val="00387013"/>
    <w:rsid w:val="00394D26"/>
    <w:rsid w:val="003A0119"/>
    <w:rsid w:val="003B1A64"/>
    <w:rsid w:val="003C72D5"/>
    <w:rsid w:val="003E42E1"/>
    <w:rsid w:val="003E49FB"/>
    <w:rsid w:val="003E5C0C"/>
    <w:rsid w:val="003F01B9"/>
    <w:rsid w:val="003F0A89"/>
    <w:rsid w:val="003F1F09"/>
    <w:rsid w:val="003F21AD"/>
    <w:rsid w:val="004052A3"/>
    <w:rsid w:val="004071ED"/>
    <w:rsid w:val="00414486"/>
    <w:rsid w:val="00414E5F"/>
    <w:rsid w:val="00425C2D"/>
    <w:rsid w:val="004337F2"/>
    <w:rsid w:val="004451EB"/>
    <w:rsid w:val="00446635"/>
    <w:rsid w:val="00454F50"/>
    <w:rsid w:val="0045780D"/>
    <w:rsid w:val="00462D5F"/>
    <w:rsid w:val="00467D08"/>
    <w:rsid w:val="00472D4D"/>
    <w:rsid w:val="00482FFD"/>
    <w:rsid w:val="004853D7"/>
    <w:rsid w:val="004911CE"/>
    <w:rsid w:val="00491558"/>
    <w:rsid w:val="00493932"/>
    <w:rsid w:val="004A1791"/>
    <w:rsid w:val="004A1E35"/>
    <w:rsid w:val="004A4101"/>
    <w:rsid w:val="004B1362"/>
    <w:rsid w:val="004B179F"/>
    <w:rsid w:val="004B560F"/>
    <w:rsid w:val="004B5778"/>
    <w:rsid w:val="004C3324"/>
    <w:rsid w:val="004C5764"/>
    <w:rsid w:val="004D19DF"/>
    <w:rsid w:val="004D51E6"/>
    <w:rsid w:val="004D72E1"/>
    <w:rsid w:val="004E240E"/>
    <w:rsid w:val="004E2BD7"/>
    <w:rsid w:val="004E48B3"/>
    <w:rsid w:val="004F056A"/>
    <w:rsid w:val="004F7F94"/>
    <w:rsid w:val="00504CD4"/>
    <w:rsid w:val="00505A95"/>
    <w:rsid w:val="00513F2F"/>
    <w:rsid w:val="00514714"/>
    <w:rsid w:val="00515960"/>
    <w:rsid w:val="00524C14"/>
    <w:rsid w:val="00531430"/>
    <w:rsid w:val="00531FEA"/>
    <w:rsid w:val="00541ED2"/>
    <w:rsid w:val="00554D22"/>
    <w:rsid w:val="0056684C"/>
    <w:rsid w:val="00570AF8"/>
    <w:rsid w:val="0058458F"/>
    <w:rsid w:val="00586288"/>
    <w:rsid w:val="005963F1"/>
    <w:rsid w:val="005A1042"/>
    <w:rsid w:val="005B2254"/>
    <w:rsid w:val="005B6B6E"/>
    <w:rsid w:val="005B79C5"/>
    <w:rsid w:val="005B7A83"/>
    <w:rsid w:val="005C70AE"/>
    <w:rsid w:val="005C7766"/>
    <w:rsid w:val="005D5FAA"/>
    <w:rsid w:val="005E2902"/>
    <w:rsid w:val="005E3F6B"/>
    <w:rsid w:val="005F14DB"/>
    <w:rsid w:val="005F7FE9"/>
    <w:rsid w:val="00602D56"/>
    <w:rsid w:val="00604F13"/>
    <w:rsid w:val="0060704F"/>
    <w:rsid w:val="00611273"/>
    <w:rsid w:val="00613865"/>
    <w:rsid w:val="00614278"/>
    <w:rsid w:val="00617DE2"/>
    <w:rsid w:val="006219A9"/>
    <w:rsid w:val="006245C1"/>
    <w:rsid w:val="00625755"/>
    <w:rsid w:val="00630081"/>
    <w:rsid w:val="0063074A"/>
    <w:rsid w:val="006418EE"/>
    <w:rsid w:val="00644822"/>
    <w:rsid w:val="00657A35"/>
    <w:rsid w:val="00661314"/>
    <w:rsid w:val="00665479"/>
    <w:rsid w:val="00665688"/>
    <w:rsid w:val="0068332F"/>
    <w:rsid w:val="00687F20"/>
    <w:rsid w:val="00691748"/>
    <w:rsid w:val="006A25DF"/>
    <w:rsid w:val="006A294B"/>
    <w:rsid w:val="006A3927"/>
    <w:rsid w:val="006A3A26"/>
    <w:rsid w:val="006A48C5"/>
    <w:rsid w:val="006A6B28"/>
    <w:rsid w:val="006B26DE"/>
    <w:rsid w:val="006D633C"/>
    <w:rsid w:val="006E1D63"/>
    <w:rsid w:val="006E45A5"/>
    <w:rsid w:val="006E516B"/>
    <w:rsid w:val="006F385C"/>
    <w:rsid w:val="0070431F"/>
    <w:rsid w:val="00707314"/>
    <w:rsid w:val="00707C44"/>
    <w:rsid w:val="007124D4"/>
    <w:rsid w:val="0071337C"/>
    <w:rsid w:val="007141CD"/>
    <w:rsid w:val="00714B66"/>
    <w:rsid w:val="00717B1C"/>
    <w:rsid w:val="0072345B"/>
    <w:rsid w:val="00727A61"/>
    <w:rsid w:val="00733D56"/>
    <w:rsid w:val="007360ED"/>
    <w:rsid w:val="00740F91"/>
    <w:rsid w:val="00743DE5"/>
    <w:rsid w:val="007534A2"/>
    <w:rsid w:val="0077204A"/>
    <w:rsid w:val="00776D6E"/>
    <w:rsid w:val="0078118A"/>
    <w:rsid w:val="0078747C"/>
    <w:rsid w:val="00791880"/>
    <w:rsid w:val="00792257"/>
    <w:rsid w:val="007A1BF0"/>
    <w:rsid w:val="007A3BF0"/>
    <w:rsid w:val="007B384B"/>
    <w:rsid w:val="007B6A3B"/>
    <w:rsid w:val="007C0BC8"/>
    <w:rsid w:val="007C0EA9"/>
    <w:rsid w:val="007D1510"/>
    <w:rsid w:val="007D3AF4"/>
    <w:rsid w:val="007E0634"/>
    <w:rsid w:val="007E64C1"/>
    <w:rsid w:val="007F36F0"/>
    <w:rsid w:val="007F7305"/>
    <w:rsid w:val="00800CB6"/>
    <w:rsid w:val="00801E4B"/>
    <w:rsid w:val="00802129"/>
    <w:rsid w:val="00804583"/>
    <w:rsid w:val="00805C40"/>
    <w:rsid w:val="00816333"/>
    <w:rsid w:val="008172E8"/>
    <w:rsid w:val="00822127"/>
    <w:rsid w:val="00824EDB"/>
    <w:rsid w:val="008308E1"/>
    <w:rsid w:val="008314A6"/>
    <w:rsid w:val="00840B59"/>
    <w:rsid w:val="00841F58"/>
    <w:rsid w:val="00844477"/>
    <w:rsid w:val="00845A0F"/>
    <w:rsid w:val="00847257"/>
    <w:rsid w:val="008474B6"/>
    <w:rsid w:val="008504D2"/>
    <w:rsid w:val="008520ED"/>
    <w:rsid w:val="00854E99"/>
    <w:rsid w:val="00856C5C"/>
    <w:rsid w:val="008631D2"/>
    <w:rsid w:val="00865452"/>
    <w:rsid w:val="008767F3"/>
    <w:rsid w:val="0087696B"/>
    <w:rsid w:val="00877DEC"/>
    <w:rsid w:val="0088092D"/>
    <w:rsid w:val="0088116F"/>
    <w:rsid w:val="00882F4B"/>
    <w:rsid w:val="00883E28"/>
    <w:rsid w:val="008841C0"/>
    <w:rsid w:val="00886567"/>
    <w:rsid w:val="0089310B"/>
    <w:rsid w:val="008A2CB0"/>
    <w:rsid w:val="008A6B7C"/>
    <w:rsid w:val="008B1D03"/>
    <w:rsid w:val="008B1EC2"/>
    <w:rsid w:val="008B4BC9"/>
    <w:rsid w:val="008B68B4"/>
    <w:rsid w:val="008B79DD"/>
    <w:rsid w:val="008C5E1F"/>
    <w:rsid w:val="008D7438"/>
    <w:rsid w:val="008E031B"/>
    <w:rsid w:val="008E4BF8"/>
    <w:rsid w:val="008E56BB"/>
    <w:rsid w:val="00902BB3"/>
    <w:rsid w:val="0091063B"/>
    <w:rsid w:val="00911451"/>
    <w:rsid w:val="009156BF"/>
    <w:rsid w:val="0091615F"/>
    <w:rsid w:val="00921E18"/>
    <w:rsid w:val="009222D9"/>
    <w:rsid w:val="0092669C"/>
    <w:rsid w:val="009315CF"/>
    <w:rsid w:val="009378CF"/>
    <w:rsid w:val="0094060E"/>
    <w:rsid w:val="00941226"/>
    <w:rsid w:val="0094249F"/>
    <w:rsid w:val="00945D9D"/>
    <w:rsid w:val="00947495"/>
    <w:rsid w:val="0095319A"/>
    <w:rsid w:val="0095585F"/>
    <w:rsid w:val="009613BA"/>
    <w:rsid w:val="00971164"/>
    <w:rsid w:val="00976114"/>
    <w:rsid w:val="009813E5"/>
    <w:rsid w:val="00984781"/>
    <w:rsid w:val="00985F6F"/>
    <w:rsid w:val="00992101"/>
    <w:rsid w:val="00996461"/>
    <w:rsid w:val="00996F3E"/>
    <w:rsid w:val="009A0EAA"/>
    <w:rsid w:val="009A5D55"/>
    <w:rsid w:val="009B05DD"/>
    <w:rsid w:val="009B58ED"/>
    <w:rsid w:val="009C4400"/>
    <w:rsid w:val="009C54CB"/>
    <w:rsid w:val="009E1109"/>
    <w:rsid w:val="009E4D0B"/>
    <w:rsid w:val="009E5DBE"/>
    <w:rsid w:val="009E774D"/>
    <w:rsid w:val="009E7FA9"/>
    <w:rsid w:val="009F04AD"/>
    <w:rsid w:val="009F25C5"/>
    <w:rsid w:val="009F2A36"/>
    <w:rsid w:val="00A04DD9"/>
    <w:rsid w:val="00A05300"/>
    <w:rsid w:val="00A072C2"/>
    <w:rsid w:val="00A152CF"/>
    <w:rsid w:val="00A30961"/>
    <w:rsid w:val="00A35273"/>
    <w:rsid w:val="00A41752"/>
    <w:rsid w:val="00A4183C"/>
    <w:rsid w:val="00A43FB5"/>
    <w:rsid w:val="00A47884"/>
    <w:rsid w:val="00A51AAE"/>
    <w:rsid w:val="00A51D19"/>
    <w:rsid w:val="00A5293B"/>
    <w:rsid w:val="00A52CA1"/>
    <w:rsid w:val="00A61374"/>
    <w:rsid w:val="00A63564"/>
    <w:rsid w:val="00A63B22"/>
    <w:rsid w:val="00A64752"/>
    <w:rsid w:val="00A660B0"/>
    <w:rsid w:val="00A74B28"/>
    <w:rsid w:val="00A76D1F"/>
    <w:rsid w:val="00A9003C"/>
    <w:rsid w:val="00A913FC"/>
    <w:rsid w:val="00A93417"/>
    <w:rsid w:val="00A94792"/>
    <w:rsid w:val="00A94F21"/>
    <w:rsid w:val="00AA1A6D"/>
    <w:rsid w:val="00AB0984"/>
    <w:rsid w:val="00AB1820"/>
    <w:rsid w:val="00AB2C56"/>
    <w:rsid w:val="00AC43CF"/>
    <w:rsid w:val="00AC4D53"/>
    <w:rsid w:val="00AD206D"/>
    <w:rsid w:val="00AD259C"/>
    <w:rsid w:val="00AD615D"/>
    <w:rsid w:val="00AE05E7"/>
    <w:rsid w:val="00AE207C"/>
    <w:rsid w:val="00AE6DE6"/>
    <w:rsid w:val="00AF4394"/>
    <w:rsid w:val="00B0322B"/>
    <w:rsid w:val="00B06F36"/>
    <w:rsid w:val="00B10309"/>
    <w:rsid w:val="00B13AAA"/>
    <w:rsid w:val="00B21541"/>
    <w:rsid w:val="00B22919"/>
    <w:rsid w:val="00B23630"/>
    <w:rsid w:val="00B23A05"/>
    <w:rsid w:val="00B24946"/>
    <w:rsid w:val="00B27438"/>
    <w:rsid w:val="00B27790"/>
    <w:rsid w:val="00B37337"/>
    <w:rsid w:val="00B43AC4"/>
    <w:rsid w:val="00B4437C"/>
    <w:rsid w:val="00B501B1"/>
    <w:rsid w:val="00B539D5"/>
    <w:rsid w:val="00B5552A"/>
    <w:rsid w:val="00B555CC"/>
    <w:rsid w:val="00B560DC"/>
    <w:rsid w:val="00B61005"/>
    <w:rsid w:val="00B666E8"/>
    <w:rsid w:val="00B67EFD"/>
    <w:rsid w:val="00B72EC0"/>
    <w:rsid w:val="00B84C53"/>
    <w:rsid w:val="00B947EA"/>
    <w:rsid w:val="00BA4C0C"/>
    <w:rsid w:val="00BB028D"/>
    <w:rsid w:val="00BB4087"/>
    <w:rsid w:val="00BB456C"/>
    <w:rsid w:val="00BB59BC"/>
    <w:rsid w:val="00BB5D30"/>
    <w:rsid w:val="00BB7569"/>
    <w:rsid w:val="00BC6BB9"/>
    <w:rsid w:val="00BD0F67"/>
    <w:rsid w:val="00BD4C20"/>
    <w:rsid w:val="00BD58BD"/>
    <w:rsid w:val="00BD6C89"/>
    <w:rsid w:val="00BE065A"/>
    <w:rsid w:val="00BE6312"/>
    <w:rsid w:val="00BF270D"/>
    <w:rsid w:val="00BF5517"/>
    <w:rsid w:val="00BF6FE5"/>
    <w:rsid w:val="00C02A79"/>
    <w:rsid w:val="00C070C8"/>
    <w:rsid w:val="00C23892"/>
    <w:rsid w:val="00C2425F"/>
    <w:rsid w:val="00C27D7A"/>
    <w:rsid w:val="00C31564"/>
    <w:rsid w:val="00C31A61"/>
    <w:rsid w:val="00C3289F"/>
    <w:rsid w:val="00C40478"/>
    <w:rsid w:val="00C41387"/>
    <w:rsid w:val="00C41E4C"/>
    <w:rsid w:val="00C42178"/>
    <w:rsid w:val="00C43A8B"/>
    <w:rsid w:val="00C45C72"/>
    <w:rsid w:val="00C52653"/>
    <w:rsid w:val="00C574CB"/>
    <w:rsid w:val="00C64BA8"/>
    <w:rsid w:val="00C7162C"/>
    <w:rsid w:val="00C727FC"/>
    <w:rsid w:val="00C745FB"/>
    <w:rsid w:val="00C774E3"/>
    <w:rsid w:val="00C82464"/>
    <w:rsid w:val="00C90DB1"/>
    <w:rsid w:val="00C91378"/>
    <w:rsid w:val="00C927AF"/>
    <w:rsid w:val="00C93D08"/>
    <w:rsid w:val="00C94E8C"/>
    <w:rsid w:val="00C95AB2"/>
    <w:rsid w:val="00C969A2"/>
    <w:rsid w:val="00C976BC"/>
    <w:rsid w:val="00CA399E"/>
    <w:rsid w:val="00CB01DB"/>
    <w:rsid w:val="00CB16DD"/>
    <w:rsid w:val="00CC06DE"/>
    <w:rsid w:val="00CC62BA"/>
    <w:rsid w:val="00CC7465"/>
    <w:rsid w:val="00CD0754"/>
    <w:rsid w:val="00CF18FD"/>
    <w:rsid w:val="00CF67C9"/>
    <w:rsid w:val="00D01F6F"/>
    <w:rsid w:val="00D14ADE"/>
    <w:rsid w:val="00D20B12"/>
    <w:rsid w:val="00D22626"/>
    <w:rsid w:val="00D271DB"/>
    <w:rsid w:val="00D3040C"/>
    <w:rsid w:val="00D34613"/>
    <w:rsid w:val="00D41A65"/>
    <w:rsid w:val="00D4712E"/>
    <w:rsid w:val="00D51EA0"/>
    <w:rsid w:val="00D56DAE"/>
    <w:rsid w:val="00D60810"/>
    <w:rsid w:val="00D649CF"/>
    <w:rsid w:val="00D65BB5"/>
    <w:rsid w:val="00D762EE"/>
    <w:rsid w:val="00D80003"/>
    <w:rsid w:val="00D9241D"/>
    <w:rsid w:val="00D96E9D"/>
    <w:rsid w:val="00DA0A06"/>
    <w:rsid w:val="00DB1DAA"/>
    <w:rsid w:val="00DB7700"/>
    <w:rsid w:val="00DC2A98"/>
    <w:rsid w:val="00DC4325"/>
    <w:rsid w:val="00DC4C84"/>
    <w:rsid w:val="00DC5906"/>
    <w:rsid w:val="00DC5BD2"/>
    <w:rsid w:val="00DD0DA3"/>
    <w:rsid w:val="00DD4DAB"/>
    <w:rsid w:val="00DE2443"/>
    <w:rsid w:val="00DE4DF1"/>
    <w:rsid w:val="00DF74F7"/>
    <w:rsid w:val="00E109BB"/>
    <w:rsid w:val="00E12E9E"/>
    <w:rsid w:val="00E15E81"/>
    <w:rsid w:val="00E2356A"/>
    <w:rsid w:val="00E24462"/>
    <w:rsid w:val="00E33344"/>
    <w:rsid w:val="00E34DE8"/>
    <w:rsid w:val="00E36939"/>
    <w:rsid w:val="00E40337"/>
    <w:rsid w:val="00E40934"/>
    <w:rsid w:val="00E4191D"/>
    <w:rsid w:val="00E5181E"/>
    <w:rsid w:val="00E51C4D"/>
    <w:rsid w:val="00E56EB3"/>
    <w:rsid w:val="00E62E89"/>
    <w:rsid w:val="00E717B8"/>
    <w:rsid w:val="00E73DFC"/>
    <w:rsid w:val="00E8399D"/>
    <w:rsid w:val="00E8522C"/>
    <w:rsid w:val="00E85E35"/>
    <w:rsid w:val="00E8654C"/>
    <w:rsid w:val="00E92B0A"/>
    <w:rsid w:val="00E944EA"/>
    <w:rsid w:val="00E95A3F"/>
    <w:rsid w:val="00E97C9A"/>
    <w:rsid w:val="00EB00B8"/>
    <w:rsid w:val="00EB22E9"/>
    <w:rsid w:val="00EB6BB6"/>
    <w:rsid w:val="00EC1328"/>
    <w:rsid w:val="00EC52B1"/>
    <w:rsid w:val="00ED2160"/>
    <w:rsid w:val="00ED6DEF"/>
    <w:rsid w:val="00EE17D2"/>
    <w:rsid w:val="00EE5573"/>
    <w:rsid w:val="00EF0A2C"/>
    <w:rsid w:val="00EF23EF"/>
    <w:rsid w:val="00EF2EBC"/>
    <w:rsid w:val="00EF3861"/>
    <w:rsid w:val="00EF41E7"/>
    <w:rsid w:val="00EF5F71"/>
    <w:rsid w:val="00EF7E28"/>
    <w:rsid w:val="00F03335"/>
    <w:rsid w:val="00F045C0"/>
    <w:rsid w:val="00F10A2B"/>
    <w:rsid w:val="00F12730"/>
    <w:rsid w:val="00F12DD2"/>
    <w:rsid w:val="00F1789B"/>
    <w:rsid w:val="00F21B1C"/>
    <w:rsid w:val="00F23CCE"/>
    <w:rsid w:val="00F31E21"/>
    <w:rsid w:val="00F33AC2"/>
    <w:rsid w:val="00F4438B"/>
    <w:rsid w:val="00F463F7"/>
    <w:rsid w:val="00F5094F"/>
    <w:rsid w:val="00F510D9"/>
    <w:rsid w:val="00F52726"/>
    <w:rsid w:val="00F623D8"/>
    <w:rsid w:val="00F63553"/>
    <w:rsid w:val="00F66625"/>
    <w:rsid w:val="00F7207C"/>
    <w:rsid w:val="00FB14BF"/>
    <w:rsid w:val="00FB174F"/>
    <w:rsid w:val="00FB5094"/>
    <w:rsid w:val="00FB5C8F"/>
    <w:rsid w:val="00FB697E"/>
    <w:rsid w:val="00FB75DE"/>
    <w:rsid w:val="00FD6957"/>
    <w:rsid w:val="00FE324A"/>
    <w:rsid w:val="00FE376C"/>
    <w:rsid w:val="00FE4591"/>
    <w:rsid w:val="00FE5151"/>
    <w:rsid w:val="00FE7B65"/>
    <w:rsid w:val="00FE7C86"/>
    <w:rsid w:val="00FF091D"/>
    <w:rsid w:val="00FF109E"/>
    <w:rsid w:val="00FF2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747C"/>
    <w:rPr>
      <w:sz w:val="24"/>
      <w:szCs w:val="24"/>
    </w:rPr>
  </w:style>
  <w:style w:type="paragraph" w:styleId="Heading1">
    <w:name w:val="heading 1"/>
    <w:basedOn w:val="Normal"/>
    <w:next w:val="Normal"/>
    <w:link w:val="Heading1Char"/>
    <w:uiPriority w:val="9"/>
    <w:qFormat/>
    <w:rsid w:val="007A1BF0"/>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7A1BF0"/>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7A1BF0"/>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7A1BF0"/>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rsid w:val="007A1BF0"/>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rsid w:val="007A1BF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rsid w:val="007A1BF0"/>
    <w:pPr>
      <w:numPr>
        <w:ilvl w:val="6"/>
        <w:numId w:val="1"/>
      </w:numPr>
      <w:spacing w:before="240" w:after="60"/>
      <w:outlineLvl w:val="6"/>
    </w:pPr>
  </w:style>
  <w:style w:type="paragraph" w:styleId="Heading8">
    <w:name w:val="heading 8"/>
    <w:basedOn w:val="Normal"/>
    <w:next w:val="Normal"/>
    <w:link w:val="Heading8Char"/>
    <w:uiPriority w:val="9"/>
    <w:qFormat/>
    <w:rsid w:val="007A1BF0"/>
    <w:pPr>
      <w:numPr>
        <w:ilvl w:val="7"/>
        <w:numId w:val="1"/>
      </w:numPr>
      <w:spacing w:before="240" w:after="60"/>
      <w:outlineLvl w:val="7"/>
    </w:pPr>
    <w:rPr>
      <w:i/>
      <w:iCs/>
    </w:rPr>
  </w:style>
  <w:style w:type="paragraph" w:styleId="Heading9">
    <w:name w:val="heading 9"/>
    <w:basedOn w:val="Normal"/>
    <w:next w:val="Normal"/>
    <w:link w:val="Heading9Char"/>
    <w:uiPriority w:val="9"/>
    <w:qFormat/>
    <w:rsid w:val="007A1BF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rPr>
  </w:style>
  <w:style w:type="character" w:customStyle="1" w:styleId="Heading2Char">
    <w:name w:val="Heading 2 Char"/>
    <w:basedOn w:val="DefaultParagraphFont"/>
    <w:link w:val="Heading2"/>
    <w:uiPriority w:val="9"/>
    <w:locked/>
    <w:rPr>
      <w:rFonts w:ascii="Arial" w:hAnsi="Arial" w:cs="Arial"/>
      <w:b/>
      <w:bCs/>
      <w:i/>
      <w:iCs/>
      <w:sz w:val="28"/>
      <w:szCs w:val="28"/>
    </w:rPr>
  </w:style>
  <w:style w:type="character" w:customStyle="1" w:styleId="Heading3Char">
    <w:name w:val="Heading 3 Char"/>
    <w:basedOn w:val="DefaultParagraphFont"/>
    <w:link w:val="Heading3"/>
    <w:uiPriority w:val="9"/>
    <w:locked/>
    <w:rPr>
      <w:rFonts w:ascii="Arial" w:hAnsi="Arial" w:cs="Arial"/>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Arial" w:hAnsi="Arial" w:cs="Arial"/>
      <w:sz w:val="22"/>
      <w:szCs w:val="22"/>
    </w:rPr>
  </w:style>
  <w:style w:type="paragraph" w:styleId="Header">
    <w:name w:val="header"/>
    <w:aliases w:val="Char"/>
    <w:basedOn w:val="Normal"/>
    <w:link w:val="HeaderChar"/>
    <w:uiPriority w:val="99"/>
    <w:rsid w:val="00F623D8"/>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sid w:val="00F623D8"/>
    <w:rPr>
      <w:rFonts w:ascii="Calibri" w:hAnsi="Calibri" w:cs="Times New Roman"/>
      <w:sz w:val="22"/>
      <w:lang w:val="en-GB" w:eastAsia="en-US"/>
    </w:rPr>
  </w:style>
  <w:style w:type="table" w:styleId="TableGrid">
    <w:name w:val="Table Grid"/>
    <w:basedOn w:val="TableNormal"/>
    <w:uiPriority w:val="59"/>
    <w:rsid w:val="0077204A"/>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E49F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unhideWhenUsed/>
    <w:rsid w:val="00657A35"/>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sid w:val="00657A35"/>
    <w:rPr>
      <w:rFonts w:ascii="Calibri" w:hAnsi="Calibri" w:cs="Times New Roman"/>
      <w:sz w:val="22"/>
      <w:lang w:val="en-GB" w:eastAsia="en-US"/>
    </w:rPr>
  </w:style>
  <w:style w:type="paragraph" w:styleId="PlainText">
    <w:name w:val="Plain Text"/>
    <w:basedOn w:val="Normal"/>
    <w:link w:val="PlainTextChar"/>
    <w:uiPriority w:val="99"/>
    <w:rsid w:val="001F658B"/>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Pr>
      <w:rFonts w:ascii="Courier New" w:hAnsi="Courier New" w:cs="Times New Roman"/>
    </w:rPr>
  </w:style>
  <w:style w:type="paragraph" w:styleId="ListParagraph">
    <w:name w:val="List Paragraph"/>
    <w:basedOn w:val="Normal"/>
    <w:uiPriority w:val="34"/>
    <w:qFormat/>
    <w:rsid w:val="00BB028D"/>
    <w:pPr>
      <w:ind w:left="720"/>
    </w:pPr>
  </w:style>
  <w:style w:type="character" w:styleId="CommentReference">
    <w:name w:val="annotation reference"/>
    <w:basedOn w:val="DefaultParagraphFont"/>
    <w:uiPriority w:val="99"/>
    <w:rsid w:val="00ED2160"/>
    <w:rPr>
      <w:rFonts w:cs="Times New Roman"/>
      <w:sz w:val="16"/>
    </w:rPr>
  </w:style>
  <w:style w:type="paragraph" w:styleId="CommentText">
    <w:name w:val="annotation text"/>
    <w:basedOn w:val="Normal"/>
    <w:link w:val="CommentTextChar"/>
    <w:uiPriority w:val="99"/>
    <w:rsid w:val="00ED2160"/>
    <w:rPr>
      <w:sz w:val="20"/>
      <w:szCs w:val="20"/>
    </w:rPr>
  </w:style>
  <w:style w:type="character" w:customStyle="1" w:styleId="CommentTextChar">
    <w:name w:val="Comment Text Char"/>
    <w:basedOn w:val="DefaultParagraphFont"/>
    <w:link w:val="CommentText"/>
    <w:uiPriority w:val="99"/>
    <w:locked/>
    <w:rsid w:val="00ED2160"/>
    <w:rPr>
      <w:rFonts w:cs="Times New Roman"/>
    </w:rPr>
  </w:style>
  <w:style w:type="paragraph" w:styleId="CommentSubject">
    <w:name w:val="annotation subject"/>
    <w:basedOn w:val="CommentText"/>
    <w:next w:val="CommentText"/>
    <w:link w:val="CommentSubjectChar"/>
    <w:uiPriority w:val="99"/>
    <w:rsid w:val="00ED2160"/>
    <w:rPr>
      <w:b/>
      <w:bCs/>
    </w:rPr>
  </w:style>
  <w:style w:type="character" w:customStyle="1" w:styleId="CommentSubjectChar">
    <w:name w:val="Comment Subject Char"/>
    <w:basedOn w:val="CommentTextChar"/>
    <w:link w:val="CommentSubject"/>
    <w:uiPriority w:val="99"/>
    <w:locked/>
    <w:rsid w:val="00ED2160"/>
    <w:rPr>
      <w:rFonts w:cs="Times New Roman"/>
      <w:b/>
    </w:rPr>
  </w:style>
  <w:style w:type="numbering" w:styleId="111111">
    <w:name w:val="Outline List 2"/>
    <w:basedOn w:val="NoList"/>
    <w:uiPriority w:val="99"/>
    <w:semiHidden/>
    <w:unhideWhenUsed/>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747C"/>
    <w:rPr>
      <w:sz w:val="24"/>
      <w:szCs w:val="24"/>
    </w:rPr>
  </w:style>
  <w:style w:type="paragraph" w:styleId="Heading1">
    <w:name w:val="heading 1"/>
    <w:basedOn w:val="Normal"/>
    <w:next w:val="Normal"/>
    <w:link w:val="Heading1Char"/>
    <w:uiPriority w:val="9"/>
    <w:qFormat/>
    <w:rsid w:val="007A1BF0"/>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7A1BF0"/>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7A1BF0"/>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7A1BF0"/>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rsid w:val="007A1BF0"/>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rsid w:val="007A1BF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rsid w:val="007A1BF0"/>
    <w:pPr>
      <w:numPr>
        <w:ilvl w:val="6"/>
        <w:numId w:val="1"/>
      </w:numPr>
      <w:spacing w:before="240" w:after="60"/>
      <w:outlineLvl w:val="6"/>
    </w:pPr>
  </w:style>
  <w:style w:type="paragraph" w:styleId="Heading8">
    <w:name w:val="heading 8"/>
    <w:basedOn w:val="Normal"/>
    <w:next w:val="Normal"/>
    <w:link w:val="Heading8Char"/>
    <w:uiPriority w:val="9"/>
    <w:qFormat/>
    <w:rsid w:val="007A1BF0"/>
    <w:pPr>
      <w:numPr>
        <w:ilvl w:val="7"/>
        <w:numId w:val="1"/>
      </w:numPr>
      <w:spacing w:before="240" w:after="60"/>
      <w:outlineLvl w:val="7"/>
    </w:pPr>
    <w:rPr>
      <w:i/>
      <w:iCs/>
    </w:rPr>
  </w:style>
  <w:style w:type="paragraph" w:styleId="Heading9">
    <w:name w:val="heading 9"/>
    <w:basedOn w:val="Normal"/>
    <w:next w:val="Normal"/>
    <w:link w:val="Heading9Char"/>
    <w:uiPriority w:val="9"/>
    <w:qFormat/>
    <w:rsid w:val="007A1BF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rPr>
  </w:style>
  <w:style w:type="character" w:customStyle="1" w:styleId="Heading2Char">
    <w:name w:val="Heading 2 Char"/>
    <w:basedOn w:val="DefaultParagraphFont"/>
    <w:link w:val="Heading2"/>
    <w:uiPriority w:val="9"/>
    <w:locked/>
    <w:rPr>
      <w:rFonts w:ascii="Arial" w:hAnsi="Arial" w:cs="Arial"/>
      <w:b/>
      <w:bCs/>
      <w:i/>
      <w:iCs/>
      <w:sz w:val="28"/>
      <w:szCs w:val="28"/>
    </w:rPr>
  </w:style>
  <w:style w:type="character" w:customStyle="1" w:styleId="Heading3Char">
    <w:name w:val="Heading 3 Char"/>
    <w:basedOn w:val="DefaultParagraphFont"/>
    <w:link w:val="Heading3"/>
    <w:uiPriority w:val="9"/>
    <w:locked/>
    <w:rPr>
      <w:rFonts w:ascii="Arial" w:hAnsi="Arial" w:cs="Arial"/>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Arial" w:hAnsi="Arial" w:cs="Arial"/>
      <w:sz w:val="22"/>
      <w:szCs w:val="22"/>
    </w:rPr>
  </w:style>
  <w:style w:type="paragraph" w:styleId="Header">
    <w:name w:val="header"/>
    <w:aliases w:val="Char"/>
    <w:basedOn w:val="Normal"/>
    <w:link w:val="HeaderChar"/>
    <w:uiPriority w:val="99"/>
    <w:rsid w:val="00F623D8"/>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sid w:val="00F623D8"/>
    <w:rPr>
      <w:rFonts w:ascii="Calibri" w:hAnsi="Calibri" w:cs="Times New Roman"/>
      <w:sz w:val="22"/>
      <w:lang w:val="en-GB" w:eastAsia="en-US"/>
    </w:rPr>
  </w:style>
  <w:style w:type="table" w:styleId="TableGrid">
    <w:name w:val="Table Grid"/>
    <w:basedOn w:val="TableNormal"/>
    <w:uiPriority w:val="59"/>
    <w:rsid w:val="0077204A"/>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E49F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unhideWhenUsed/>
    <w:rsid w:val="00657A35"/>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sid w:val="00657A35"/>
    <w:rPr>
      <w:rFonts w:ascii="Calibri" w:hAnsi="Calibri" w:cs="Times New Roman"/>
      <w:sz w:val="22"/>
      <w:lang w:val="en-GB" w:eastAsia="en-US"/>
    </w:rPr>
  </w:style>
  <w:style w:type="paragraph" w:styleId="PlainText">
    <w:name w:val="Plain Text"/>
    <w:basedOn w:val="Normal"/>
    <w:link w:val="PlainTextChar"/>
    <w:uiPriority w:val="99"/>
    <w:rsid w:val="001F658B"/>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Pr>
      <w:rFonts w:ascii="Courier New" w:hAnsi="Courier New" w:cs="Times New Roman"/>
    </w:rPr>
  </w:style>
  <w:style w:type="paragraph" w:styleId="ListParagraph">
    <w:name w:val="List Paragraph"/>
    <w:basedOn w:val="Normal"/>
    <w:uiPriority w:val="34"/>
    <w:qFormat/>
    <w:rsid w:val="00BB028D"/>
    <w:pPr>
      <w:ind w:left="720"/>
    </w:pPr>
  </w:style>
  <w:style w:type="character" w:styleId="CommentReference">
    <w:name w:val="annotation reference"/>
    <w:basedOn w:val="DefaultParagraphFont"/>
    <w:uiPriority w:val="99"/>
    <w:rsid w:val="00ED2160"/>
    <w:rPr>
      <w:rFonts w:cs="Times New Roman"/>
      <w:sz w:val="16"/>
    </w:rPr>
  </w:style>
  <w:style w:type="paragraph" w:styleId="CommentText">
    <w:name w:val="annotation text"/>
    <w:basedOn w:val="Normal"/>
    <w:link w:val="CommentTextChar"/>
    <w:uiPriority w:val="99"/>
    <w:rsid w:val="00ED2160"/>
    <w:rPr>
      <w:sz w:val="20"/>
      <w:szCs w:val="20"/>
    </w:rPr>
  </w:style>
  <w:style w:type="character" w:customStyle="1" w:styleId="CommentTextChar">
    <w:name w:val="Comment Text Char"/>
    <w:basedOn w:val="DefaultParagraphFont"/>
    <w:link w:val="CommentText"/>
    <w:uiPriority w:val="99"/>
    <w:locked/>
    <w:rsid w:val="00ED2160"/>
    <w:rPr>
      <w:rFonts w:cs="Times New Roman"/>
    </w:rPr>
  </w:style>
  <w:style w:type="paragraph" w:styleId="CommentSubject">
    <w:name w:val="annotation subject"/>
    <w:basedOn w:val="CommentText"/>
    <w:next w:val="CommentText"/>
    <w:link w:val="CommentSubjectChar"/>
    <w:uiPriority w:val="99"/>
    <w:rsid w:val="00ED2160"/>
    <w:rPr>
      <w:b/>
      <w:bCs/>
    </w:rPr>
  </w:style>
  <w:style w:type="character" w:customStyle="1" w:styleId="CommentSubjectChar">
    <w:name w:val="Comment Subject Char"/>
    <w:basedOn w:val="CommentTextChar"/>
    <w:link w:val="CommentSubject"/>
    <w:uiPriority w:val="99"/>
    <w:locked/>
    <w:rsid w:val="00ED2160"/>
    <w:rPr>
      <w:rFonts w:cs="Times New Roman"/>
      <w:b/>
    </w:rPr>
  </w:style>
  <w:style w:type="numbering" w:styleId="111111">
    <w:name w:val="Outline List 2"/>
    <w:basedOn w:val="NoList"/>
    <w:uiPriority w:val="99"/>
    <w:semiHidden/>
    <w:unhideWhenUs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717737">
      <w:marLeft w:val="0"/>
      <w:marRight w:val="0"/>
      <w:marTop w:val="0"/>
      <w:marBottom w:val="0"/>
      <w:divBdr>
        <w:top w:val="none" w:sz="0" w:space="0" w:color="auto"/>
        <w:left w:val="none" w:sz="0" w:space="0" w:color="auto"/>
        <w:bottom w:val="none" w:sz="0" w:space="0" w:color="auto"/>
        <w:right w:val="none" w:sz="0" w:space="0" w:color="auto"/>
      </w:divBdr>
    </w:div>
    <w:div w:id="577717738">
      <w:marLeft w:val="0"/>
      <w:marRight w:val="0"/>
      <w:marTop w:val="0"/>
      <w:marBottom w:val="0"/>
      <w:divBdr>
        <w:top w:val="none" w:sz="0" w:space="0" w:color="auto"/>
        <w:left w:val="none" w:sz="0" w:space="0" w:color="auto"/>
        <w:bottom w:val="none" w:sz="0" w:space="0" w:color="auto"/>
        <w:right w:val="none" w:sz="0" w:space="0" w:color="auto"/>
      </w:divBdr>
    </w:div>
    <w:div w:id="577717739">
      <w:marLeft w:val="0"/>
      <w:marRight w:val="0"/>
      <w:marTop w:val="0"/>
      <w:marBottom w:val="0"/>
      <w:divBdr>
        <w:top w:val="none" w:sz="0" w:space="0" w:color="auto"/>
        <w:left w:val="none" w:sz="0" w:space="0" w:color="auto"/>
        <w:bottom w:val="none" w:sz="0" w:space="0" w:color="auto"/>
        <w:right w:val="none" w:sz="0" w:space="0" w:color="auto"/>
      </w:divBdr>
    </w:div>
    <w:div w:id="577717740">
      <w:marLeft w:val="0"/>
      <w:marRight w:val="0"/>
      <w:marTop w:val="0"/>
      <w:marBottom w:val="0"/>
      <w:divBdr>
        <w:top w:val="none" w:sz="0" w:space="0" w:color="auto"/>
        <w:left w:val="none" w:sz="0" w:space="0" w:color="auto"/>
        <w:bottom w:val="none" w:sz="0" w:space="0" w:color="auto"/>
        <w:right w:val="none" w:sz="0" w:space="0" w:color="auto"/>
      </w:divBdr>
    </w:div>
    <w:div w:id="577717741">
      <w:marLeft w:val="0"/>
      <w:marRight w:val="0"/>
      <w:marTop w:val="0"/>
      <w:marBottom w:val="0"/>
      <w:divBdr>
        <w:top w:val="none" w:sz="0" w:space="0" w:color="auto"/>
        <w:left w:val="none" w:sz="0" w:space="0" w:color="auto"/>
        <w:bottom w:val="none" w:sz="0" w:space="0" w:color="auto"/>
        <w:right w:val="none" w:sz="0" w:space="0" w:color="auto"/>
      </w:divBdr>
    </w:div>
    <w:div w:id="577717742">
      <w:marLeft w:val="0"/>
      <w:marRight w:val="0"/>
      <w:marTop w:val="0"/>
      <w:marBottom w:val="0"/>
      <w:divBdr>
        <w:top w:val="none" w:sz="0" w:space="0" w:color="auto"/>
        <w:left w:val="none" w:sz="0" w:space="0" w:color="auto"/>
        <w:bottom w:val="none" w:sz="0" w:space="0" w:color="auto"/>
        <w:right w:val="none" w:sz="0" w:space="0" w:color="auto"/>
      </w:divBdr>
    </w:div>
    <w:div w:id="577717743">
      <w:marLeft w:val="0"/>
      <w:marRight w:val="0"/>
      <w:marTop w:val="0"/>
      <w:marBottom w:val="0"/>
      <w:divBdr>
        <w:top w:val="none" w:sz="0" w:space="0" w:color="auto"/>
        <w:left w:val="none" w:sz="0" w:space="0" w:color="auto"/>
        <w:bottom w:val="none" w:sz="0" w:space="0" w:color="auto"/>
        <w:right w:val="none" w:sz="0" w:space="0" w:color="auto"/>
      </w:divBdr>
    </w:div>
    <w:div w:id="970792041">
      <w:bodyDiv w:val="1"/>
      <w:marLeft w:val="0"/>
      <w:marRight w:val="0"/>
      <w:marTop w:val="0"/>
      <w:marBottom w:val="0"/>
      <w:divBdr>
        <w:top w:val="none" w:sz="0" w:space="0" w:color="auto"/>
        <w:left w:val="none" w:sz="0" w:space="0" w:color="auto"/>
        <w:bottom w:val="none" w:sz="0" w:space="0" w:color="auto"/>
        <w:right w:val="none" w:sz="0" w:space="0" w:color="auto"/>
      </w:divBdr>
    </w:div>
    <w:div w:id="1357804010">
      <w:bodyDiv w:val="1"/>
      <w:marLeft w:val="0"/>
      <w:marRight w:val="0"/>
      <w:marTop w:val="0"/>
      <w:marBottom w:val="0"/>
      <w:divBdr>
        <w:top w:val="none" w:sz="0" w:space="0" w:color="auto"/>
        <w:left w:val="none" w:sz="0" w:space="0" w:color="auto"/>
        <w:bottom w:val="none" w:sz="0" w:space="0" w:color="auto"/>
        <w:right w:val="none" w:sz="0" w:space="0" w:color="auto"/>
      </w:divBdr>
    </w:div>
    <w:div w:id="192125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4B5D2-2D01-4F06-BBB6-70206868A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10</Pages>
  <Words>4660</Words>
  <Characters>24059</Characters>
  <Application>Microsoft Office Word</Application>
  <DocSecurity>0</DocSecurity>
  <Lines>200</Lines>
  <Paragraphs>57</Paragraphs>
  <ScaleCrop>false</ScaleCrop>
  <HeadingPairs>
    <vt:vector size="2" baseType="variant">
      <vt:variant>
        <vt:lpstr>Title</vt:lpstr>
      </vt:variant>
      <vt:variant>
        <vt:i4>1</vt:i4>
      </vt:variant>
    </vt:vector>
  </HeadingPairs>
  <TitlesOfParts>
    <vt:vector size="1" baseType="lpstr">
      <vt:lpstr>Godswell Park, Bloxham</vt:lpstr>
    </vt:vector>
  </TitlesOfParts>
  <Company>Cherwell District Council</Company>
  <LinksUpToDate>false</LinksUpToDate>
  <CharactersWithSpaces>28662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Godswell Park, Bloxham</dc:title>
  <dc:creator>Rebecca Horley</dc:creator>
  <cp:lastModifiedBy>Matthew Coyne</cp:lastModifiedBy>
  <cp:revision>39</cp:revision>
  <cp:lastPrinted>2012-07-19T10:56:00Z</cp:lastPrinted>
  <dcterms:created xsi:type="dcterms:W3CDTF">2017-12-01T10:52:00Z</dcterms:created>
  <dcterms:modified xsi:type="dcterms:W3CDTF">2017-12-04T15:47:00Z</dcterms:modified>
</cp:coreProperties>
</file>