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67519" w14:textId="77777777" w:rsidR="008A3852" w:rsidRPr="00820ACE" w:rsidRDefault="00820ACE" w:rsidP="00820ACE">
      <w:pPr>
        <w:pStyle w:val="Caption"/>
        <w:rPr>
          <w:b/>
          <w:color w:val="6B6B6E" w:themeColor="text2"/>
          <w:sz w:val="24"/>
        </w:rPr>
      </w:pPr>
      <w:r w:rsidRPr="00820ACE">
        <w:rPr>
          <w:b/>
          <w:color w:val="6B6B6E" w:themeColor="text2"/>
          <w:sz w:val="24"/>
        </w:rPr>
        <w:t xml:space="preserve">S106 Heads of Terms 18/00484/OUT – SGR Bicester 1 Ltd. </w:t>
      </w:r>
    </w:p>
    <w:p w14:paraId="453723A9" w14:textId="77777777" w:rsidR="00820ACE" w:rsidRDefault="00820ACE" w:rsidP="00820ACE">
      <w:pPr>
        <w:pStyle w:val="Heading3"/>
        <w:numPr>
          <w:ilvl w:val="0"/>
          <w:numId w:val="0"/>
        </w:numPr>
      </w:pPr>
    </w:p>
    <w:tbl>
      <w:tblPr>
        <w:tblStyle w:val="QuodTablev5"/>
        <w:tblW w:w="0" w:type="auto"/>
        <w:tblLayout w:type="fixed"/>
        <w:tblLook w:val="04A0" w:firstRow="1" w:lastRow="0" w:firstColumn="1" w:lastColumn="0" w:noHBand="0" w:noVBand="1"/>
      </w:tblPr>
      <w:tblGrid>
        <w:gridCol w:w="851"/>
        <w:gridCol w:w="4018"/>
        <w:gridCol w:w="4755"/>
        <w:gridCol w:w="5619"/>
        <w:gridCol w:w="6141"/>
      </w:tblGrid>
      <w:tr w:rsidR="006F6057" w14:paraId="03D02749" w14:textId="77777777" w:rsidTr="006F60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1" w:type="dxa"/>
            <w:shd w:val="clear" w:color="auto" w:fill="009FE3" w:themeFill="background2"/>
          </w:tcPr>
          <w:p w14:paraId="6F5FF3AB" w14:textId="77777777" w:rsidR="006F6057" w:rsidRDefault="006F6057" w:rsidP="00787283">
            <w:pPr>
              <w:pStyle w:val="Heading3"/>
              <w:numPr>
                <w:ilvl w:val="0"/>
                <w:numId w:val="0"/>
              </w:numPr>
              <w:tabs>
                <w:tab w:val="left" w:pos="2508"/>
              </w:tabs>
              <w:ind w:left="142" w:right="313"/>
              <w:outlineLvl w:val="2"/>
              <w:rPr>
                <w:b/>
                <w:color w:val="FFFFFF" w:themeColor="background1"/>
              </w:rPr>
            </w:pPr>
            <w:r>
              <w:rPr>
                <w:b/>
                <w:color w:val="FFFFFF" w:themeColor="background1"/>
              </w:rPr>
              <w:t>No.</w:t>
            </w:r>
          </w:p>
        </w:tc>
        <w:tc>
          <w:tcPr>
            <w:tcW w:w="4018" w:type="dxa"/>
            <w:shd w:val="clear" w:color="auto" w:fill="009FE3" w:themeFill="background2"/>
          </w:tcPr>
          <w:p w14:paraId="4F13C8D4" w14:textId="77777777" w:rsidR="006F6057" w:rsidRPr="00820ACE" w:rsidRDefault="006F6057" w:rsidP="006F6057">
            <w:pPr>
              <w:pStyle w:val="Heading3"/>
              <w:numPr>
                <w:ilvl w:val="0"/>
                <w:numId w:val="0"/>
              </w:numPr>
              <w:tabs>
                <w:tab w:val="left" w:pos="2508"/>
              </w:tabs>
              <w:ind w:left="142"/>
              <w:jc w:val="left"/>
              <w:outlineLvl w:val="2"/>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Infrastructure Type </w:t>
            </w:r>
          </w:p>
        </w:tc>
        <w:tc>
          <w:tcPr>
            <w:tcW w:w="4755" w:type="dxa"/>
            <w:shd w:val="clear" w:color="auto" w:fill="009FE3" w:themeFill="background2"/>
          </w:tcPr>
          <w:p w14:paraId="450C4176" w14:textId="77777777" w:rsidR="006F6057" w:rsidRPr="00820ACE" w:rsidRDefault="006F6057" w:rsidP="00820ACE">
            <w:pPr>
              <w:pStyle w:val="Heading3"/>
              <w:numPr>
                <w:ilvl w:val="0"/>
                <w:numId w:val="0"/>
              </w:numPr>
              <w:ind w:left="142" w:right="196" w:firstLine="10"/>
              <w:jc w:val="left"/>
              <w:outlineLvl w:val="2"/>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Entire Masterplan Requirement</w:t>
            </w:r>
          </w:p>
        </w:tc>
        <w:tc>
          <w:tcPr>
            <w:tcW w:w="5619" w:type="dxa"/>
            <w:shd w:val="clear" w:color="auto" w:fill="009FE3" w:themeFill="background2"/>
          </w:tcPr>
          <w:p w14:paraId="02381A8C" w14:textId="77777777" w:rsidR="006F6057" w:rsidRPr="00820ACE" w:rsidRDefault="006F6057" w:rsidP="00820ACE">
            <w:pPr>
              <w:pStyle w:val="Heading3"/>
              <w:numPr>
                <w:ilvl w:val="0"/>
                <w:numId w:val="0"/>
              </w:numPr>
              <w:ind w:left="142" w:right="154" w:hanging="55"/>
              <w:jc w:val="left"/>
              <w:outlineLvl w:val="2"/>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SCG (Bicester) 1 Ltd Contribution</w:t>
            </w:r>
          </w:p>
        </w:tc>
        <w:tc>
          <w:tcPr>
            <w:tcW w:w="6141" w:type="dxa"/>
            <w:shd w:val="clear" w:color="auto" w:fill="009FE3" w:themeFill="background2"/>
          </w:tcPr>
          <w:p w14:paraId="3D5F15B2" w14:textId="77777777" w:rsidR="006F6057" w:rsidRPr="00820ACE" w:rsidRDefault="006F6057" w:rsidP="00820ACE">
            <w:pPr>
              <w:pStyle w:val="Heading3"/>
              <w:numPr>
                <w:ilvl w:val="0"/>
                <w:numId w:val="0"/>
              </w:numPr>
              <w:ind w:left="142" w:right="253" w:hanging="12"/>
              <w:jc w:val="left"/>
              <w:outlineLvl w:val="2"/>
              <w:cnfStyle w:val="100000000000" w:firstRow="1"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Comments </w:t>
            </w:r>
          </w:p>
        </w:tc>
      </w:tr>
      <w:tr w:rsidR="006F6057" w14:paraId="689BCF0F"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637FC8ED" w14:textId="77777777" w:rsidR="006F6057" w:rsidRPr="00787283" w:rsidRDefault="006F6057" w:rsidP="00787283">
            <w:pPr>
              <w:pStyle w:val="TableParagraph"/>
              <w:tabs>
                <w:tab w:val="left" w:pos="2508"/>
                <w:tab w:val="left" w:pos="3261"/>
              </w:tabs>
              <w:ind w:right="302"/>
              <w:rPr>
                <w:rFonts w:asciiTheme="minorHAnsi" w:hAnsiTheme="minorHAnsi"/>
                <w:sz w:val="20"/>
                <w:szCs w:val="20"/>
              </w:rPr>
            </w:pPr>
            <w:r>
              <w:rPr>
                <w:rFonts w:asciiTheme="minorHAnsi" w:hAnsiTheme="minorHAnsi"/>
                <w:sz w:val="20"/>
                <w:szCs w:val="20"/>
              </w:rPr>
              <w:t>1</w:t>
            </w:r>
          </w:p>
        </w:tc>
        <w:tc>
          <w:tcPr>
            <w:tcW w:w="4018" w:type="dxa"/>
            <w:vAlign w:val="top"/>
          </w:tcPr>
          <w:p w14:paraId="384C08C9" w14:textId="77777777" w:rsidR="006F6057" w:rsidRPr="00787283" w:rsidRDefault="006F6057" w:rsidP="006F6057">
            <w:pPr>
              <w:pStyle w:val="TableParagraph"/>
              <w:tabs>
                <w:tab w:val="left" w:pos="2508"/>
                <w:tab w:val="left" w:pos="3261"/>
              </w:tabs>
              <w:ind w:right="30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NHS Health Facility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contribution)</w:t>
            </w:r>
          </w:p>
        </w:tc>
        <w:tc>
          <w:tcPr>
            <w:tcW w:w="4755" w:type="dxa"/>
            <w:vAlign w:val="top"/>
          </w:tcPr>
          <w:p w14:paraId="57F9D4F2" w14:textId="77777777" w:rsidR="006F6057" w:rsidRPr="00787283" w:rsidRDefault="006F6057" w:rsidP="00787283">
            <w:pPr>
              <w:pStyle w:val="TableParagraph"/>
              <w:ind w:right="29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To provide an NHS Health Facility, 900 </w:t>
            </w:r>
            <w:proofErr w:type="spellStart"/>
            <w:r w:rsidRPr="00787283">
              <w:rPr>
                <w:rFonts w:asciiTheme="minorHAnsi" w:hAnsiTheme="minorHAnsi"/>
                <w:sz w:val="20"/>
                <w:szCs w:val="20"/>
              </w:rPr>
              <w:t>sq</w:t>
            </w:r>
            <w:proofErr w:type="spellEnd"/>
            <w:r w:rsidRPr="00787283">
              <w:rPr>
                <w:rFonts w:asciiTheme="minorHAnsi" w:hAnsiTheme="minorHAnsi"/>
                <w:sz w:val="20"/>
                <w:szCs w:val="20"/>
              </w:rPr>
              <w:t xml:space="preserve"> m over 2 floors on 0.2 ha of land plus financial contribution towards build cost of £259.46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2Q17.</w:t>
            </w:r>
          </w:p>
        </w:tc>
        <w:tc>
          <w:tcPr>
            <w:tcW w:w="5619" w:type="dxa"/>
            <w:vAlign w:val="top"/>
          </w:tcPr>
          <w:p w14:paraId="266B1E29" w14:textId="77777777" w:rsidR="006F6057" w:rsidRPr="00787283" w:rsidRDefault="006F6057" w:rsidP="00787283">
            <w:pPr>
              <w:pStyle w:val="TableParagraph"/>
              <w:ind w:right="9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sz w:val="20"/>
                <w:szCs w:val="20"/>
              </w:rPr>
              <w:t xml:space="preserve">Site to be provided through A2 Dominion’s 900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application. </w:t>
            </w:r>
            <w:r w:rsidRPr="00787283">
              <w:rPr>
                <w:rFonts w:asciiTheme="minorHAnsi" w:hAnsiTheme="minorHAnsi"/>
                <w:b/>
                <w:sz w:val="20"/>
                <w:szCs w:val="20"/>
              </w:rPr>
              <w:t>This application to contribute</w:t>
            </w:r>
          </w:p>
          <w:p w14:paraId="7670C0FD" w14:textId="77777777" w:rsidR="006F6057" w:rsidRPr="00787283" w:rsidRDefault="006F6057" w:rsidP="00787283">
            <w:pPr>
              <w:pStyle w:val="TableParagraph"/>
              <w:spacing w:before="3"/>
              <w:ind w:right="89"/>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£259.46 per dwelling index linked from 2Q17 – total contribution is £19,459.50 index linked from 2Q17 based on 75 dwellings.</w:t>
            </w:r>
          </w:p>
        </w:tc>
        <w:tc>
          <w:tcPr>
            <w:tcW w:w="6141" w:type="dxa"/>
            <w:vAlign w:val="top"/>
          </w:tcPr>
          <w:p w14:paraId="0ADA026D" w14:textId="1AC6CF86" w:rsidR="006F6057" w:rsidRPr="00D065CC" w:rsidRDefault="00EB344D" w:rsidP="00D065CC">
            <w:pPr>
              <w:widowControl w:val="0"/>
              <w:autoSpaceDE w:val="0"/>
              <w:autoSpaceDN w:val="0"/>
              <w:spacing w:line="240" w:lineRule="auto"/>
              <w:ind w:left="0"/>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D065CC">
              <w:rPr>
                <w:color w:val="FF0000"/>
                <w:sz w:val="20"/>
                <w:szCs w:val="20"/>
              </w:rPr>
              <w:t xml:space="preserve">Acceptable in principle, subject to agreement to how the Council use the funds/mechanism if they are not spent. </w:t>
            </w:r>
            <w:r w:rsidR="006F6057" w:rsidRPr="00D065CC">
              <w:rPr>
                <w:color w:val="FF0000"/>
                <w:sz w:val="20"/>
                <w:szCs w:val="20"/>
              </w:rPr>
              <w:t xml:space="preserve"> </w:t>
            </w:r>
          </w:p>
        </w:tc>
      </w:tr>
      <w:tr w:rsidR="006F6057" w14:paraId="5B5F9DD0"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C636CE2" w14:textId="77777777" w:rsidR="006F6057" w:rsidRPr="00787283" w:rsidRDefault="006F6057" w:rsidP="00787283">
            <w:pPr>
              <w:pStyle w:val="TableParagraph"/>
              <w:tabs>
                <w:tab w:val="left" w:pos="2508"/>
              </w:tabs>
              <w:spacing w:before="1" w:line="237" w:lineRule="auto"/>
              <w:ind w:right="425"/>
              <w:rPr>
                <w:rFonts w:asciiTheme="minorHAnsi" w:hAnsiTheme="minorHAnsi"/>
                <w:sz w:val="20"/>
                <w:szCs w:val="20"/>
              </w:rPr>
            </w:pPr>
            <w:r>
              <w:rPr>
                <w:rFonts w:asciiTheme="minorHAnsi" w:hAnsiTheme="minorHAnsi"/>
                <w:sz w:val="20"/>
                <w:szCs w:val="20"/>
              </w:rPr>
              <w:t>2</w:t>
            </w:r>
          </w:p>
        </w:tc>
        <w:tc>
          <w:tcPr>
            <w:tcW w:w="4018" w:type="dxa"/>
            <w:vAlign w:val="top"/>
          </w:tcPr>
          <w:p w14:paraId="4D54EC4C" w14:textId="77777777" w:rsidR="006F6057" w:rsidRPr="00787283" w:rsidRDefault="006F6057" w:rsidP="006F6057">
            <w:pPr>
              <w:pStyle w:val="TableParagraph"/>
              <w:tabs>
                <w:tab w:val="left" w:pos="2508"/>
              </w:tabs>
              <w:spacing w:before="1" w:line="237" w:lineRule="auto"/>
              <w:ind w:right="42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787283">
              <w:rPr>
                <w:rFonts w:asciiTheme="minorHAnsi" w:hAnsiTheme="minorHAnsi"/>
                <w:sz w:val="20"/>
                <w:szCs w:val="20"/>
              </w:rPr>
              <w:t>Neighbourhood</w:t>
            </w:r>
            <w:proofErr w:type="spellEnd"/>
            <w:r w:rsidRPr="00787283">
              <w:rPr>
                <w:rFonts w:asciiTheme="minorHAnsi" w:hAnsiTheme="minorHAnsi"/>
                <w:sz w:val="20"/>
                <w:szCs w:val="20"/>
              </w:rPr>
              <w:t xml:space="preserve"> Police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contribution)</w:t>
            </w:r>
          </w:p>
        </w:tc>
        <w:tc>
          <w:tcPr>
            <w:tcW w:w="4755" w:type="dxa"/>
            <w:vAlign w:val="top"/>
          </w:tcPr>
          <w:p w14:paraId="4DFA036A" w14:textId="77777777" w:rsidR="006F6057" w:rsidRPr="00787283" w:rsidRDefault="006F6057" w:rsidP="00787283">
            <w:pPr>
              <w:pStyle w:val="TableParagraph"/>
              <w:ind w:right="32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£848,339.10 financial contribution towards set up costs for additional staff and associated infrastructure (£151.30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2Q17)</w:t>
            </w:r>
          </w:p>
        </w:tc>
        <w:tc>
          <w:tcPr>
            <w:tcW w:w="5619" w:type="dxa"/>
            <w:vAlign w:val="top"/>
          </w:tcPr>
          <w:p w14:paraId="0B61D141" w14:textId="77777777" w:rsidR="006F6057" w:rsidRPr="00787283" w:rsidRDefault="006F6057" w:rsidP="00787283">
            <w:pPr>
              <w:pStyle w:val="TableParagraph"/>
              <w:ind w:right="57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£151.30 per dwelling index linked from 2Q17 – total contribution is £11,347.50 index linked from 2Q17 based on 75 dwellings.</w:t>
            </w:r>
          </w:p>
        </w:tc>
        <w:tc>
          <w:tcPr>
            <w:tcW w:w="6141" w:type="dxa"/>
            <w:vAlign w:val="top"/>
          </w:tcPr>
          <w:p w14:paraId="42A552A0" w14:textId="4094CC83"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sidRPr="00787283">
              <w:rPr>
                <w:color w:val="FF0000"/>
                <w:sz w:val="20"/>
                <w:szCs w:val="20"/>
              </w:rPr>
              <w:t>This is acceptable</w:t>
            </w:r>
            <w:r w:rsidR="00EB344D">
              <w:rPr>
                <w:color w:val="FF0000"/>
                <w:sz w:val="20"/>
                <w:szCs w:val="20"/>
              </w:rPr>
              <w:t xml:space="preserve"> in principle. </w:t>
            </w:r>
          </w:p>
        </w:tc>
      </w:tr>
      <w:tr w:rsidR="006F6057" w14:paraId="6D324535"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7E361EA8" w14:textId="77777777" w:rsidR="006F6057" w:rsidRPr="00787283" w:rsidRDefault="006F6057" w:rsidP="00787283">
            <w:pPr>
              <w:pStyle w:val="TableParagraph"/>
              <w:tabs>
                <w:tab w:val="left" w:pos="2508"/>
              </w:tabs>
              <w:ind w:right="232"/>
              <w:rPr>
                <w:rFonts w:asciiTheme="minorHAnsi" w:hAnsiTheme="minorHAnsi"/>
                <w:sz w:val="20"/>
                <w:szCs w:val="20"/>
              </w:rPr>
            </w:pPr>
            <w:r>
              <w:rPr>
                <w:rFonts w:asciiTheme="minorHAnsi" w:hAnsiTheme="minorHAnsi"/>
                <w:sz w:val="20"/>
                <w:szCs w:val="20"/>
              </w:rPr>
              <w:t>3</w:t>
            </w:r>
          </w:p>
        </w:tc>
        <w:tc>
          <w:tcPr>
            <w:tcW w:w="4018" w:type="dxa"/>
            <w:vAlign w:val="top"/>
          </w:tcPr>
          <w:p w14:paraId="7D431B06" w14:textId="77777777" w:rsidR="006F6057" w:rsidRPr="00787283" w:rsidRDefault="006F6057" w:rsidP="006F6057">
            <w:pPr>
              <w:pStyle w:val="TableParagraph"/>
              <w:tabs>
                <w:tab w:val="left" w:pos="2508"/>
              </w:tabs>
              <w:ind w:right="23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Community Building Provision (halls, sports pavilion, community use of </w:t>
            </w:r>
            <w:proofErr w:type="spellStart"/>
            <w:r w:rsidRPr="00787283">
              <w:rPr>
                <w:rFonts w:asciiTheme="minorHAnsi" w:hAnsiTheme="minorHAnsi"/>
                <w:sz w:val="20"/>
                <w:szCs w:val="20"/>
              </w:rPr>
              <w:t>Caversfield</w:t>
            </w:r>
            <w:proofErr w:type="spellEnd"/>
            <w:r w:rsidRPr="00787283">
              <w:rPr>
                <w:rFonts w:asciiTheme="minorHAnsi" w:hAnsiTheme="minorHAnsi"/>
                <w:sz w:val="20"/>
                <w:szCs w:val="20"/>
              </w:rPr>
              <w:t xml:space="preserve"> Church)</w:t>
            </w:r>
          </w:p>
        </w:tc>
        <w:tc>
          <w:tcPr>
            <w:tcW w:w="4755" w:type="dxa"/>
            <w:vAlign w:val="top"/>
          </w:tcPr>
          <w:p w14:paraId="1270A919" w14:textId="77777777" w:rsidR="006F6057" w:rsidRPr="00787283" w:rsidRDefault="006F6057" w:rsidP="00787283">
            <w:pPr>
              <w:pStyle w:val="TableParagraph"/>
              <w:ind w:right="16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4 new build in total sought - 2 North of the railway line, 1 South of the railway line and a sports pavilion south of the railway.</w:t>
            </w:r>
          </w:p>
        </w:tc>
        <w:tc>
          <w:tcPr>
            <w:tcW w:w="5619" w:type="dxa"/>
            <w:vAlign w:val="top"/>
          </w:tcPr>
          <w:p w14:paraId="0713D790" w14:textId="77777777" w:rsidR="006F6057" w:rsidRPr="00787283" w:rsidRDefault="006F6057" w:rsidP="00787283">
            <w:pPr>
              <w:pStyle w:val="TableParagraph"/>
              <w:ind w:right="166"/>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To the north of the railway line, there is a requirement for 1 large community building on application site 14/01384/OUT. The cost for this building is £2,732,450.04 at 2Q17 costs. This equates to a cost per dwelling on the application 1 site of £1050.94 index linked from 2Q17.</w:t>
            </w:r>
          </w:p>
          <w:p w14:paraId="1F415AA0" w14:textId="77777777" w:rsidR="006F6057" w:rsidRPr="00787283" w:rsidRDefault="006F6057" w:rsidP="00787283">
            <w:pPr>
              <w:pStyle w:val="TableParagraph"/>
              <w:spacing w:before="3"/>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p>
          <w:p w14:paraId="293E5F27" w14:textId="77777777" w:rsidR="006F6057" w:rsidRPr="00787283" w:rsidRDefault="006F6057" w:rsidP="00787283">
            <w:pPr>
              <w:pStyle w:val="TableParagraph"/>
              <w:ind w:right="105"/>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It is proposed that this contribution be waived however in the circumstance that the application site provide the crossing to </w:t>
            </w:r>
            <w:proofErr w:type="spellStart"/>
            <w:r w:rsidRPr="00787283">
              <w:rPr>
                <w:rFonts w:asciiTheme="minorHAnsi" w:hAnsiTheme="minorHAnsi"/>
                <w:b/>
                <w:sz w:val="20"/>
                <w:szCs w:val="20"/>
              </w:rPr>
              <w:t>Caversfield</w:t>
            </w:r>
            <w:proofErr w:type="spellEnd"/>
            <w:r w:rsidRPr="00787283">
              <w:rPr>
                <w:rFonts w:asciiTheme="minorHAnsi" w:hAnsiTheme="minorHAnsi"/>
                <w:b/>
                <w:sz w:val="20"/>
                <w:szCs w:val="20"/>
              </w:rPr>
              <w:t xml:space="preserve"> Church and parking as below to provide access to this for use by the community.</w:t>
            </w:r>
          </w:p>
        </w:tc>
        <w:tc>
          <w:tcPr>
            <w:tcW w:w="6141" w:type="dxa"/>
            <w:vAlign w:val="top"/>
          </w:tcPr>
          <w:p w14:paraId="58D52964"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 xml:space="preserve">This does not meet CIL </w:t>
            </w:r>
            <w:proofErr w:type="spellStart"/>
            <w:r w:rsidRPr="00787283">
              <w:rPr>
                <w:color w:val="FF0000"/>
                <w:sz w:val="20"/>
                <w:szCs w:val="20"/>
              </w:rPr>
              <w:t>reg</w:t>
            </w:r>
            <w:proofErr w:type="spellEnd"/>
            <w:r w:rsidRPr="00787283">
              <w:rPr>
                <w:color w:val="FF0000"/>
                <w:sz w:val="20"/>
                <w:szCs w:val="20"/>
              </w:rPr>
              <w:t xml:space="preserve"> 122 (pooling), need to reference specific facility</w:t>
            </w:r>
          </w:p>
          <w:p w14:paraId="04A1D373"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p>
          <w:p w14:paraId="4F398864" w14:textId="09464389" w:rsidR="006F6057" w:rsidRPr="00787283" w:rsidRDefault="00EB344D"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Notwithstanding this, the</w:t>
            </w:r>
            <w:r w:rsidR="00D065CC">
              <w:rPr>
                <w:color w:val="FF0000"/>
                <w:sz w:val="20"/>
                <w:szCs w:val="20"/>
              </w:rPr>
              <w:t xml:space="preserve"> </w:t>
            </w:r>
            <w:r w:rsidR="006F6057" w:rsidRPr="00787283">
              <w:rPr>
                <w:color w:val="FF0000"/>
                <w:sz w:val="20"/>
                <w:szCs w:val="20"/>
              </w:rPr>
              <w:t xml:space="preserve">contribution should be waived as it is proposed to provide for parking to be used by </w:t>
            </w:r>
            <w:proofErr w:type="spellStart"/>
            <w:r w:rsidR="006F6057" w:rsidRPr="00787283">
              <w:rPr>
                <w:color w:val="FF0000"/>
                <w:sz w:val="20"/>
                <w:szCs w:val="20"/>
              </w:rPr>
              <w:t>Caversfield</w:t>
            </w:r>
            <w:proofErr w:type="spellEnd"/>
            <w:r w:rsidR="006F6057" w:rsidRPr="00787283">
              <w:rPr>
                <w:color w:val="FF0000"/>
                <w:sz w:val="20"/>
                <w:szCs w:val="20"/>
              </w:rPr>
              <w:t xml:space="preserve"> Church, the allotments, and provision for a pedestrian crossing to the church. </w:t>
            </w:r>
          </w:p>
        </w:tc>
      </w:tr>
      <w:tr w:rsidR="006F6057" w14:paraId="6A3398F6"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C95FD23" w14:textId="77777777" w:rsidR="006F6057" w:rsidRPr="00787283" w:rsidRDefault="006F6057" w:rsidP="00787283">
            <w:pPr>
              <w:pStyle w:val="TableParagraph"/>
              <w:ind w:right="437"/>
              <w:rPr>
                <w:rFonts w:asciiTheme="minorHAnsi" w:hAnsiTheme="minorHAnsi"/>
                <w:sz w:val="20"/>
                <w:szCs w:val="20"/>
              </w:rPr>
            </w:pPr>
            <w:r>
              <w:rPr>
                <w:rFonts w:asciiTheme="minorHAnsi" w:hAnsiTheme="minorHAnsi"/>
                <w:sz w:val="20"/>
                <w:szCs w:val="20"/>
              </w:rPr>
              <w:t>4</w:t>
            </w:r>
          </w:p>
        </w:tc>
        <w:tc>
          <w:tcPr>
            <w:tcW w:w="4018" w:type="dxa"/>
            <w:vAlign w:val="top"/>
          </w:tcPr>
          <w:p w14:paraId="611CFD5B" w14:textId="77777777" w:rsidR="006F6057" w:rsidRPr="00787283" w:rsidRDefault="006F6057" w:rsidP="006F6057">
            <w:pPr>
              <w:pStyle w:val="TableParagraph"/>
              <w:ind w:right="43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Community Building Crossing – to facilitate access to </w:t>
            </w:r>
            <w:proofErr w:type="spellStart"/>
            <w:r w:rsidRPr="00787283">
              <w:rPr>
                <w:rFonts w:asciiTheme="minorHAnsi" w:hAnsiTheme="minorHAnsi"/>
                <w:sz w:val="20"/>
                <w:szCs w:val="20"/>
              </w:rPr>
              <w:t>Caversfield</w:t>
            </w:r>
            <w:proofErr w:type="spellEnd"/>
            <w:r w:rsidRPr="00787283">
              <w:rPr>
                <w:rFonts w:asciiTheme="minorHAnsi" w:hAnsiTheme="minorHAnsi"/>
                <w:sz w:val="20"/>
                <w:szCs w:val="20"/>
              </w:rPr>
              <w:t xml:space="preserve"> Church</w:t>
            </w:r>
          </w:p>
        </w:tc>
        <w:tc>
          <w:tcPr>
            <w:tcW w:w="4755" w:type="dxa"/>
            <w:vAlign w:val="top"/>
          </w:tcPr>
          <w:p w14:paraId="30307D80"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4F4B717D" w14:textId="77777777" w:rsidR="006F6057" w:rsidRPr="00787283" w:rsidRDefault="006F6057" w:rsidP="00787283">
            <w:pPr>
              <w:pStyle w:val="TableParagraph"/>
              <w:ind w:right="215"/>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The application is to deliver the crossing and footway links to and from the site to </w:t>
            </w:r>
            <w:proofErr w:type="spellStart"/>
            <w:r w:rsidRPr="00787283">
              <w:rPr>
                <w:rFonts w:asciiTheme="minorHAnsi" w:hAnsiTheme="minorHAnsi"/>
                <w:b/>
                <w:sz w:val="20"/>
                <w:szCs w:val="20"/>
              </w:rPr>
              <w:t>Caversfield</w:t>
            </w:r>
            <w:proofErr w:type="spellEnd"/>
            <w:r w:rsidRPr="00787283">
              <w:rPr>
                <w:rFonts w:asciiTheme="minorHAnsi" w:hAnsiTheme="minorHAnsi"/>
                <w:b/>
                <w:sz w:val="20"/>
                <w:szCs w:val="20"/>
              </w:rPr>
              <w:t xml:space="preserve"> Church (part of which will be a S278 scheme) as well as parking on site. This should include a pedestrian island and any consequent amendments to the highway to facilitate this crossing. The applicant is requested to carry out the feasibility assessment and provide indicative drawings to allow further consideration of this proposal.</w:t>
            </w:r>
          </w:p>
        </w:tc>
        <w:tc>
          <w:tcPr>
            <w:tcW w:w="6141" w:type="dxa"/>
            <w:vAlign w:val="top"/>
          </w:tcPr>
          <w:p w14:paraId="1C4DA805"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sidRPr="00787283">
              <w:rPr>
                <w:color w:val="FF0000"/>
                <w:sz w:val="20"/>
                <w:szCs w:val="20"/>
              </w:rPr>
              <w:t xml:space="preserve">Following pre-app discussions between PBA and OCC, feasibility studies are being carried out to ascertain based on three crossing options. </w:t>
            </w:r>
          </w:p>
        </w:tc>
      </w:tr>
      <w:tr w:rsidR="006F6057" w14:paraId="3EBEBC08"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58800AB4" w14:textId="77777777" w:rsidR="006F6057" w:rsidRPr="00787283" w:rsidRDefault="006F6057" w:rsidP="00787283">
            <w:pPr>
              <w:pStyle w:val="TableParagraph"/>
              <w:ind w:right="116"/>
              <w:rPr>
                <w:rFonts w:asciiTheme="minorHAnsi" w:hAnsiTheme="minorHAnsi"/>
                <w:sz w:val="20"/>
                <w:szCs w:val="20"/>
              </w:rPr>
            </w:pPr>
            <w:r>
              <w:rPr>
                <w:rFonts w:asciiTheme="minorHAnsi" w:hAnsiTheme="minorHAnsi"/>
                <w:sz w:val="20"/>
                <w:szCs w:val="20"/>
              </w:rPr>
              <w:t>5</w:t>
            </w:r>
          </w:p>
        </w:tc>
        <w:tc>
          <w:tcPr>
            <w:tcW w:w="4018" w:type="dxa"/>
            <w:vAlign w:val="top"/>
          </w:tcPr>
          <w:p w14:paraId="43278677" w14:textId="77777777" w:rsidR="006F6057" w:rsidRPr="00787283" w:rsidRDefault="006F6057" w:rsidP="006F6057">
            <w:pPr>
              <w:pStyle w:val="TableParagraph"/>
              <w:ind w:right="11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Community Development workers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contribution)</w:t>
            </w:r>
          </w:p>
        </w:tc>
        <w:tc>
          <w:tcPr>
            <w:tcW w:w="4755" w:type="dxa"/>
            <w:vAlign w:val="top"/>
          </w:tcPr>
          <w:p w14:paraId="5E5E4C5C" w14:textId="77777777" w:rsidR="006F6057" w:rsidRPr="00787283" w:rsidRDefault="006F6057" w:rsidP="00787283">
            <w:pPr>
              <w:pStyle w:val="TableParagraph"/>
              <w:ind w:right="23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2 posts to be funded for the first 20 years build out of the development (£88,085.50 x 20 </w:t>
            </w:r>
            <w:proofErr w:type="spellStart"/>
            <w:r w:rsidRPr="00787283">
              <w:rPr>
                <w:rFonts w:asciiTheme="minorHAnsi" w:hAnsiTheme="minorHAnsi"/>
                <w:sz w:val="20"/>
                <w:szCs w:val="20"/>
              </w:rPr>
              <w:t>yrs</w:t>
            </w:r>
            <w:proofErr w:type="spellEnd"/>
            <w:r w:rsidRPr="00787283">
              <w:rPr>
                <w:rFonts w:asciiTheme="minorHAnsi" w:hAnsiTheme="minorHAnsi"/>
                <w:sz w:val="20"/>
                <w:szCs w:val="20"/>
              </w:rPr>
              <w:t xml:space="preserve"> =</w:t>
            </w:r>
          </w:p>
          <w:p w14:paraId="62A44A0C" w14:textId="77777777" w:rsidR="006F6057" w:rsidRPr="00787283" w:rsidRDefault="006F6057" w:rsidP="00787283">
            <w:pPr>
              <w:pStyle w:val="TableParagraph"/>
              <w:spacing w:before="3"/>
              <w:ind w:right="25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£1,761,710.00) plus 2 x part time equivalent posts to be funded for 4 years following (£46,633.50 x 4 =</w:t>
            </w:r>
          </w:p>
          <w:p w14:paraId="53B9AC63"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£186,534) =  £1,948,244  = £347.46</w:t>
            </w:r>
          </w:p>
          <w:p w14:paraId="15173FBD"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gramStart"/>
            <w:r w:rsidRPr="00787283">
              <w:rPr>
                <w:rFonts w:asciiTheme="minorHAnsi" w:hAnsiTheme="minorHAnsi"/>
                <w:sz w:val="20"/>
                <w:szCs w:val="20"/>
              </w:rPr>
              <w:t>per</w:t>
            </w:r>
            <w:proofErr w:type="gramEnd"/>
            <w:r w:rsidRPr="00787283">
              <w:rPr>
                <w:rFonts w:asciiTheme="minorHAnsi" w:hAnsiTheme="minorHAnsi"/>
                <w:sz w:val="20"/>
                <w:szCs w:val="20"/>
              </w:rPr>
              <w:t xml:space="preserve">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(2Q17).</w:t>
            </w:r>
          </w:p>
        </w:tc>
        <w:tc>
          <w:tcPr>
            <w:tcW w:w="5619" w:type="dxa"/>
            <w:vAlign w:val="top"/>
          </w:tcPr>
          <w:p w14:paraId="37F4ED1C" w14:textId="77777777" w:rsidR="006F6057" w:rsidRPr="00787283" w:rsidRDefault="006F6057" w:rsidP="00787283">
            <w:pPr>
              <w:pStyle w:val="TableParagraph"/>
              <w:ind w:right="57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£347.46 per dwelling index linked from 2Q17 – total contribution is £26,059.50 index linked from 2Q17 based on 75 dwellings.</w:t>
            </w:r>
          </w:p>
        </w:tc>
        <w:tc>
          <w:tcPr>
            <w:tcW w:w="6141" w:type="dxa"/>
            <w:vAlign w:val="top"/>
          </w:tcPr>
          <w:p w14:paraId="4A390E88" w14:textId="3610FD75"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This is not compliant</w:t>
            </w:r>
            <w:r w:rsidR="00D065CC">
              <w:rPr>
                <w:color w:val="FF0000"/>
                <w:sz w:val="20"/>
                <w:szCs w:val="20"/>
              </w:rPr>
              <w:t xml:space="preserve"> with CIL regulations</w:t>
            </w:r>
            <w:r w:rsidRPr="00787283">
              <w:rPr>
                <w:color w:val="FF0000"/>
                <w:sz w:val="20"/>
                <w:szCs w:val="20"/>
              </w:rPr>
              <w:t xml:space="preserve">, as stated by </w:t>
            </w:r>
            <w:proofErr w:type="spellStart"/>
            <w:r w:rsidRPr="00787283">
              <w:rPr>
                <w:color w:val="FF0000"/>
                <w:sz w:val="20"/>
                <w:szCs w:val="20"/>
              </w:rPr>
              <w:t>SoS</w:t>
            </w:r>
            <w:proofErr w:type="spellEnd"/>
            <w:r w:rsidRPr="00787283">
              <w:rPr>
                <w:color w:val="FF0000"/>
                <w:sz w:val="20"/>
                <w:szCs w:val="20"/>
              </w:rPr>
              <w:t xml:space="preserve"> in relation to appeal decision (ref: 3163551) for land at Howes Lane. </w:t>
            </w:r>
          </w:p>
          <w:p w14:paraId="09EF5C90"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sidRPr="00787283">
              <w:rPr>
                <w:color w:val="FF0000"/>
                <w:sz w:val="20"/>
                <w:szCs w:val="20"/>
              </w:rPr>
              <w:t xml:space="preserve">This is therefore not agreed. </w:t>
            </w:r>
          </w:p>
        </w:tc>
      </w:tr>
      <w:tr w:rsidR="006F6057" w14:paraId="58CC9084"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6404FD4" w14:textId="77777777" w:rsidR="006F6057" w:rsidRPr="00787283" w:rsidRDefault="006F6057" w:rsidP="00787283">
            <w:pPr>
              <w:pStyle w:val="TableParagraph"/>
              <w:ind w:right="116"/>
              <w:rPr>
                <w:rFonts w:asciiTheme="minorHAnsi" w:hAnsiTheme="minorHAnsi"/>
                <w:sz w:val="20"/>
                <w:szCs w:val="20"/>
              </w:rPr>
            </w:pPr>
            <w:r>
              <w:rPr>
                <w:rFonts w:asciiTheme="minorHAnsi" w:hAnsiTheme="minorHAnsi"/>
                <w:sz w:val="20"/>
                <w:szCs w:val="20"/>
              </w:rPr>
              <w:t>6</w:t>
            </w:r>
          </w:p>
        </w:tc>
        <w:tc>
          <w:tcPr>
            <w:tcW w:w="4018" w:type="dxa"/>
            <w:vAlign w:val="top"/>
          </w:tcPr>
          <w:p w14:paraId="5C435872" w14:textId="77777777" w:rsidR="006F6057" w:rsidRPr="00787283" w:rsidRDefault="006F6057" w:rsidP="006F6057">
            <w:pPr>
              <w:pStyle w:val="TableParagraph"/>
              <w:ind w:right="11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Community Development fund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contribution)</w:t>
            </w:r>
          </w:p>
        </w:tc>
        <w:tc>
          <w:tcPr>
            <w:tcW w:w="4755" w:type="dxa"/>
            <w:vAlign w:val="top"/>
          </w:tcPr>
          <w:p w14:paraId="1EA504DA" w14:textId="77777777" w:rsidR="006F6057" w:rsidRPr="00787283" w:rsidRDefault="006F6057" w:rsidP="00787283">
            <w:pPr>
              <w:pStyle w:val="TableParagraph"/>
              <w:ind w:right="39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£253,893.50 paid on a £45.29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basis (2Q17)</w:t>
            </w:r>
          </w:p>
        </w:tc>
        <w:tc>
          <w:tcPr>
            <w:tcW w:w="5619" w:type="dxa"/>
            <w:vAlign w:val="top"/>
          </w:tcPr>
          <w:p w14:paraId="3BB7E734" w14:textId="77777777" w:rsidR="006F6057" w:rsidRPr="00787283" w:rsidRDefault="006F6057" w:rsidP="00787283">
            <w:pPr>
              <w:pStyle w:val="TableParagraph"/>
              <w:ind w:right="205"/>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£45.29 per dwelling index linked from 2Q17 – total contribution is £3396.75 index linked from 2Q17 based on 75 dwellings.</w:t>
            </w:r>
          </w:p>
        </w:tc>
        <w:tc>
          <w:tcPr>
            <w:tcW w:w="6141" w:type="dxa"/>
            <w:vAlign w:val="top"/>
          </w:tcPr>
          <w:p w14:paraId="192D7EB9" w14:textId="44D842CD"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This is not compliant</w:t>
            </w:r>
            <w:r w:rsidR="00D065CC">
              <w:rPr>
                <w:color w:val="FF0000"/>
                <w:sz w:val="20"/>
                <w:szCs w:val="20"/>
              </w:rPr>
              <w:t xml:space="preserve"> with CIL regulations</w:t>
            </w:r>
            <w:r w:rsidRPr="00787283">
              <w:rPr>
                <w:color w:val="FF0000"/>
                <w:sz w:val="20"/>
                <w:szCs w:val="20"/>
              </w:rPr>
              <w:t xml:space="preserve">, as stated by </w:t>
            </w:r>
            <w:proofErr w:type="spellStart"/>
            <w:r w:rsidRPr="00787283">
              <w:rPr>
                <w:color w:val="FF0000"/>
                <w:sz w:val="20"/>
                <w:szCs w:val="20"/>
              </w:rPr>
              <w:t>SoS</w:t>
            </w:r>
            <w:proofErr w:type="spellEnd"/>
            <w:r w:rsidRPr="00787283">
              <w:rPr>
                <w:color w:val="FF0000"/>
                <w:sz w:val="20"/>
                <w:szCs w:val="20"/>
              </w:rPr>
              <w:t xml:space="preserve"> in relation to appeal decision (ref: 3163551) for land at Howes Lane. </w:t>
            </w:r>
          </w:p>
          <w:p w14:paraId="016347F7"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sidRPr="00787283">
              <w:rPr>
                <w:color w:val="FF0000"/>
                <w:sz w:val="20"/>
                <w:szCs w:val="20"/>
              </w:rPr>
              <w:t>This is therefore not agreed.</w:t>
            </w:r>
          </w:p>
        </w:tc>
      </w:tr>
      <w:tr w:rsidR="006F6057" w14:paraId="1C3537C1"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AD1043A"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7</w:t>
            </w:r>
          </w:p>
        </w:tc>
        <w:tc>
          <w:tcPr>
            <w:tcW w:w="4018" w:type="dxa"/>
            <w:vAlign w:val="top"/>
          </w:tcPr>
          <w:p w14:paraId="7F9BF610"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Skills and Training</w:t>
            </w:r>
          </w:p>
        </w:tc>
        <w:tc>
          <w:tcPr>
            <w:tcW w:w="4755" w:type="dxa"/>
            <w:vAlign w:val="top"/>
          </w:tcPr>
          <w:p w14:paraId="1D3BD194" w14:textId="77777777" w:rsidR="006F6057" w:rsidRPr="00787283" w:rsidRDefault="006F6057" w:rsidP="00787283">
            <w:pPr>
              <w:pStyle w:val="TableParagraph"/>
              <w:ind w:right="281"/>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CDC / OCC working up approach to secure sustained </w:t>
            </w:r>
            <w:proofErr w:type="spellStart"/>
            <w:r w:rsidRPr="00787283">
              <w:rPr>
                <w:rFonts w:asciiTheme="minorHAnsi" w:hAnsiTheme="minorHAnsi"/>
                <w:sz w:val="20"/>
                <w:szCs w:val="20"/>
              </w:rPr>
              <w:t>programme</w:t>
            </w:r>
            <w:proofErr w:type="spellEnd"/>
            <w:r w:rsidRPr="00787283">
              <w:rPr>
                <w:rFonts w:asciiTheme="minorHAnsi" w:hAnsiTheme="minorHAnsi"/>
                <w:sz w:val="20"/>
                <w:szCs w:val="20"/>
              </w:rPr>
              <w:t xml:space="preserve"> of apprenticeships throughout the build out of NW Bicester.</w:t>
            </w:r>
          </w:p>
        </w:tc>
        <w:tc>
          <w:tcPr>
            <w:tcW w:w="5619" w:type="dxa"/>
            <w:vAlign w:val="top"/>
          </w:tcPr>
          <w:p w14:paraId="1AE3E7B8" w14:textId="77777777" w:rsidR="006F6057" w:rsidRPr="00787283" w:rsidRDefault="006F6057" w:rsidP="00787283">
            <w:pPr>
              <w:pStyle w:val="TableParagraph"/>
              <w:ind w:right="24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Application to make a contribution towards construction apprenticeships </w:t>
            </w:r>
            <w:proofErr w:type="spellStart"/>
            <w:r w:rsidRPr="00787283">
              <w:rPr>
                <w:rFonts w:asciiTheme="minorHAnsi" w:hAnsiTheme="minorHAnsi"/>
                <w:b/>
                <w:sz w:val="20"/>
                <w:szCs w:val="20"/>
              </w:rPr>
              <w:t>programme</w:t>
            </w:r>
            <w:proofErr w:type="spellEnd"/>
            <w:r w:rsidRPr="00787283">
              <w:rPr>
                <w:rFonts w:asciiTheme="minorHAnsi" w:hAnsiTheme="minorHAnsi"/>
                <w:b/>
                <w:sz w:val="20"/>
                <w:szCs w:val="20"/>
              </w:rPr>
              <w:t xml:space="preserve"> as per the standards set out in the Developer Contribution SPD 2017.</w:t>
            </w:r>
          </w:p>
          <w:p w14:paraId="343D463A" w14:textId="77777777" w:rsidR="006F6057" w:rsidRPr="00787283" w:rsidRDefault="006F6057" w:rsidP="00787283">
            <w:pPr>
              <w:pStyle w:val="TableParagraph"/>
              <w:spacing w:before="3"/>
              <w:ind w:right="49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A target number of 3 new apprentices will be sought.</w:t>
            </w:r>
          </w:p>
        </w:tc>
        <w:tc>
          <w:tcPr>
            <w:tcW w:w="6141" w:type="dxa"/>
            <w:vAlign w:val="top"/>
          </w:tcPr>
          <w:p w14:paraId="2DBBE461"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 xml:space="preserve">This is accepted. </w:t>
            </w:r>
          </w:p>
        </w:tc>
      </w:tr>
      <w:tr w:rsidR="006F6057" w14:paraId="13BD310C"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40A8AAC6"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8</w:t>
            </w:r>
          </w:p>
        </w:tc>
        <w:tc>
          <w:tcPr>
            <w:tcW w:w="4018" w:type="dxa"/>
            <w:vAlign w:val="top"/>
          </w:tcPr>
          <w:p w14:paraId="21AC4898"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Primary Schools</w:t>
            </w:r>
          </w:p>
        </w:tc>
        <w:tc>
          <w:tcPr>
            <w:tcW w:w="4755" w:type="dxa"/>
            <w:vAlign w:val="top"/>
          </w:tcPr>
          <w:p w14:paraId="6969C0D0" w14:textId="77777777" w:rsidR="006F6057" w:rsidRPr="00787283" w:rsidRDefault="006F6057" w:rsidP="00787283">
            <w:pPr>
              <w:pStyle w:val="TableParagraph"/>
              <w:ind w:right="65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3 additional needed – 3 X 2 FE. 2.22ha needed per school.</w:t>
            </w:r>
          </w:p>
          <w:p w14:paraId="1916E459" w14:textId="77777777" w:rsidR="006F6057" w:rsidRPr="00787283" w:rsidRDefault="006F6057" w:rsidP="00787283">
            <w:pPr>
              <w:pStyle w:val="TableParagraph"/>
              <w:spacing w:before="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£8,838,000 per 2FE school (3Q16).</w:t>
            </w:r>
          </w:p>
          <w:p w14:paraId="1E42FCAE"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0AE46A98" w14:textId="77777777" w:rsidR="006F6057" w:rsidRPr="00787283" w:rsidRDefault="006F6057" w:rsidP="00787283">
            <w:pPr>
              <w:pStyle w:val="TableParagraph"/>
              <w:ind w:right="35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9</w:t>
            </w:r>
            <w:r w:rsidRPr="00787283">
              <w:rPr>
                <w:rFonts w:asciiTheme="minorHAnsi" w:hAnsiTheme="minorHAnsi"/>
                <w:sz w:val="20"/>
                <w:szCs w:val="20"/>
              </w:rPr>
              <w:t>A contribution from each site is to be based upon pupil generation.</w:t>
            </w:r>
          </w:p>
          <w:p w14:paraId="77D9F25A" w14:textId="77777777" w:rsidR="006F6057" w:rsidRPr="00787283" w:rsidRDefault="006F6057" w:rsidP="00787283">
            <w:pPr>
              <w:pStyle w:val="TableParagraph"/>
              <w:ind w:right="35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F335C2E" w14:textId="77777777" w:rsidR="006F6057" w:rsidRPr="00787283" w:rsidRDefault="006F6057" w:rsidP="00787283">
            <w:pPr>
              <w:pStyle w:val="TableParagraph"/>
              <w:ind w:right="27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Nursery provision will need to be provided through a </w:t>
            </w:r>
            <w:r w:rsidRPr="00787283">
              <w:rPr>
                <w:rFonts w:asciiTheme="minorHAnsi" w:hAnsiTheme="minorHAnsi"/>
                <w:sz w:val="20"/>
                <w:szCs w:val="20"/>
              </w:rPr>
              <w:lastRenderedPageBreak/>
              <w:t>mix of private and voluntary providers including preschools, day nurseries and childminders.</w:t>
            </w:r>
          </w:p>
          <w:p w14:paraId="706449B8"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526CFF2B" w14:textId="77777777" w:rsidR="006F6057" w:rsidRPr="00787283" w:rsidRDefault="006F6057" w:rsidP="00787283">
            <w:pPr>
              <w:pStyle w:val="TableParagraph"/>
              <w:ind w:right="35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 matrix will be applied for variance in mix and type of dwelling.</w:t>
            </w:r>
          </w:p>
        </w:tc>
        <w:tc>
          <w:tcPr>
            <w:tcW w:w="5619" w:type="dxa"/>
            <w:vAlign w:val="top"/>
          </w:tcPr>
          <w:p w14:paraId="3A86010B" w14:textId="77777777" w:rsidR="006F6057" w:rsidRPr="00787283" w:rsidRDefault="006F6057" w:rsidP="00787283">
            <w:pPr>
              <w:pStyle w:val="TableParagraph"/>
              <w:ind w:right="225"/>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sz w:val="20"/>
                <w:szCs w:val="20"/>
              </w:rPr>
              <w:lastRenderedPageBreak/>
              <w:t xml:space="preserve">The development is anticipated 5.77 children eligible for free nursery education, 22.85 primary pupils based on a policy SHMAA mix. </w:t>
            </w:r>
            <w:r w:rsidRPr="00787283">
              <w:rPr>
                <w:rFonts w:asciiTheme="minorHAnsi" w:hAnsiTheme="minorHAnsi"/>
                <w:b/>
                <w:sz w:val="20"/>
                <w:szCs w:val="20"/>
              </w:rPr>
              <w:t>The total primary contribution will be based on a cost per pupil of £21,042 giving a total of £480,830 towards the Exemplar school extension. Index linked from 3Q16.</w:t>
            </w:r>
          </w:p>
        </w:tc>
        <w:tc>
          <w:tcPr>
            <w:tcW w:w="6141" w:type="dxa"/>
            <w:vAlign w:val="top"/>
          </w:tcPr>
          <w:p w14:paraId="502E1A8B" w14:textId="0508914E" w:rsidR="006F6057" w:rsidRPr="00D065CC" w:rsidRDefault="00D065CC" w:rsidP="00D065CC">
            <w:pPr>
              <w:widowControl w:val="0"/>
              <w:autoSpaceDE w:val="0"/>
              <w:autoSpaceDN w:val="0"/>
              <w:spacing w:line="240" w:lineRule="auto"/>
              <w:ind w:left="0"/>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D065CC">
              <w:rPr>
                <w:color w:val="FF0000"/>
                <w:sz w:val="20"/>
                <w:szCs w:val="20"/>
              </w:rPr>
              <w:t xml:space="preserve">Acceptable in principle, subject to agreement to how the Council use the funds/mechanism if they are not spent.  </w:t>
            </w:r>
          </w:p>
        </w:tc>
      </w:tr>
      <w:tr w:rsidR="006F6057" w14:paraId="4DB1B87B"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5C0F5813"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10</w:t>
            </w:r>
          </w:p>
        </w:tc>
        <w:tc>
          <w:tcPr>
            <w:tcW w:w="4018" w:type="dxa"/>
            <w:vAlign w:val="top"/>
          </w:tcPr>
          <w:p w14:paraId="53B2AC04"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Secondary School</w:t>
            </w:r>
          </w:p>
        </w:tc>
        <w:tc>
          <w:tcPr>
            <w:tcW w:w="4755" w:type="dxa"/>
            <w:vAlign w:val="top"/>
          </w:tcPr>
          <w:p w14:paraId="087DEA80" w14:textId="77777777" w:rsidR="006F6057" w:rsidRPr="00787283" w:rsidRDefault="006F6057" w:rsidP="002A6650">
            <w:pPr>
              <w:pStyle w:val="TableParagraph"/>
              <w:ind w:right="12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 site of 10.45 ha to be delivered at nil value to support the provision of a 1200 place school (based on 1152 pupils as per analysis of the pupil projections) on application site 14/01641/OUT. In order to assist overall site financial viability, OCC have said that the secondary school provision could be delivered as 3 phases (1 x 600 places, 1x 300 places and 1 x 300 places). An additional phase of 300 places may be required to create a 1500 place school but this will be funded by development elsewhere in Bicester as and when needed. The cost of a 600 place zero carbon secondary school</w:t>
            </w:r>
            <w:r w:rsidRPr="00787283">
              <w:rPr>
                <w:rFonts w:asciiTheme="minorHAnsi" w:hAnsiTheme="minorHAnsi"/>
                <w:spacing w:val="-6"/>
                <w:sz w:val="20"/>
                <w:szCs w:val="20"/>
              </w:rPr>
              <w:t xml:space="preserve"> </w:t>
            </w:r>
            <w:r w:rsidRPr="00787283">
              <w:rPr>
                <w:rFonts w:asciiTheme="minorHAnsi" w:hAnsiTheme="minorHAnsi"/>
                <w:sz w:val="20"/>
                <w:szCs w:val="20"/>
              </w:rPr>
              <w:t>is</w:t>
            </w:r>
            <w:r>
              <w:rPr>
                <w:rFonts w:asciiTheme="minorHAnsi" w:hAnsiTheme="minorHAnsi"/>
                <w:sz w:val="20"/>
                <w:szCs w:val="20"/>
              </w:rPr>
              <w:t xml:space="preserve"> </w:t>
            </w:r>
            <w:r w:rsidRPr="00787283">
              <w:rPr>
                <w:rFonts w:asciiTheme="minorHAnsi" w:hAnsiTheme="minorHAnsi"/>
                <w:sz w:val="20"/>
                <w:szCs w:val="20"/>
              </w:rPr>
              <w:t>£16,886,400 (3Q16).</w:t>
            </w:r>
          </w:p>
        </w:tc>
        <w:tc>
          <w:tcPr>
            <w:tcW w:w="5619" w:type="dxa"/>
            <w:vAlign w:val="top"/>
          </w:tcPr>
          <w:p w14:paraId="6199EA31" w14:textId="77777777" w:rsidR="006F6057" w:rsidRPr="00787283" w:rsidRDefault="006F6057" w:rsidP="00787283">
            <w:pPr>
              <w:pStyle w:val="TableParagraph"/>
              <w:ind w:right="11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sz w:val="20"/>
                <w:szCs w:val="20"/>
              </w:rPr>
              <w:t xml:space="preserve">The development is anticipated to generate 13.97 secondary pupils. </w:t>
            </w:r>
            <w:r w:rsidRPr="00787283">
              <w:rPr>
                <w:rFonts w:asciiTheme="minorHAnsi" w:hAnsiTheme="minorHAnsi"/>
                <w:b/>
                <w:sz w:val="20"/>
                <w:szCs w:val="20"/>
              </w:rPr>
              <w:t>The total contribution would be based on a cost per pupil of £32,439 giving a total of £453,180 based on a SHMAA mix. Index linked from 3Q16.</w:t>
            </w:r>
          </w:p>
          <w:p w14:paraId="68BA54C2"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4F527316" w14:textId="77777777" w:rsidR="006F6057" w:rsidRPr="00787283" w:rsidRDefault="006F6057" w:rsidP="00787283">
            <w:pPr>
              <w:pStyle w:val="TableParagraph"/>
              <w:ind w:right="42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 matrix will be applied for variance in mix and type of dwelling.</w:t>
            </w:r>
          </w:p>
        </w:tc>
        <w:tc>
          <w:tcPr>
            <w:tcW w:w="6141" w:type="dxa"/>
            <w:vAlign w:val="top"/>
          </w:tcPr>
          <w:p w14:paraId="23534CB0" w14:textId="63800280" w:rsidR="006F6057" w:rsidRPr="00D065CC" w:rsidRDefault="00D065CC" w:rsidP="00D065CC">
            <w:pPr>
              <w:widowControl w:val="0"/>
              <w:autoSpaceDE w:val="0"/>
              <w:autoSpaceDN w:val="0"/>
              <w:spacing w:line="240" w:lineRule="auto"/>
              <w:ind w:left="0"/>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D065CC">
              <w:rPr>
                <w:color w:val="FF0000"/>
                <w:sz w:val="20"/>
                <w:szCs w:val="20"/>
              </w:rPr>
              <w:t xml:space="preserve">Acceptable in principle, subject to agreement to how the Council use the funds/mechanism if they are not spent.  </w:t>
            </w:r>
          </w:p>
        </w:tc>
      </w:tr>
      <w:tr w:rsidR="006F6057" w14:paraId="67941C49"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5FF1788" w14:textId="77777777" w:rsidR="006F6057" w:rsidRPr="00787283" w:rsidRDefault="006F6057" w:rsidP="00787283">
            <w:pPr>
              <w:pStyle w:val="TableParagraph"/>
              <w:spacing w:line="268" w:lineRule="exact"/>
              <w:rPr>
                <w:rFonts w:asciiTheme="minorHAnsi" w:hAnsiTheme="minorHAnsi"/>
                <w:sz w:val="20"/>
                <w:szCs w:val="20"/>
              </w:rPr>
            </w:pPr>
            <w:r>
              <w:rPr>
                <w:rFonts w:asciiTheme="minorHAnsi" w:hAnsiTheme="minorHAnsi"/>
                <w:sz w:val="20"/>
                <w:szCs w:val="20"/>
              </w:rPr>
              <w:t>11</w:t>
            </w:r>
          </w:p>
        </w:tc>
        <w:tc>
          <w:tcPr>
            <w:tcW w:w="4018" w:type="dxa"/>
            <w:vAlign w:val="top"/>
          </w:tcPr>
          <w:p w14:paraId="163695E0" w14:textId="77777777" w:rsidR="006F6057" w:rsidRPr="00787283" w:rsidRDefault="006F6057" w:rsidP="006F6057">
            <w:pPr>
              <w:pStyle w:val="TableParagraph"/>
              <w:spacing w:line="268"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Sports Centre</w:t>
            </w:r>
          </w:p>
        </w:tc>
        <w:tc>
          <w:tcPr>
            <w:tcW w:w="4755" w:type="dxa"/>
            <w:vAlign w:val="top"/>
          </w:tcPr>
          <w:p w14:paraId="47206134" w14:textId="77777777" w:rsidR="006F6057" w:rsidRPr="00787283" w:rsidRDefault="006F6057" w:rsidP="00787283">
            <w:pPr>
              <w:pStyle w:val="TableParagraph"/>
              <w:ind w:right="11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CDC is seeking a contribution towards enhanced sports facilities at Bicester Leisure Site for wider community use of £2,764,278 (£493.00 per dwelling 2Q17).</w:t>
            </w:r>
          </w:p>
        </w:tc>
        <w:tc>
          <w:tcPr>
            <w:tcW w:w="5619" w:type="dxa"/>
            <w:vAlign w:val="top"/>
          </w:tcPr>
          <w:p w14:paraId="403DF5E3" w14:textId="77777777" w:rsidR="006F6057" w:rsidRPr="00787283" w:rsidRDefault="006F6057" w:rsidP="00787283">
            <w:pPr>
              <w:pStyle w:val="TableParagraph"/>
              <w:ind w:right="318"/>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£493.00 per dwelling index linked from 2Q17 – total contribution is £36,975 index linked from 2Q17 based upon 75 dwellings.</w:t>
            </w:r>
          </w:p>
        </w:tc>
        <w:tc>
          <w:tcPr>
            <w:tcW w:w="6141" w:type="dxa"/>
            <w:vAlign w:val="top"/>
          </w:tcPr>
          <w:p w14:paraId="240ED1D2" w14:textId="6A78A8BF" w:rsidR="006F6057" w:rsidRPr="00787283" w:rsidRDefault="00EB344D"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This acceptable in principle</w:t>
            </w:r>
          </w:p>
        </w:tc>
      </w:tr>
      <w:tr w:rsidR="006F6057" w14:paraId="6F06BD63"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80E02CC" w14:textId="77777777" w:rsidR="006F6057" w:rsidRPr="00787283" w:rsidRDefault="006F6057" w:rsidP="00787283">
            <w:pPr>
              <w:pStyle w:val="TableParagraph"/>
              <w:ind w:right="150"/>
              <w:rPr>
                <w:rFonts w:asciiTheme="minorHAnsi" w:hAnsiTheme="minorHAnsi"/>
                <w:sz w:val="20"/>
                <w:szCs w:val="20"/>
              </w:rPr>
            </w:pPr>
            <w:r>
              <w:rPr>
                <w:rFonts w:asciiTheme="minorHAnsi" w:hAnsiTheme="minorHAnsi"/>
                <w:sz w:val="20"/>
                <w:szCs w:val="20"/>
              </w:rPr>
              <w:t>12</w:t>
            </w:r>
          </w:p>
        </w:tc>
        <w:tc>
          <w:tcPr>
            <w:tcW w:w="4018" w:type="dxa"/>
            <w:vAlign w:val="top"/>
          </w:tcPr>
          <w:p w14:paraId="0C8E23A1" w14:textId="77777777" w:rsidR="006F6057" w:rsidRPr="00787283" w:rsidRDefault="006F6057" w:rsidP="006F6057">
            <w:pPr>
              <w:pStyle w:val="TableParagraph"/>
              <w:ind w:right="15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Sports pitches and associated buffers (capital and maintenance costs)</w:t>
            </w:r>
          </w:p>
        </w:tc>
        <w:tc>
          <w:tcPr>
            <w:tcW w:w="4755" w:type="dxa"/>
            <w:vAlign w:val="top"/>
          </w:tcPr>
          <w:p w14:paraId="43F990F5" w14:textId="77777777" w:rsidR="006F6057" w:rsidRPr="00787283" w:rsidRDefault="006F6057" w:rsidP="00787283">
            <w:pPr>
              <w:pStyle w:val="TableParagraph"/>
              <w:ind w:right="34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Main sports pitch site south of the railway line (13.9ha) and a smaller pitch of 1.4ha north of the railway line.</w:t>
            </w:r>
          </w:p>
          <w:p w14:paraId="583AED0E"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67A51B0F" w14:textId="77777777" w:rsidR="006F6057" w:rsidRPr="00787283" w:rsidRDefault="006F6057" w:rsidP="00787283">
            <w:pPr>
              <w:pStyle w:val="TableParagraph"/>
              <w:ind w:right="13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£1,276,359 (£8.34 per </w:t>
            </w:r>
            <w:proofErr w:type="spellStart"/>
            <w:r w:rsidRPr="00787283">
              <w:rPr>
                <w:rFonts w:asciiTheme="minorHAnsi" w:hAnsiTheme="minorHAnsi"/>
                <w:sz w:val="20"/>
                <w:szCs w:val="20"/>
              </w:rPr>
              <w:t>sq</w:t>
            </w:r>
            <w:proofErr w:type="spellEnd"/>
            <w:r w:rsidRPr="00787283">
              <w:rPr>
                <w:rFonts w:asciiTheme="minorHAnsi" w:hAnsiTheme="minorHAnsi"/>
                <w:sz w:val="20"/>
                <w:szCs w:val="20"/>
              </w:rPr>
              <w:t xml:space="preserve"> m x 153,000 </w:t>
            </w:r>
            <w:proofErr w:type="spellStart"/>
            <w:r w:rsidRPr="00787283">
              <w:rPr>
                <w:rFonts w:asciiTheme="minorHAnsi" w:hAnsiTheme="minorHAnsi"/>
                <w:sz w:val="20"/>
                <w:szCs w:val="20"/>
              </w:rPr>
              <w:t>sq</w:t>
            </w:r>
            <w:proofErr w:type="spellEnd"/>
            <w:r w:rsidRPr="00787283">
              <w:rPr>
                <w:rFonts w:asciiTheme="minorHAnsi" w:hAnsiTheme="minorHAnsi"/>
                <w:sz w:val="20"/>
                <w:szCs w:val="20"/>
              </w:rPr>
              <w:t xml:space="preserve"> m of sports pitches) capital costs and £1,403,746 maintenance costs. All 2Q17 and CPI linked.</w:t>
            </w:r>
          </w:p>
        </w:tc>
        <w:tc>
          <w:tcPr>
            <w:tcW w:w="5619" w:type="dxa"/>
            <w:vAlign w:val="top"/>
          </w:tcPr>
          <w:p w14:paraId="440BFAA5" w14:textId="77777777" w:rsidR="006F6057" w:rsidRPr="00787283" w:rsidRDefault="006F6057" w:rsidP="00787283">
            <w:pPr>
              <w:pStyle w:val="TableParagraph"/>
              <w:ind w:right="167"/>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£227.68 per dwelling index linked from 2Q17 towards the capital cost of providing the permanent sports pitches across the site and £250.35 per dwelling index linked from 2Q17 towards the revenue costs of maintaining the permanent sports pitches – total contribution is £17,076 towards the capital cost of the permanent sports pitches and £18,776.25 towards the costs of maintaining the permanent sports pitches both index linked from 2Q17 based upon 75 dwellings.</w:t>
            </w:r>
          </w:p>
          <w:p w14:paraId="1A9B70DF"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5845E830" w14:textId="77777777" w:rsidR="006F6057" w:rsidRPr="00787283" w:rsidRDefault="006F6057" w:rsidP="00787283">
            <w:pPr>
              <w:pStyle w:val="TableParagraph"/>
              <w:ind w:right="549"/>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Potential need for a contribution towards temporary pitches but this will be confirmed separately.</w:t>
            </w:r>
          </w:p>
        </w:tc>
        <w:tc>
          <w:tcPr>
            <w:tcW w:w="6141" w:type="dxa"/>
            <w:vAlign w:val="top"/>
          </w:tcPr>
          <w:p w14:paraId="11226198" w14:textId="29195AA1" w:rsidR="006F6057" w:rsidRPr="00D065CC" w:rsidRDefault="00D065CC" w:rsidP="00D065CC">
            <w:pPr>
              <w:widowControl w:val="0"/>
              <w:autoSpaceDE w:val="0"/>
              <w:autoSpaceDN w:val="0"/>
              <w:spacing w:line="240" w:lineRule="auto"/>
              <w:ind w:left="0"/>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D065CC">
              <w:rPr>
                <w:color w:val="FF0000"/>
                <w:sz w:val="20"/>
                <w:szCs w:val="20"/>
              </w:rPr>
              <w:t xml:space="preserve">Acceptable in principle, subject to agreement to how the Council use the funds/mechanism if they are not spent.  </w:t>
            </w:r>
          </w:p>
        </w:tc>
      </w:tr>
      <w:tr w:rsidR="006F6057" w14:paraId="464703A5"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709C6F81"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13</w:t>
            </w:r>
          </w:p>
        </w:tc>
        <w:tc>
          <w:tcPr>
            <w:tcW w:w="4018" w:type="dxa"/>
            <w:vAlign w:val="top"/>
          </w:tcPr>
          <w:p w14:paraId="3C6EA179"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Burial ground</w:t>
            </w:r>
          </w:p>
        </w:tc>
        <w:tc>
          <w:tcPr>
            <w:tcW w:w="4755" w:type="dxa"/>
            <w:vAlign w:val="top"/>
          </w:tcPr>
          <w:p w14:paraId="7B35714D" w14:textId="77777777" w:rsidR="006F6057" w:rsidRPr="00787283" w:rsidRDefault="006F6057" w:rsidP="00787283">
            <w:pPr>
              <w:pStyle w:val="TableParagraph"/>
              <w:ind w:right="34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4 ha site being provided at nil cost by A2 Dominion. Remaining applications to make financial contribution towards laying out at</w:t>
            </w:r>
          </w:p>
          <w:p w14:paraId="4C4888B7" w14:textId="77777777" w:rsidR="006F6057" w:rsidRPr="00787283" w:rsidRDefault="006F6057" w:rsidP="00787283">
            <w:pPr>
              <w:pStyle w:val="TableParagraph"/>
              <w:spacing w:before="3"/>
              <w:ind w:right="50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£10.06 per dwelling index linked from 2Q17.</w:t>
            </w:r>
          </w:p>
        </w:tc>
        <w:tc>
          <w:tcPr>
            <w:tcW w:w="5619" w:type="dxa"/>
            <w:vAlign w:val="top"/>
          </w:tcPr>
          <w:p w14:paraId="15B1A422" w14:textId="77777777" w:rsidR="006F6057" w:rsidRPr="00787283" w:rsidRDefault="006F6057" w:rsidP="00787283">
            <w:pPr>
              <w:pStyle w:val="TableParagraph"/>
              <w:ind w:right="12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make a proportionate financial contribution towards laying out based upon £10.06 per dwelling index linked from</w:t>
            </w:r>
            <w:r w:rsidRPr="00787283">
              <w:rPr>
                <w:rFonts w:asciiTheme="minorHAnsi" w:hAnsiTheme="minorHAnsi"/>
                <w:b/>
                <w:spacing w:val="-17"/>
                <w:sz w:val="20"/>
                <w:szCs w:val="20"/>
              </w:rPr>
              <w:t xml:space="preserve"> </w:t>
            </w:r>
            <w:r w:rsidRPr="00787283">
              <w:rPr>
                <w:rFonts w:asciiTheme="minorHAnsi" w:hAnsiTheme="minorHAnsi"/>
                <w:b/>
                <w:sz w:val="20"/>
                <w:szCs w:val="20"/>
              </w:rPr>
              <w:t>2Q17</w:t>
            </w:r>
          </w:p>
          <w:p w14:paraId="5AF2630C" w14:textId="77777777" w:rsidR="006F6057" w:rsidRPr="00787283" w:rsidRDefault="006F6057" w:rsidP="00787283">
            <w:pPr>
              <w:pStyle w:val="TableParagraph"/>
              <w:spacing w:before="1"/>
              <w:ind w:right="209"/>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 </w:t>
            </w:r>
            <w:proofErr w:type="gramStart"/>
            <w:r w:rsidRPr="00787283">
              <w:rPr>
                <w:rFonts w:asciiTheme="minorHAnsi" w:hAnsiTheme="minorHAnsi"/>
                <w:b/>
                <w:sz w:val="20"/>
                <w:szCs w:val="20"/>
              </w:rPr>
              <w:t>total</w:t>
            </w:r>
            <w:proofErr w:type="gramEnd"/>
            <w:r w:rsidRPr="00787283">
              <w:rPr>
                <w:rFonts w:asciiTheme="minorHAnsi" w:hAnsiTheme="minorHAnsi"/>
                <w:b/>
                <w:sz w:val="20"/>
                <w:szCs w:val="20"/>
              </w:rPr>
              <w:t xml:space="preserve"> contribution is £754.50 index linked from 2Q17 based upon 75 dwellings.</w:t>
            </w:r>
          </w:p>
        </w:tc>
        <w:tc>
          <w:tcPr>
            <w:tcW w:w="6141" w:type="dxa"/>
            <w:vAlign w:val="top"/>
          </w:tcPr>
          <w:p w14:paraId="71543375" w14:textId="43ABE3A4" w:rsidR="006F6057" w:rsidRPr="00D065CC" w:rsidRDefault="00D065CC" w:rsidP="00D065CC">
            <w:pPr>
              <w:widowControl w:val="0"/>
              <w:autoSpaceDE w:val="0"/>
              <w:autoSpaceDN w:val="0"/>
              <w:spacing w:line="240" w:lineRule="auto"/>
              <w:ind w:left="0"/>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D065CC">
              <w:rPr>
                <w:color w:val="FF0000"/>
                <w:sz w:val="20"/>
                <w:szCs w:val="20"/>
              </w:rPr>
              <w:t xml:space="preserve">Acceptable in principle, subject to agreement to how the Council use the funds/mechanism if they are not spent.  </w:t>
            </w:r>
          </w:p>
        </w:tc>
      </w:tr>
      <w:tr w:rsidR="006F6057" w14:paraId="534F4DDE"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2D639966" w14:textId="77777777" w:rsidR="006F6057" w:rsidRPr="00787283" w:rsidRDefault="006F6057" w:rsidP="00787283">
            <w:pPr>
              <w:pStyle w:val="TableParagraph"/>
              <w:spacing w:line="266" w:lineRule="exact"/>
              <w:rPr>
                <w:rFonts w:asciiTheme="minorHAnsi" w:hAnsiTheme="minorHAnsi"/>
                <w:sz w:val="20"/>
                <w:szCs w:val="20"/>
              </w:rPr>
            </w:pPr>
            <w:r>
              <w:rPr>
                <w:rFonts w:asciiTheme="minorHAnsi" w:hAnsiTheme="minorHAnsi"/>
                <w:sz w:val="20"/>
                <w:szCs w:val="20"/>
              </w:rPr>
              <w:t>14</w:t>
            </w:r>
          </w:p>
        </w:tc>
        <w:tc>
          <w:tcPr>
            <w:tcW w:w="4018" w:type="dxa"/>
            <w:vAlign w:val="top"/>
          </w:tcPr>
          <w:p w14:paraId="6100AA54" w14:textId="77777777" w:rsidR="006F6057" w:rsidRPr="00787283" w:rsidRDefault="006F6057" w:rsidP="006F6057">
            <w:pPr>
              <w:pStyle w:val="TableParagraph"/>
              <w:spacing w:line="266"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Allotments</w:t>
            </w:r>
          </w:p>
        </w:tc>
        <w:tc>
          <w:tcPr>
            <w:tcW w:w="4755" w:type="dxa"/>
            <w:vAlign w:val="top"/>
          </w:tcPr>
          <w:p w14:paraId="71935545" w14:textId="77777777" w:rsidR="006F6057" w:rsidRPr="00787283" w:rsidRDefault="006F6057" w:rsidP="00787283">
            <w:pPr>
              <w:pStyle w:val="TableParagraph"/>
              <w:ind w:right="41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Masterplan site to provide allotments in accordance with standards contained in Local Plan Policy BSC11.</w:t>
            </w:r>
          </w:p>
        </w:tc>
        <w:tc>
          <w:tcPr>
            <w:tcW w:w="5619" w:type="dxa"/>
            <w:vAlign w:val="top"/>
          </w:tcPr>
          <w:p w14:paraId="3C3B2277" w14:textId="77777777" w:rsidR="006F6057" w:rsidRPr="00787283" w:rsidRDefault="006F6057" w:rsidP="00787283">
            <w:pPr>
              <w:pStyle w:val="TableParagraph"/>
              <w:ind w:right="107"/>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A minimum of 0.07ha required based on application of CDC Local Plan Policy BSC11 (based upon 75 dwellings proposed).</w:t>
            </w:r>
          </w:p>
        </w:tc>
        <w:tc>
          <w:tcPr>
            <w:tcW w:w="6141" w:type="dxa"/>
            <w:vAlign w:val="top"/>
          </w:tcPr>
          <w:p w14:paraId="43A6065F"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On-site provision, in excess of minimum requirements. </w:t>
            </w:r>
            <w:r w:rsidRPr="00787283">
              <w:rPr>
                <w:color w:val="FF0000"/>
                <w:sz w:val="20"/>
                <w:szCs w:val="20"/>
              </w:rPr>
              <w:t xml:space="preserve"> </w:t>
            </w:r>
          </w:p>
        </w:tc>
      </w:tr>
      <w:tr w:rsidR="006F6057" w14:paraId="65F8AEE2"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246B11F2"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15</w:t>
            </w:r>
          </w:p>
        </w:tc>
        <w:tc>
          <w:tcPr>
            <w:tcW w:w="4018" w:type="dxa"/>
            <w:vAlign w:val="top"/>
          </w:tcPr>
          <w:p w14:paraId="3A9C31A7"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Play areas</w:t>
            </w:r>
          </w:p>
        </w:tc>
        <w:tc>
          <w:tcPr>
            <w:tcW w:w="4755" w:type="dxa"/>
            <w:vAlign w:val="top"/>
          </w:tcPr>
          <w:p w14:paraId="1529AB1D" w14:textId="77777777" w:rsidR="006F6057" w:rsidRPr="00787283" w:rsidRDefault="006F6057" w:rsidP="00787283">
            <w:pPr>
              <w:pStyle w:val="TableParagraph"/>
              <w:ind w:right="22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Play areas across the site (provision of all scales of play areas – NEAPs, LEAPs, combined LEAPs and LAPs and LAPs) are required along with commuted revenue contributions towards their long term management and maintenance.</w:t>
            </w:r>
          </w:p>
        </w:tc>
        <w:tc>
          <w:tcPr>
            <w:tcW w:w="5619" w:type="dxa"/>
            <w:vAlign w:val="top"/>
          </w:tcPr>
          <w:p w14:paraId="7A962A09" w14:textId="77777777" w:rsidR="006F6057" w:rsidRPr="00787283" w:rsidRDefault="006F6057" w:rsidP="00787283">
            <w:pPr>
              <w:pStyle w:val="TableParagraph"/>
              <w:ind w:right="216"/>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The application requires the provision of a combined LAP and LEAP based upon the number of dwellings proposed. The application will be required to layout the play areas and transfer them to the Local Authority with an appropriate commuted sum as follows:</w:t>
            </w:r>
          </w:p>
          <w:p w14:paraId="6DD78571"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002728BB" w14:textId="77777777" w:rsidR="006F6057" w:rsidRPr="00787283" w:rsidRDefault="006F6057" w:rsidP="00787283">
            <w:pPr>
              <w:pStyle w:val="TableParagraph"/>
              <w:ind w:right="754"/>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Combined LAP and LEAP 4000 </w:t>
            </w:r>
            <w:proofErr w:type="spellStart"/>
            <w:r w:rsidRPr="00787283">
              <w:rPr>
                <w:rFonts w:asciiTheme="minorHAnsi" w:hAnsiTheme="minorHAnsi"/>
                <w:b/>
                <w:sz w:val="20"/>
                <w:szCs w:val="20"/>
              </w:rPr>
              <w:t>sq</w:t>
            </w:r>
            <w:proofErr w:type="spellEnd"/>
            <w:r w:rsidRPr="00787283">
              <w:rPr>
                <w:rFonts w:asciiTheme="minorHAnsi" w:hAnsiTheme="minorHAnsi"/>
                <w:b/>
                <w:sz w:val="20"/>
                <w:szCs w:val="20"/>
              </w:rPr>
              <w:t xml:space="preserve"> m facility (including a buffer)</w:t>
            </w:r>
          </w:p>
          <w:p w14:paraId="795237F7" w14:textId="77777777" w:rsidR="006F6057" w:rsidRPr="00787283" w:rsidRDefault="006F6057" w:rsidP="00787283">
            <w:pPr>
              <w:pStyle w:val="TableParagraph"/>
              <w:spacing w:before="3"/>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6239FB1C" w14:textId="77777777" w:rsidR="006F6057" w:rsidRPr="00787283" w:rsidRDefault="006F6057" w:rsidP="00787283">
            <w:pPr>
              <w:pStyle w:val="TableParagraph"/>
              <w:ind w:right="92"/>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Maintenance cost: £121,492.13 Index linked from 1Q18</w:t>
            </w:r>
          </w:p>
        </w:tc>
        <w:tc>
          <w:tcPr>
            <w:tcW w:w="6141" w:type="dxa"/>
            <w:vAlign w:val="top"/>
          </w:tcPr>
          <w:p w14:paraId="65635D7A" w14:textId="77777777" w:rsidR="006F6057" w:rsidRPr="00787283" w:rsidRDefault="006F6057" w:rsidP="00915428">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On-site provision of LAP and LEAP. The proposals comprise 2.79ha of open space, thus incorporates space for the required buffer. </w:t>
            </w:r>
          </w:p>
          <w:p w14:paraId="3005F846" w14:textId="77777777"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Cherwell to confirm how the maintenance rates have been calculated, i.e. is it proposed the maintenance for this play area is provided by this development alone, or are contributions towards maintenance calculated on a per dwelling basis?</w:t>
            </w:r>
          </w:p>
          <w:p w14:paraId="70125EEF" w14:textId="77777777"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Cherwell to confirm that the maintenance cost covers maintenance of the play space prior to full build out of the wider development when council tax from the new residents takes effect. </w:t>
            </w:r>
          </w:p>
          <w:p w14:paraId="0BD0D7EF"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lastRenderedPageBreak/>
              <w:t xml:space="preserve">The S106 should include provisions to either allow the transfer of maintenance a management company (thus removing the requirement for contributions), or the Council. </w:t>
            </w:r>
          </w:p>
        </w:tc>
      </w:tr>
      <w:tr w:rsidR="006F6057" w14:paraId="14EAF76A"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105A03BF"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lastRenderedPageBreak/>
              <w:t>16</w:t>
            </w:r>
          </w:p>
        </w:tc>
        <w:tc>
          <w:tcPr>
            <w:tcW w:w="4018" w:type="dxa"/>
            <w:vAlign w:val="top"/>
          </w:tcPr>
          <w:p w14:paraId="684E8296"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Other amenity space</w:t>
            </w:r>
          </w:p>
        </w:tc>
        <w:tc>
          <w:tcPr>
            <w:tcW w:w="4755" w:type="dxa"/>
            <w:vAlign w:val="top"/>
          </w:tcPr>
          <w:p w14:paraId="26F4AA48" w14:textId="77777777" w:rsidR="006F6057" w:rsidRPr="00787283" w:rsidRDefault="006F6057" w:rsidP="00787283">
            <w:pPr>
              <w:pStyle w:val="TableParagraph"/>
              <w:ind w:right="231"/>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General open space: - maintenance rate per </w:t>
            </w:r>
            <w:proofErr w:type="spellStart"/>
            <w:r w:rsidRPr="00787283">
              <w:rPr>
                <w:rFonts w:asciiTheme="minorHAnsi" w:hAnsiTheme="minorHAnsi"/>
                <w:sz w:val="20"/>
                <w:szCs w:val="20"/>
              </w:rPr>
              <w:t>sq</w:t>
            </w:r>
            <w:proofErr w:type="spellEnd"/>
            <w:r w:rsidRPr="00787283">
              <w:rPr>
                <w:rFonts w:asciiTheme="minorHAnsi" w:hAnsiTheme="minorHAnsi"/>
                <w:sz w:val="20"/>
                <w:szCs w:val="20"/>
              </w:rPr>
              <w:t xml:space="preserve"> m is £9.32</w:t>
            </w:r>
          </w:p>
          <w:p w14:paraId="13355451"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FF057D3" w14:textId="77777777" w:rsidR="006F6057" w:rsidRPr="00787283" w:rsidRDefault="006F6057" w:rsidP="00787283">
            <w:pPr>
              <w:pStyle w:val="TableParagraph"/>
              <w:ind w:right="69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Hedges: maintenance rate per linear m is £14.35</w:t>
            </w:r>
          </w:p>
          <w:p w14:paraId="426646E4"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68BA81CD" w14:textId="77777777" w:rsidR="006F6057" w:rsidRPr="00787283" w:rsidRDefault="006F6057" w:rsidP="00787283">
            <w:pPr>
              <w:pStyle w:val="TableParagraph"/>
              <w:ind w:right="16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Mature trees: Maintenance rate per tree is £334.82</w:t>
            </w:r>
          </w:p>
          <w:p w14:paraId="561281AB" w14:textId="77777777" w:rsidR="006F6057" w:rsidRPr="00787283" w:rsidRDefault="006F6057" w:rsidP="00787283">
            <w:pPr>
              <w:pStyle w:val="TableParagraph"/>
              <w:spacing w:before="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F05620D" w14:textId="77777777" w:rsidR="006F6057" w:rsidRPr="00787283" w:rsidRDefault="006F6057" w:rsidP="00787283">
            <w:pPr>
              <w:pStyle w:val="TableParagraph"/>
              <w:spacing w:before="1"/>
              <w:ind w:right="64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Orchard: maintenance rate per square </w:t>
            </w:r>
            <w:proofErr w:type="spellStart"/>
            <w:r w:rsidRPr="00787283">
              <w:rPr>
                <w:rFonts w:asciiTheme="minorHAnsi" w:hAnsiTheme="minorHAnsi"/>
                <w:sz w:val="20"/>
                <w:szCs w:val="20"/>
              </w:rPr>
              <w:t>metre</w:t>
            </w:r>
            <w:proofErr w:type="spellEnd"/>
            <w:r w:rsidRPr="00787283">
              <w:rPr>
                <w:rFonts w:asciiTheme="minorHAnsi" w:hAnsiTheme="minorHAnsi"/>
                <w:sz w:val="20"/>
                <w:szCs w:val="20"/>
              </w:rPr>
              <w:t xml:space="preserve"> in respect of any orchard £23.23</w:t>
            </w:r>
          </w:p>
          <w:p w14:paraId="2C8F59E6"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278A9D8" w14:textId="77777777" w:rsidR="006F6057" w:rsidRPr="00787283" w:rsidRDefault="006F6057" w:rsidP="00787283">
            <w:pPr>
              <w:pStyle w:val="TableParagraph"/>
              <w:ind w:right="9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SUDs (within open space) commuted sums:</w:t>
            </w:r>
          </w:p>
          <w:p w14:paraId="3A187C6A"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£43.81 per </w:t>
            </w:r>
            <w:proofErr w:type="spellStart"/>
            <w:r w:rsidRPr="00787283">
              <w:rPr>
                <w:rFonts w:asciiTheme="minorHAnsi" w:hAnsiTheme="minorHAnsi"/>
                <w:sz w:val="20"/>
                <w:szCs w:val="20"/>
              </w:rPr>
              <w:t>sqm</w:t>
            </w:r>
            <w:proofErr w:type="spellEnd"/>
            <w:r w:rsidRPr="00787283">
              <w:rPr>
                <w:rFonts w:asciiTheme="minorHAnsi" w:hAnsiTheme="minorHAnsi"/>
                <w:sz w:val="20"/>
                <w:szCs w:val="20"/>
              </w:rPr>
              <w:t xml:space="preserve"> of ponds</w:t>
            </w:r>
          </w:p>
          <w:p w14:paraId="5869CA25"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£32.58 per </w:t>
            </w:r>
            <w:proofErr w:type="spellStart"/>
            <w:r w:rsidRPr="00787283">
              <w:rPr>
                <w:rFonts w:asciiTheme="minorHAnsi" w:hAnsiTheme="minorHAnsi"/>
                <w:sz w:val="20"/>
                <w:szCs w:val="20"/>
              </w:rPr>
              <w:t>sqm</w:t>
            </w:r>
            <w:proofErr w:type="spellEnd"/>
            <w:r w:rsidRPr="00787283">
              <w:rPr>
                <w:rFonts w:asciiTheme="minorHAnsi" w:hAnsiTheme="minorHAnsi"/>
                <w:sz w:val="20"/>
                <w:szCs w:val="20"/>
              </w:rPr>
              <w:t xml:space="preserve"> of ditch</w:t>
            </w:r>
          </w:p>
          <w:p w14:paraId="6D7CCCE6" w14:textId="77777777" w:rsidR="006F6057" w:rsidRPr="00787283" w:rsidRDefault="006F6057" w:rsidP="00787283">
            <w:pPr>
              <w:pStyle w:val="TableParagraph"/>
              <w:spacing w:line="267"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£17.94 per </w:t>
            </w:r>
            <w:proofErr w:type="spellStart"/>
            <w:r w:rsidRPr="00787283">
              <w:rPr>
                <w:rFonts w:asciiTheme="minorHAnsi" w:hAnsiTheme="minorHAnsi"/>
                <w:sz w:val="20"/>
                <w:szCs w:val="20"/>
              </w:rPr>
              <w:t>sqm</w:t>
            </w:r>
            <w:proofErr w:type="spellEnd"/>
            <w:r w:rsidRPr="00787283">
              <w:rPr>
                <w:rFonts w:asciiTheme="minorHAnsi" w:hAnsiTheme="minorHAnsi"/>
                <w:sz w:val="20"/>
                <w:szCs w:val="20"/>
              </w:rPr>
              <w:t xml:space="preserve"> of stream</w:t>
            </w:r>
          </w:p>
          <w:p w14:paraId="67CD7D20" w14:textId="77777777" w:rsidR="006F6057" w:rsidRPr="00787283" w:rsidRDefault="006F6057" w:rsidP="00787283">
            <w:pPr>
              <w:pStyle w:val="TableParagraph"/>
              <w:spacing w:line="480" w:lineRule="auto"/>
              <w:ind w:right="35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£11.63 per </w:t>
            </w:r>
            <w:proofErr w:type="spellStart"/>
            <w:r w:rsidRPr="00787283">
              <w:rPr>
                <w:rFonts w:asciiTheme="minorHAnsi" w:hAnsiTheme="minorHAnsi"/>
                <w:sz w:val="20"/>
                <w:szCs w:val="20"/>
              </w:rPr>
              <w:t>sqm</w:t>
            </w:r>
            <w:proofErr w:type="spellEnd"/>
            <w:r w:rsidRPr="00787283">
              <w:rPr>
                <w:rFonts w:asciiTheme="minorHAnsi" w:hAnsiTheme="minorHAnsi"/>
                <w:sz w:val="20"/>
                <w:szCs w:val="20"/>
              </w:rPr>
              <w:t xml:space="preserve"> of balancing pond All index linked from 1Q18</w:t>
            </w:r>
          </w:p>
        </w:tc>
        <w:tc>
          <w:tcPr>
            <w:tcW w:w="5619" w:type="dxa"/>
            <w:vAlign w:val="top"/>
          </w:tcPr>
          <w:p w14:paraId="51463247" w14:textId="77777777" w:rsidR="006F6057" w:rsidRPr="00787283" w:rsidRDefault="006F6057" w:rsidP="00787283">
            <w:pPr>
              <w:pStyle w:val="TableParagraph"/>
              <w:ind w:right="6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The application must provide between 0.35 – 0.53ha of open space to accord with Policy BSC11 of the adopted Local Plan. However, it is likely that far more than this will be required given the Masterplan identified uses for this land.</w:t>
            </w:r>
          </w:p>
          <w:p w14:paraId="0D03BF17" w14:textId="77777777" w:rsidR="006F6057" w:rsidRPr="00787283" w:rsidRDefault="006F6057" w:rsidP="00787283">
            <w:pPr>
              <w:pStyle w:val="TableParagraph"/>
              <w:spacing w:before="8"/>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63C67B0B" w14:textId="77777777" w:rsidR="006F6057" w:rsidRPr="00787283" w:rsidRDefault="006F6057" w:rsidP="00787283">
            <w:pPr>
              <w:pStyle w:val="TableParagraph"/>
              <w:ind w:right="141"/>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The applicant must lay out the open space on a phased basis. Long term management and maintenance must be by the Council or a management company, therefore transfer arrangements are required along with a commuted sum based upon the areas and features to be transferred to be worked out in accordance with the figures set out (if to be transferred to the Council). If a management company is chosen, then secure arrangements for long term management and maintenance will be required.</w:t>
            </w:r>
          </w:p>
        </w:tc>
        <w:tc>
          <w:tcPr>
            <w:tcW w:w="6141" w:type="dxa"/>
            <w:vAlign w:val="top"/>
          </w:tcPr>
          <w:p w14:paraId="506B3CD9"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O</w:t>
            </w:r>
            <w:r w:rsidRPr="00787283">
              <w:rPr>
                <w:color w:val="FF0000"/>
                <w:sz w:val="20"/>
                <w:szCs w:val="20"/>
              </w:rPr>
              <w:t>n-site</w:t>
            </w:r>
            <w:r>
              <w:rPr>
                <w:color w:val="FF0000"/>
                <w:sz w:val="20"/>
                <w:szCs w:val="20"/>
              </w:rPr>
              <w:t xml:space="preserve"> amenity space</w:t>
            </w:r>
            <w:r w:rsidRPr="00787283">
              <w:rPr>
                <w:color w:val="FF0000"/>
                <w:sz w:val="20"/>
                <w:szCs w:val="20"/>
              </w:rPr>
              <w:t xml:space="preserve"> provision. </w:t>
            </w:r>
          </w:p>
          <w:p w14:paraId="3D0A213B"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O</w:t>
            </w:r>
            <w:r w:rsidRPr="00787283">
              <w:rPr>
                <w:color w:val="FF0000"/>
                <w:sz w:val="20"/>
                <w:szCs w:val="20"/>
              </w:rPr>
              <w:t xml:space="preserve">rchard to be removed </w:t>
            </w:r>
            <w:r>
              <w:rPr>
                <w:color w:val="FF0000"/>
                <w:sz w:val="20"/>
                <w:szCs w:val="20"/>
              </w:rPr>
              <w:t xml:space="preserve">therefore the maintenance rate in respect of the orchard is not agreed. </w:t>
            </w:r>
          </w:p>
          <w:p w14:paraId="48A9AA73" w14:textId="77777777" w:rsidR="006F6057" w:rsidRDefault="006F6057" w:rsidP="006F6057">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Cherwell to confirm that the maintenance cost covers maintenance of the amenity spaces prior to full build out of the wider development when council tax from the new residents takes effect. </w:t>
            </w:r>
          </w:p>
          <w:p w14:paraId="2FFCEBB3" w14:textId="77777777" w:rsidR="006F6057" w:rsidRPr="00787283" w:rsidRDefault="006F6057" w:rsidP="006F6057">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The S106 should include provisions to either allow the transfer of maintenance a management company (thus removing the requirement for contributions), or the Council.</w:t>
            </w:r>
          </w:p>
        </w:tc>
      </w:tr>
      <w:tr w:rsidR="006F6057" w14:paraId="5D43E620"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152258A1"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17</w:t>
            </w:r>
          </w:p>
        </w:tc>
        <w:tc>
          <w:tcPr>
            <w:tcW w:w="4018" w:type="dxa"/>
            <w:vAlign w:val="top"/>
          </w:tcPr>
          <w:p w14:paraId="61AED807"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Biodiversity Off-set contribution</w:t>
            </w:r>
          </w:p>
        </w:tc>
        <w:tc>
          <w:tcPr>
            <w:tcW w:w="4755" w:type="dxa"/>
            <w:vAlign w:val="top"/>
          </w:tcPr>
          <w:p w14:paraId="0BA25F96" w14:textId="77777777" w:rsidR="006F6057" w:rsidRPr="00787283" w:rsidRDefault="006F6057" w:rsidP="00852090">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CDC / OCC are seeking £491,892.97 Sum per ha is £1333.04 (491,892.97</w:t>
            </w:r>
            <w:r>
              <w:rPr>
                <w:rFonts w:asciiTheme="minorHAnsi" w:hAnsiTheme="minorHAnsi"/>
                <w:sz w:val="20"/>
                <w:szCs w:val="20"/>
              </w:rPr>
              <w:t xml:space="preserve"> </w:t>
            </w:r>
            <w:r w:rsidRPr="00787283">
              <w:rPr>
                <w:rFonts w:asciiTheme="minorHAnsi" w:hAnsiTheme="minorHAnsi"/>
                <w:sz w:val="20"/>
                <w:szCs w:val="20"/>
              </w:rPr>
              <w:t>/ 369ha masterplan site area</w:t>
            </w:r>
            <w:r w:rsidRPr="00787283">
              <w:rPr>
                <w:rFonts w:asciiTheme="minorHAnsi" w:hAnsiTheme="minorHAnsi"/>
                <w:color w:val="1F487C"/>
                <w:sz w:val="20"/>
                <w:szCs w:val="20"/>
              </w:rPr>
              <w:t xml:space="preserve">) </w:t>
            </w:r>
            <w:r w:rsidRPr="00787283">
              <w:rPr>
                <w:rFonts w:asciiTheme="minorHAnsi" w:hAnsiTheme="minorHAnsi"/>
                <w:sz w:val="20"/>
                <w:szCs w:val="20"/>
              </w:rPr>
              <w:t>financial contribution to offset loss of habitats of farmland birds and brown hares.</w:t>
            </w:r>
          </w:p>
        </w:tc>
        <w:tc>
          <w:tcPr>
            <w:tcW w:w="5619" w:type="dxa"/>
            <w:vAlign w:val="top"/>
          </w:tcPr>
          <w:p w14:paraId="6F39A534" w14:textId="77777777" w:rsidR="006F6057" w:rsidRPr="00787283" w:rsidRDefault="006F6057" w:rsidP="00787283">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is to contribute £7065.13 index linked from 2Q17 based upon the site area of 5.3ha.</w:t>
            </w:r>
          </w:p>
        </w:tc>
        <w:tc>
          <w:tcPr>
            <w:tcW w:w="6141" w:type="dxa"/>
            <w:vAlign w:val="top"/>
          </w:tcPr>
          <w:p w14:paraId="1183A013" w14:textId="77777777"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Contribution towards farmland birds accepted in principle. </w:t>
            </w:r>
          </w:p>
          <w:p w14:paraId="01A0A6D6" w14:textId="77777777" w:rsidR="006F6057" w:rsidRPr="00787283" w:rsidRDefault="006F6057" w:rsidP="00926F82">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Contribution towards brown hares not accepted as there is no justification on why this is required. </w:t>
            </w:r>
          </w:p>
          <w:p w14:paraId="0B2D207C"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6F6057" w14:paraId="0D684AD9"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10E03DFF" w14:textId="77777777" w:rsidR="006F6057" w:rsidRPr="00787283" w:rsidRDefault="006F6057" w:rsidP="00787283">
            <w:pPr>
              <w:pStyle w:val="TableParagraph"/>
              <w:ind w:right="95"/>
              <w:rPr>
                <w:rFonts w:asciiTheme="minorHAnsi" w:hAnsiTheme="minorHAnsi"/>
                <w:sz w:val="20"/>
                <w:szCs w:val="20"/>
              </w:rPr>
            </w:pPr>
            <w:r>
              <w:rPr>
                <w:rFonts w:asciiTheme="minorHAnsi" w:hAnsiTheme="minorHAnsi"/>
                <w:sz w:val="20"/>
                <w:szCs w:val="20"/>
              </w:rPr>
              <w:t>18</w:t>
            </w:r>
          </w:p>
        </w:tc>
        <w:tc>
          <w:tcPr>
            <w:tcW w:w="4018" w:type="dxa"/>
            <w:vAlign w:val="top"/>
          </w:tcPr>
          <w:p w14:paraId="05B70BB3" w14:textId="77777777" w:rsidR="006F6057" w:rsidRPr="00787283" w:rsidRDefault="006F6057" w:rsidP="006F6057">
            <w:pPr>
              <w:pStyle w:val="TableParagraph"/>
              <w:ind w:right="9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Cultural Wellbeing (whole application approach)</w:t>
            </w:r>
          </w:p>
        </w:tc>
        <w:tc>
          <w:tcPr>
            <w:tcW w:w="4755" w:type="dxa"/>
            <w:vAlign w:val="top"/>
          </w:tcPr>
          <w:p w14:paraId="5A487E02" w14:textId="77777777" w:rsidR="006F6057" w:rsidRPr="00787283" w:rsidRDefault="006F6057" w:rsidP="00787283">
            <w:pPr>
              <w:pStyle w:val="TableParagraph"/>
              <w:ind w:right="9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Strategic approach to cultural enrichment of site required so that it is embedded in design approach to public realm, facilities, landscape as well as through community engagement initiatives etc.</w:t>
            </w:r>
          </w:p>
        </w:tc>
        <w:tc>
          <w:tcPr>
            <w:tcW w:w="5619" w:type="dxa"/>
            <w:vAlign w:val="top"/>
          </w:tcPr>
          <w:p w14:paraId="2A170478" w14:textId="77777777" w:rsidR="006F6057" w:rsidRPr="00787283" w:rsidRDefault="006F6057" w:rsidP="00787283">
            <w:pPr>
              <w:pStyle w:val="TableParagraph"/>
              <w:ind w:right="316"/>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CDC’s Cultural Wellbeing Strategy for NW B (as contained in the NW Bicester SPD) will apply to this application.</w:t>
            </w:r>
          </w:p>
        </w:tc>
        <w:tc>
          <w:tcPr>
            <w:tcW w:w="6141" w:type="dxa"/>
            <w:vAlign w:val="top"/>
          </w:tcPr>
          <w:p w14:paraId="50133F18"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Obligation to prepare and submit a Cultural Wellbeing Strategy is accepted. </w:t>
            </w:r>
          </w:p>
        </w:tc>
      </w:tr>
      <w:tr w:rsidR="006F6057" w14:paraId="19AB661A"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750C131D" w14:textId="77777777" w:rsidR="006F6057" w:rsidRPr="00787283" w:rsidRDefault="006F6057" w:rsidP="00787283">
            <w:pPr>
              <w:pStyle w:val="TableParagraph"/>
              <w:ind w:right="125"/>
              <w:rPr>
                <w:rFonts w:asciiTheme="minorHAnsi" w:hAnsiTheme="minorHAnsi"/>
                <w:sz w:val="20"/>
                <w:szCs w:val="20"/>
              </w:rPr>
            </w:pPr>
            <w:r>
              <w:rPr>
                <w:rFonts w:asciiTheme="minorHAnsi" w:hAnsiTheme="minorHAnsi"/>
                <w:sz w:val="20"/>
                <w:szCs w:val="20"/>
              </w:rPr>
              <w:t>19</w:t>
            </w:r>
          </w:p>
        </w:tc>
        <w:tc>
          <w:tcPr>
            <w:tcW w:w="4018" w:type="dxa"/>
            <w:vAlign w:val="top"/>
          </w:tcPr>
          <w:p w14:paraId="6B4626C9" w14:textId="77777777" w:rsidR="006F6057" w:rsidRPr="00787283" w:rsidRDefault="006F6057" w:rsidP="006F6057">
            <w:pPr>
              <w:pStyle w:val="TableParagraph"/>
              <w:ind w:right="12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Community Management </w:t>
            </w:r>
            <w:proofErr w:type="spellStart"/>
            <w:r w:rsidRPr="00787283">
              <w:rPr>
                <w:rFonts w:asciiTheme="minorHAnsi" w:hAnsiTheme="minorHAnsi"/>
                <w:sz w:val="20"/>
                <w:szCs w:val="20"/>
              </w:rPr>
              <w:t>Organisation</w:t>
            </w:r>
            <w:proofErr w:type="spellEnd"/>
            <w:r w:rsidRPr="00787283">
              <w:rPr>
                <w:rFonts w:asciiTheme="minorHAnsi" w:hAnsiTheme="minorHAnsi"/>
                <w:sz w:val="20"/>
                <w:szCs w:val="20"/>
              </w:rPr>
              <w:t xml:space="preserve"> (CMO)</w:t>
            </w:r>
          </w:p>
        </w:tc>
        <w:tc>
          <w:tcPr>
            <w:tcW w:w="4755" w:type="dxa"/>
            <w:vAlign w:val="top"/>
          </w:tcPr>
          <w:p w14:paraId="7D4AD28B" w14:textId="77777777" w:rsidR="006F6057" w:rsidRPr="00787283" w:rsidRDefault="006F6057" w:rsidP="00787283">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Cost to run is estimated to be</w:t>
            </w:r>
          </w:p>
          <w:p w14:paraId="3A7C237F" w14:textId="77777777" w:rsidR="006F6057" w:rsidRPr="00787283" w:rsidRDefault="006F6057" w:rsidP="00787283">
            <w:pPr>
              <w:pStyle w:val="TableParagraph"/>
              <w:ind w:right="14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£14,608,670.52 so £2605.43per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index linked from 2Q17, based on Stage 1 Business Plan and up to date CDC cost estimates. However, this figure includes a contribution towards management of community facilities (as set out below). These have been disaggregated out (and are required separately – see below). This leaves a per dwelling requirement for the CMO of</w:t>
            </w:r>
          </w:p>
          <w:p w14:paraId="476A827F"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£2,202.31 index linked from 2Q17.</w:t>
            </w:r>
          </w:p>
        </w:tc>
        <w:tc>
          <w:tcPr>
            <w:tcW w:w="5619" w:type="dxa"/>
            <w:vAlign w:val="top"/>
          </w:tcPr>
          <w:p w14:paraId="5C1D274A" w14:textId="77777777" w:rsidR="006F6057" w:rsidRPr="00787283" w:rsidRDefault="006F6057" w:rsidP="00787283">
            <w:pPr>
              <w:pStyle w:val="TableParagraph"/>
              <w:ind w:right="460"/>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£2,202.31 per dwelling index linked from 2Q17 – total contribution is £165,173.25 index linked from 2Q17 based on 75 dwellings.</w:t>
            </w:r>
          </w:p>
        </w:tc>
        <w:tc>
          <w:tcPr>
            <w:tcW w:w="6141" w:type="dxa"/>
            <w:vAlign w:val="top"/>
          </w:tcPr>
          <w:p w14:paraId="657923F6" w14:textId="6ACFBD34" w:rsidR="006F6057" w:rsidRPr="00787283" w:rsidRDefault="006F6057" w:rsidP="00926F82">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This is not compliant</w:t>
            </w:r>
            <w:r w:rsidR="00D065CC">
              <w:rPr>
                <w:color w:val="FF0000"/>
                <w:sz w:val="20"/>
                <w:szCs w:val="20"/>
              </w:rPr>
              <w:t xml:space="preserve"> with CIL regulations</w:t>
            </w:r>
            <w:r w:rsidRPr="00787283">
              <w:rPr>
                <w:color w:val="FF0000"/>
                <w:sz w:val="20"/>
                <w:szCs w:val="20"/>
              </w:rPr>
              <w:t xml:space="preserve">, as stated by </w:t>
            </w:r>
            <w:proofErr w:type="spellStart"/>
            <w:r w:rsidRPr="00787283">
              <w:rPr>
                <w:color w:val="FF0000"/>
                <w:sz w:val="20"/>
                <w:szCs w:val="20"/>
              </w:rPr>
              <w:t>SoS</w:t>
            </w:r>
            <w:proofErr w:type="spellEnd"/>
            <w:r w:rsidRPr="00787283">
              <w:rPr>
                <w:color w:val="FF0000"/>
                <w:sz w:val="20"/>
                <w:szCs w:val="20"/>
              </w:rPr>
              <w:t xml:space="preserve"> in relation to appeal decision (ref: 3163551) for land at Howes Lane. </w:t>
            </w:r>
          </w:p>
          <w:p w14:paraId="73658BA6" w14:textId="77777777" w:rsidR="006F6057" w:rsidRPr="00787283" w:rsidRDefault="006F6057" w:rsidP="00926F82">
            <w:pPr>
              <w:jc w:val="left"/>
              <w:cnfStyle w:val="000000000000" w:firstRow="0" w:lastRow="0" w:firstColumn="0" w:lastColumn="0" w:oddVBand="0" w:evenVBand="0" w:oddHBand="0" w:evenHBand="0" w:firstRowFirstColumn="0" w:firstRowLastColumn="0" w:lastRowFirstColumn="0" w:lastRowLastColumn="0"/>
              <w:rPr>
                <w:sz w:val="20"/>
                <w:szCs w:val="20"/>
              </w:rPr>
            </w:pPr>
            <w:r w:rsidRPr="00787283">
              <w:rPr>
                <w:color w:val="FF0000"/>
                <w:sz w:val="20"/>
                <w:szCs w:val="20"/>
              </w:rPr>
              <w:t>This is therefore not agreed.</w:t>
            </w:r>
          </w:p>
        </w:tc>
      </w:tr>
      <w:tr w:rsidR="006F6057" w14:paraId="32F05275"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5F78C497" w14:textId="77777777" w:rsidR="006F6057" w:rsidRPr="006F6057" w:rsidRDefault="006F6057" w:rsidP="006F6057">
            <w:pPr>
              <w:pStyle w:val="TableParagraph"/>
              <w:tabs>
                <w:tab w:val="left" w:pos="142"/>
              </w:tabs>
              <w:ind w:right="702"/>
              <w:rPr>
                <w:rFonts w:asciiTheme="minorHAnsi" w:hAnsiTheme="minorHAnsi"/>
                <w:sz w:val="20"/>
                <w:szCs w:val="20"/>
              </w:rPr>
            </w:pPr>
            <w:r>
              <w:rPr>
                <w:rFonts w:asciiTheme="minorHAnsi" w:hAnsiTheme="minorHAnsi"/>
                <w:sz w:val="20"/>
                <w:szCs w:val="20"/>
              </w:rPr>
              <w:t>20</w:t>
            </w:r>
          </w:p>
        </w:tc>
        <w:tc>
          <w:tcPr>
            <w:tcW w:w="4018" w:type="dxa"/>
            <w:vAlign w:val="top"/>
          </w:tcPr>
          <w:p w14:paraId="371ACA32" w14:textId="77777777" w:rsidR="006F6057" w:rsidRPr="00787283" w:rsidRDefault="006F6057" w:rsidP="006F6057">
            <w:pPr>
              <w:pStyle w:val="TableParagraph"/>
              <w:ind w:right="70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F6057">
              <w:rPr>
                <w:rFonts w:asciiTheme="minorHAnsi" w:hAnsiTheme="minorHAnsi"/>
                <w:sz w:val="20"/>
                <w:szCs w:val="20"/>
              </w:rPr>
              <w:t>Community Facility Maintenance</w:t>
            </w:r>
          </w:p>
        </w:tc>
        <w:tc>
          <w:tcPr>
            <w:tcW w:w="4755" w:type="dxa"/>
            <w:vAlign w:val="top"/>
          </w:tcPr>
          <w:p w14:paraId="19CBA4E0" w14:textId="77777777" w:rsidR="006F6057" w:rsidRPr="00787283" w:rsidRDefault="006F6057" w:rsidP="00787283">
            <w:pPr>
              <w:pStyle w:val="TableParagraph"/>
              <w:ind w:right="10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There is a requirement for the management and maintenance for allotments, the community farm and community buildings. These features may be managed and maintained by the CMO in the long term.</w:t>
            </w:r>
          </w:p>
        </w:tc>
        <w:tc>
          <w:tcPr>
            <w:tcW w:w="5619" w:type="dxa"/>
            <w:vAlign w:val="top"/>
          </w:tcPr>
          <w:p w14:paraId="3480EE82" w14:textId="77777777" w:rsidR="006F6057" w:rsidRPr="00787283" w:rsidRDefault="006F6057" w:rsidP="00787283">
            <w:pPr>
              <w:pStyle w:val="TableParagraph"/>
              <w:ind w:right="234"/>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The application is to contribute £403.12 per dwelling index linked from 2Q17 towards the long term management and maintenance of the community facilities (allotments, community farm and community buildings). The total contribution is £30,234 index linked from 2Q17 based on 75 dwellings.</w:t>
            </w:r>
          </w:p>
        </w:tc>
        <w:tc>
          <w:tcPr>
            <w:tcW w:w="6141" w:type="dxa"/>
            <w:vAlign w:val="top"/>
          </w:tcPr>
          <w:p w14:paraId="514AAF7E" w14:textId="77777777"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Duplication of CMA contribution, which is not compliant. </w:t>
            </w:r>
          </w:p>
          <w:p w14:paraId="393B4C71"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 xml:space="preserve">This is therefore not agreed. </w:t>
            </w:r>
          </w:p>
        </w:tc>
      </w:tr>
      <w:tr w:rsidR="006F6057" w14:paraId="5C57F6A1"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48983050" w14:textId="77777777" w:rsidR="006F6057" w:rsidRPr="006F6057" w:rsidRDefault="006F6057" w:rsidP="006F6057">
            <w:pPr>
              <w:pStyle w:val="TableParagraph"/>
              <w:ind w:right="162"/>
              <w:rPr>
                <w:rFonts w:asciiTheme="minorHAnsi" w:hAnsiTheme="minorHAnsi"/>
                <w:sz w:val="20"/>
                <w:szCs w:val="20"/>
              </w:rPr>
            </w:pPr>
            <w:r>
              <w:rPr>
                <w:rFonts w:asciiTheme="minorHAnsi" w:hAnsiTheme="minorHAnsi"/>
                <w:sz w:val="20"/>
                <w:szCs w:val="20"/>
              </w:rPr>
              <w:t>21</w:t>
            </w:r>
          </w:p>
        </w:tc>
        <w:tc>
          <w:tcPr>
            <w:tcW w:w="4018" w:type="dxa"/>
            <w:vAlign w:val="top"/>
          </w:tcPr>
          <w:p w14:paraId="118256CA" w14:textId="77777777" w:rsidR="006F6057" w:rsidRPr="00787283" w:rsidRDefault="006F6057" w:rsidP="006F6057">
            <w:pPr>
              <w:pStyle w:val="TableParagraph"/>
              <w:ind w:right="69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6F6057">
              <w:rPr>
                <w:rFonts w:asciiTheme="minorHAnsi" w:hAnsiTheme="minorHAnsi"/>
                <w:sz w:val="20"/>
                <w:szCs w:val="20"/>
              </w:rPr>
              <w:t>Affordable Housing (physical provision)</w:t>
            </w:r>
          </w:p>
        </w:tc>
        <w:tc>
          <w:tcPr>
            <w:tcW w:w="4755" w:type="dxa"/>
            <w:vAlign w:val="top"/>
          </w:tcPr>
          <w:p w14:paraId="5048422C" w14:textId="77777777" w:rsidR="006F6057" w:rsidRPr="00787283" w:rsidRDefault="006F6057" w:rsidP="00787283">
            <w:pPr>
              <w:pStyle w:val="TableParagraph"/>
              <w:ind w:right="16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30% of all dwellings to be affordable with the split at 70% affordable rent and 30% shared ownership.</w:t>
            </w:r>
          </w:p>
          <w:p w14:paraId="7F1F7410" w14:textId="77777777" w:rsidR="006F6057" w:rsidRPr="00787283" w:rsidRDefault="006F6057" w:rsidP="00787283">
            <w:pPr>
              <w:pStyle w:val="TableParagraph"/>
              <w:spacing w:before="3"/>
              <w:ind w:right="8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Affordable housing would also need to comply with the additional standards and design criteria laid out in the NW Bicester SPD.</w:t>
            </w:r>
          </w:p>
          <w:p w14:paraId="74B48118" w14:textId="77777777" w:rsidR="006F6057" w:rsidRPr="00787283" w:rsidRDefault="006F6057" w:rsidP="00787283">
            <w:pPr>
              <w:pStyle w:val="TableParagraph"/>
              <w:spacing w:before="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4BC97C84" w14:textId="77777777" w:rsidR="006F6057" w:rsidRPr="00787283" w:rsidRDefault="006F6057" w:rsidP="00787283">
            <w:pPr>
              <w:pStyle w:val="TableParagraph"/>
              <w:spacing w:before="1"/>
              <w:ind w:right="18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The standard we currently apply to affordable housing is that the rental housing should be at the nationally described space standard with 50% of the rental units meeting building regulations for accessible housing part </w:t>
            </w:r>
            <w:proofErr w:type="gramStart"/>
            <w:r w:rsidRPr="00787283">
              <w:rPr>
                <w:rFonts w:asciiTheme="minorHAnsi" w:hAnsiTheme="minorHAnsi"/>
                <w:sz w:val="20"/>
                <w:szCs w:val="20"/>
              </w:rPr>
              <w:t>M4(</w:t>
            </w:r>
            <w:proofErr w:type="gramEnd"/>
            <w:r w:rsidRPr="00787283">
              <w:rPr>
                <w:rFonts w:asciiTheme="minorHAnsi" w:hAnsiTheme="minorHAnsi"/>
                <w:sz w:val="20"/>
                <w:szCs w:val="20"/>
              </w:rPr>
              <w:t>2). The shared ownership should meet the same design as market housing and be agreed with the District Council.</w:t>
            </w:r>
          </w:p>
          <w:p w14:paraId="0BBAA51B"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25CA56C" w14:textId="77777777" w:rsidR="006F6057" w:rsidRPr="00787283" w:rsidRDefault="006F6057" w:rsidP="00787283">
            <w:pPr>
              <w:pStyle w:val="TableParagraph"/>
              <w:ind w:right="1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All the housing should be indistinguishable externally from the market housing and dispersed in clusters of no more than 15 units (or 10 units if all the properties are for rent).</w:t>
            </w:r>
          </w:p>
          <w:p w14:paraId="0742E4F3" w14:textId="77777777" w:rsidR="006F6057" w:rsidRPr="00787283" w:rsidRDefault="006F6057" w:rsidP="00787283">
            <w:pPr>
              <w:pStyle w:val="TableParagraph"/>
              <w:spacing w:before="1"/>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2C55E10C" w14:textId="77777777" w:rsidR="006F6057" w:rsidRPr="00787283" w:rsidRDefault="006F6057" w:rsidP="00787283">
            <w:pPr>
              <w:pStyle w:val="TableParagraph"/>
              <w:ind w:right="36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All properties should benefit from parking provision with two spaces available for properties of 2 bedrooms or more. The registered provider should be agreed with the Council.</w:t>
            </w:r>
          </w:p>
        </w:tc>
        <w:tc>
          <w:tcPr>
            <w:tcW w:w="5619" w:type="dxa"/>
            <w:vAlign w:val="top"/>
          </w:tcPr>
          <w:p w14:paraId="75A7479F" w14:textId="77777777" w:rsidR="006F6057" w:rsidRPr="00787283" w:rsidRDefault="006F6057" w:rsidP="00787283">
            <w:pPr>
              <w:pStyle w:val="TableParagraph"/>
              <w:ind w:right="28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lastRenderedPageBreak/>
              <w:t>We would be looking at an indicative mix for the 30% affordable housing (23 units) as follows:</w:t>
            </w:r>
          </w:p>
          <w:p w14:paraId="2D739CCB"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4752DF4D"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Affordable rent (70%)</w:t>
            </w:r>
          </w:p>
          <w:p w14:paraId="514D78B8"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241D0C54" w14:textId="77777777" w:rsidR="006F6057" w:rsidRPr="00787283" w:rsidRDefault="006F6057" w:rsidP="00787283">
            <w:pPr>
              <w:pStyle w:val="TableParagraph"/>
              <w:ind w:right="227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lastRenderedPageBreak/>
              <w:t xml:space="preserve">11% 1B </w:t>
            </w:r>
            <w:proofErr w:type="spellStart"/>
            <w:r w:rsidRPr="00787283">
              <w:rPr>
                <w:rFonts w:asciiTheme="minorHAnsi" w:hAnsiTheme="minorHAnsi"/>
                <w:sz w:val="20"/>
                <w:szCs w:val="20"/>
              </w:rPr>
              <w:t>Maisonette</w:t>
            </w:r>
            <w:proofErr w:type="spellEnd"/>
            <w:r w:rsidRPr="00787283">
              <w:rPr>
                <w:rFonts w:asciiTheme="minorHAnsi" w:hAnsiTheme="minorHAnsi"/>
                <w:sz w:val="20"/>
                <w:szCs w:val="20"/>
              </w:rPr>
              <w:t xml:space="preserve"> – 2no. 56% 2BH – 8no.</w:t>
            </w:r>
          </w:p>
          <w:p w14:paraId="096EB20F" w14:textId="77777777" w:rsidR="006F6057" w:rsidRPr="00787283" w:rsidRDefault="006F6057" w:rsidP="00787283">
            <w:pPr>
              <w:pStyle w:val="TableParagraph"/>
              <w:spacing w:line="266"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24% 3BH – 4no.</w:t>
            </w:r>
          </w:p>
          <w:p w14:paraId="76B19E1F"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5% 4BH – 1no.</w:t>
            </w:r>
          </w:p>
          <w:p w14:paraId="170BFFB4"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4% 2BB – 1no.</w:t>
            </w:r>
          </w:p>
          <w:p w14:paraId="425D5A5B" w14:textId="77777777" w:rsidR="006F6057" w:rsidRPr="00787283" w:rsidRDefault="006F6057" w:rsidP="00787283">
            <w:pPr>
              <w:pStyle w:val="TableParagraph"/>
              <w:spacing w:before="5"/>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2603738"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Shared Ownership (30%)</w:t>
            </w:r>
          </w:p>
          <w:p w14:paraId="103310E0" w14:textId="77777777" w:rsidR="006F6057" w:rsidRPr="00787283" w:rsidRDefault="006F6057" w:rsidP="00787283">
            <w:pPr>
              <w:pStyle w:val="TableParagraph"/>
              <w:spacing w:before="4"/>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21B1754"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60% 2BH – 4no.</w:t>
            </w:r>
          </w:p>
          <w:p w14:paraId="345A9C9A" w14:textId="77777777" w:rsidR="006F6057" w:rsidRPr="00787283" w:rsidRDefault="006F6057" w:rsidP="00787283">
            <w:pPr>
              <w:pStyle w:val="TableParagraph"/>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40% 3BH – 3no.</w:t>
            </w:r>
          </w:p>
        </w:tc>
        <w:tc>
          <w:tcPr>
            <w:tcW w:w="6141" w:type="dxa"/>
            <w:vAlign w:val="top"/>
          </w:tcPr>
          <w:p w14:paraId="1336846F" w14:textId="77777777"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lastRenderedPageBreak/>
              <w:t>On-site provision</w:t>
            </w:r>
          </w:p>
          <w:p w14:paraId="2D834A8D" w14:textId="43A097E6"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The total amount and mix of housing that will be </w:t>
            </w:r>
            <w:r w:rsidR="00EB344D">
              <w:rPr>
                <w:color w:val="FF0000"/>
                <w:sz w:val="20"/>
                <w:szCs w:val="20"/>
              </w:rPr>
              <w:t>delivered</w:t>
            </w:r>
            <w:r>
              <w:rPr>
                <w:color w:val="FF0000"/>
                <w:sz w:val="20"/>
                <w:szCs w:val="20"/>
              </w:rPr>
              <w:t xml:space="preserve"> on site will be confirmed through the provision of reserved matters applications. As such, it is not practical to set out a fixed mix in the S106 for affordable housing. </w:t>
            </w:r>
          </w:p>
          <w:p w14:paraId="20CFCDDA" w14:textId="77777777" w:rsidR="006F6057"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lastRenderedPageBreak/>
              <w:t xml:space="preserve">A condition is therefore suggested to require an overall provision of 30% affordable housing with a strategy on how this will be delivered and the mix. </w:t>
            </w:r>
          </w:p>
          <w:p w14:paraId="5F18FABC"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p>
        </w:tc>
      </w:tr>
      <w:tr w:rsidR="006F6057" w14:paraId="0E8FF130"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59D73C1"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lastRenderedPageBreak/>
              <w:t>22</w:t>
            </w:r>
          </w:p>
        </w:tc>
        <w:tc>
          <w:tcPr>
            <w:tcW w:w="4018" w:type="dxa"/>
            <w:vAlign w:val="top"/>
          </w:tcPr>
          <w:p w14:paraId="746E70DA"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Waste collection</w:t>
            </w:r>
          </w:p>
        </w:tc>
        <w:tc>
          <w:tcPr>
            <w:tcW w:w="4755" w:type="dxa"/>
            <w:vAlign w:val="top"/>
          </w:tcPr>
          <w:p w14:paraId="4BEC4ECF"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43983F87" w14:textId="77777777" w:rsidR="006F6057" w:rsidRPr="00787283" w:rsidRDefault="006F6057" w:rsidP="00787283">
            <w:pPr>
              <w:pStyle w:val="TableParagraph"/>
              <w:ind w:right="215"/>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A contribution of £111 per dwelling index linked from 2Q17 towards the provision of refuse and recycling containers for each dwelling, towards collection vehicle provision and towards recycling banks</w:t>
            </w:r>
          </w:p>
        </w:tc>
        <w:tc>
          <w:tcPr>
            <w:tcW w:w="6141" w:type="dxa"/>
            <w:vAlign w:val="top"/>
          </w:tcPr>
          <w:p w14:paraId="42CA0033" w14:textId="41348A37" w:rsidR="006F6057" w:rsidRPr="00787283" w:rsidRDefault="006F6057" w:rsidP="009C1A4E">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This is not compliant</w:t>
            </w:r>
            <w:r w:rsidR="00D065CC">
              <w:rPr>
                <w:color w:val="FF0000"/>
                <w:sz w:val="20"/>
                <w:szCs w:val="20"/>
              </w:rPr>
              <w:t xml:space="preserve"> with CIL regulations</w:t>
            </w:r>
            <w:r w:rsidRPr="00787283">
              <w:rPr>
                <w:color w:val="FF0000"/>
                <w:sz w:val="20"/>
                <w:szCs w:val="20"/>
              </w:rPr>
              <w:t xml:space="preserve">, as stated by </w:t>
            </w:r>
            <w:proofErr w:type="spellStart"/>
            <w:r w:rsidRPr="00787283">
              <w:rPr>
                <w:color w:val="FF0000"/>
                <w:sz w:val="20"/>
                <w:szCs w:val="20"/>
              </w:rPr>
              <w:t>SoS</w:t>
            </w:r>
            <w:proofErr w:type="spellEnd"/>
            <w:r w:rsidRPr="00787283">
              <w:rPr>
                <w:color w:val="FF0000"/>
                <w:sz w:val="20"/>
                <w:szCs w:val="20"/>
              </w:rPr>
              <w:t xml:space="preserve"> in relation to appeal decision (ref: 3163551) for land at Howes Lane. </w:t>
            </w:r>
          </w:p>
          <w:p w14:paraId="5A767C6B" w14:textId="77777777" w:rsidR="006F6057" w:rsidRPr="00787283" w:rsidRDefault="006F6057" w:rsidP="009C1A4E">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This is therefore not agreed.</w:t>
            </w:r>
          </w:p>
        </w:tc>
      </w:tr>
      <w:tr w:rsidR="006F6057" w14:paraId="4737D894"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43246985" w14:textId="77777777" w:rsidR="006F6057" w:rsidRPr="00787283" w:rsidRDefault="006F6057" w:rsidP="00787283">
            <w:pPr>
              <w:pStyle w:val="TableParagraph"/>
              <w:spacing w:line="268" w:lineRule="exact"/>
              <w:rPr>
                <w:rFonts w:asciiTheme="minorHAnsi" w:hAnsiTheme="minorHAnsi"/>
                <w:sz w:val="20"/>
                <w:szCs w:val="20"/>
              </w:rPr>
            </w:pPr>
            <w:r>
              <w:rPr>
                <w:rFonts w:asciiTheme="minorHAnsi" w:hAnsiTheme="minorHAnsi"/>
                <w:sz w:val="20"/>
                <w:szCs w:val="20"/>
              </w:rPr>
              <w:t>23</w:t>
            </w:r>
          </w:p>
        </w:tc>
        <w:tc>
          <w:tcPr>
            <w:tcW w:w="4018" w:type="dxa"/>
            <w:vAlign w:val="top"/>
          </w:tcPr>
          <w:p w14:paraId="66F0FE29" w14:textId="77777777" w:rsidR="006F6057" w:rsidRPr="00787283" w:rsidRDefault="006F6057" w:rsidP="006F6057">
            <w:pPr>
              <w:pStyle w:val="TableParagraph"/>
              <w:spacing w:line="268"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Bus provision</w:t>
            </w:r>
          </w:p>
        </w:tc>
        <w:tc>
          <w:tcPr>
            <w:tcW w:w="4755" w:type="dxa"/>
            <w:vAlign w:val="top"/>
          </w:tcPr>
          <w:p w14:paraId="46536BD9" w14:textId="77777777" w:rsidR="006F6057" w:rsidRPr="00787283" w:rsidRDefault="006F6057" w:rsidP="00787283">
            <w:pPr>
              <w:pStyle w:val="TableParagraph"/>
              <w:ind w:right="8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10 minute frequency to be provided serving rail stations, town </w:t>
            </w:r>
            <w:proofErr w:type="spellStart"/>
            <w:r w:rsidRPr="00787283">
              <w:rPr>
                <w:rFonts w:asciiTheme="minorHAnsi" w:hAnsiTheme="minorHAnsi"/>
                <w:sz w:val="20"/>
                <w:szCs w:val="20"/>
              </w:rPr>
              <w:t>centre</w:t>
            </w:r>
            <w:proofErr w:type="spellEnd"/>
            <w:r w:rsidRPr="00787283">
              <w:rPr>
                <w:rFonts w:asciiTheme="minorHAnsi" w:hAnsiTheme="minorHAnsi"/>
                <w:sz w:val="20"/>
                <w:szCs w:val="20"/>
              </w:rPr>
              <w:t xml:space="preserve"> and other key destinations. Buses to be electric hybrid vehicles and RTI to be provided in stops and in homes. Bus only links to be provided throughout the site - means of enforcement to be confirmed by OCC. £2,990,064 (1Q16) is the sum advised by OCC as being the overall sum required north of the railway line.</w:t>
            </w:r>
          </w:p>
        </w:tc>
        <w:tc>
          <w:tcPr>
            <w:tcW w:w="5619" w:type="dxa"/>
            <w:vAlign w:val="top"/>
          </w:tcPr>
          <w:p w14:paraId="095D2E77" w14:textId="77777777" w:rsidR="006F6057" w:rsidRPr="00787283" w:rsidRDefault="006F6057" w:rsidP="00787283">
            <w:pPr>
              <w:pStyle w:val="TableParagraph"/>
              <w:ind w:right="129"/>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A contribution of £86,252 (1Q16) towards funding a commercially sustainable bus service linking the site with Bicester town </w:t>
            </w:r>
            <w:proofErr w:type="spellStart"/>
            <w:r w:rsidRPr="00787283">
              <w:rPr>
                <w:rFonts w:asciiTheme="minorHAnsi" w:hAnsiTheme="minorHAnsi"/>
                <w:b/>
                <w:sz w:val="20"/>
                <w:szCs w:val="20"/>
              </w:rPr>
              <w:t>centre</w:t>
            </w:r>
            <w:proofErr w:type="spellEnd"/>
            <w:r w:rsidRPr="00787283">
              <w:rPr>
                <w:rFonts w:asciiTheme="minorHAnsi" w:hAnsiTheme="minorHAnsi"/>
                <w:b/>
                <w:sz w:val="20"/>
                <w:szCs w:val="20"/>
              </w:rPr>
              <w:t xml:space="preserve"> and rail station.</w:t>
            </w:r>
          </w:p>
          <w:p w14:paraId="56CC3B69" w14:textId="77777777" w:rsidR="006F6057" w:rsidRPr="00787283" w:rsidRDefault="006F6057" w:rsidP="00787283">
            <w:pPr>
              <w:pStyle w:val="TableParagraph"/>
              <w:spacing w:before="5"/>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740FFD1D" w14:textId="77777777" w:rsidR="006F6057" w:rsidRPr="00787283" w:rsidRDefault="006F6057" w:rsidP="00787283">
            <w:pPr>
              <w:pStyle w:val="TableParagraph"/>
              <w:ind w:right="22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Note – there is also proposed to be formed a NW Bicester bus forum and it would be expected that the developer be part of that.</w:t>
            </w:r>
          </w:p>
        </w:tc>
        <w:tc>
          <w:tcPr>
            <w:tcW w:w="6141" w:type="dxa"/>
            <w:vAlign w:val="top"/>
          </w:tcPr>
          <w:p w14:paraId="246E36CD" w14:textId="77777777" w:rsidR="006F6057" w:rsidRPr="00787283" w:rsidRDefault="006F6057" w:rsidP="00787283">
            <w:pPr>
              <w:pStyle w:val="TableParagraph"/>
              <w:ind w:right="4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This is a pro rata calculation – 75/2600 X the bus contribution requested from App 1, representing the cost of the service north of the railway.</w:t>
            </w:r>
          </w:p>
          <w:p w14:paraId="3339144A" w14:textId="77777777" w:rsidR="006F6057" w:rsidRPr="00787283" w:rsidRDefault="006F6057" w:rsidP="00787283">
            <w:pPr>
              <w:pStyle w:val="TableParagraph"/>
              <w:ind w:right="4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2FCC2F1B" w14:textId="77777777" w:rsidR="006F6057" w:rsidRPr="00787283" w:rsidRDefault="006F6057" w:rsidP="00787283">
            <w:pPr>
              <w:pStyle w:val="TableParagraph"/>
              <w:ind w:right="418"/>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This is acceptable in principle subject to the receipt of updated costs</w:t>
            </w:r>
          </w:p>
        </w:tc>
      </w:tr>
      <w:tr w:rsidR="006F6057" w14:paraId="09641713"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447C8154" w14:textId="77777777" w:rsidR="006F6057" w:rsidRPr="00787283" w:rsidRDefault="006F6057" w:rsidP="00787283">
            <w:pPr>
              <w:pStyle w:val="TableParagraph"/>
              <w:spacing w:line="268" w:lineRule="exact"/>
              <w:rPr>
                <w:rFonts w:asciiTheme="minorHAnsi" w:hAnsiTheme="minorHAnsi"/>
                <w:sz w:val="20"/>
                <w:szCs w:val="20"/>
              </w:rPr>
            </w:pPr>
            <w:r>
              <w:rPr>
                <w:rFonts w:asciiTheme="minorHAnsi" w:hAnsiTheme="minorHAnsi"/>
                <w:sz w:val="20"/>
                <w:szCs w:val="20"/>
              </w:rPr>
              <w:t>24</w:t>
            </w:r>
          </w:p>
        </w:tc>
        <w:tc>
          <w:tcPr>
            <w:tcW w:w="4018" w:type="dxa"/>
            <w:vAlign w:val="top"/>
          </w:tcPr>
          <w:p w14:paraId="777A4C01" w14:textId="77777777" w:rsidR="006F6057" w:rsidRPr="00787283" w:rsidRDefault="006F6057" w:rsidP="006F6057">
            <w:pPr>
              <w:pStyle w:val="TableParagraph"/>
              <w:spacing w:line="268"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Ped / cycle infrastructure</w:t>
            </w:r>
          </w:p>
        </w:tc>
        <w:tc>
          <w:tcPr>
            <w:tcW w:w="4755" w:type="dxa"/>
            <w:vAlign w:val="top"/>
          </w:tcPr>
          <w:p w14:paraId="29C2B00F" w14:textId="77777777" w:rsidR="006F6057" w:rsidRPr="00787283" w:rsidRDefault="006F6057" w:rsidP="00787283">
            <w:pPr>
              <w:pStyle w:val="TableParagraph"/>
              <w:ind w:right="16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High Quality pedestrian and cycle links plus field paths throughout the site and routes upgraded to key town and village destinations. Cycle parking to be provided at all local </w:t>
            </w:r>
            <w:proofErr w:type="spellStart"/>
            <w:r w:rsidRPr="00787283">
              <w:rPr>
                <w:rFonts w:asciiTheme="minorHAnsi" w:hAnsiTheme="minorHAnsi"/>
                <w:sz w:val="20"/>
                <w:szCs w:val="20"/>
              </w:rPr>
              <w:t>centres</w:t>
            </w:r>
            <w:proofErr w:type="spellEnd"/>
            <w:r w:rsidRPr="00787283">
              <w:rPr>
                <w:rFonts w:asciiTheme="minorHAnsi" w:hAnsiTheme="minorHAnsi"/>
                <w:sz w:val="20"/>
                <w:szCs w:val="20"/>
              </w:rPr>
              <w:t>, schools and employment sites. Cycle stores at each home.</w:t>
            </w:r>
          </w:p>
        </w:tc>
        <w:tc>
          <w:tcPr>
            <w:tcW w:w="5619" w:type="dxa"/>
            <w:vAlign w:val="top"/>
          </w:tcPr>
          <w:p w14:paraId="2CE9064B" w14:textId="77777777" w:rsidR="006F6057" w:rsidRPr="00787283" w:rsidRDefault="006F6057" w:rsidP="00787283">
            <w:pPr>
              <w:pStyle w:val="TableParagraph"/>
              <w:spacing w:line="267"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Infrastructure contributions towards:</w:t>
            </w:r>
          </w:p>
          <w:p w14:paraId="02A332BB" w14:textId="77777777" w:rsidR="006F6057" w:rsidRPr="00787283" w:rsidRDefault="006F6057" w:rsidP="00787283">
            <w:pPr>
              <w:pStyle w:val="TableParagraph"/>
              <w:numPr>
                <w:ilvl w:val="0"/>
                <w:numId w:val="27"/>
              </w:numPr>
              <w:tabs>
                <w:tab w:val="left" w:pos="823"/>
                <w:tab w:val="left" w:pos="824"/>
              </w:tabs>
              <w:spacing w:line="279"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Footpath along the railway</w:t>
            </w:r>
            <w:r w:rsidRPr="00787283">
              <w:rPr>
                <w:rFonts w:asciiTheme="minorHAnsi" w:hAnsiTheme="minorHAnsi"/>
                <w:b/>
                <w:spacing w:val="-12"/>
                <w:sz w:val="20"/>
                <w:szCs w:val="20"/>
              </w:rPr>
              <w:t xml:space="preserve"> </w:t>
            </w:r>
            <w:r w:rsidRPr="00787283">
              <w:rPr>
                <w:rFonts w:asciiTheme="minorHAnsi" w:hAnsiTheme="minorHAnsi"/>
                <w:b/>
                <w:sz w:val="20"/>
                <w:szCs w:val="20"/>
              </w:rPr>
              <w:t>£38,187</w:t>
            </w:r>
          </w:p>
          <w:p w14:paraId="49DDEE59" w14:textId="77777777" w:rsidR="006F6057" w:rsidRPr="00787283" w:rsidRDefault="006F6057" w:rsidP="00787283">
            <w:pPr>
              <w:pStyle w:val="TableParagraph"/>
              <w:numPr>
                <w:ilvl w:val="0"/>
                <w:numId w:val="27"/>
              </w:numPr>
              <w:tabs>
                <w:tab w:val="left" w:pos="823"/>
                <w:tab w:val="left" w:pos="824"/>
              </w:tabs>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Cycle improvements along </w:t>
            </w:r>
            <w:proofErr w:type="spellStart"/>
            <w:r w:rsidRPr="00787283">
              <w:rPr>
                <w:rFonts w:asciiTheme="minorHAnsi" w:hAnsiTheme="minorHAnsi"/>
                <w:b/>
                <w:sz w:val="20"/>
                <w:szCs w:val="20"/>
              </w:rPr>
              <w:t>Banbury</w:t>
            </w:r>
            <w:proofErr w:type="spellEnd"/>
            <w:r w:rsidRPr="00787283">
              <w:rPr>
                <w:rFonts w:asciiTheme="minorHAnsi" w:hAnsiTheme="minorHAnsi"/>
                <w:b/>
                <w:spacing w:val="-17"/>
                <w:sz w:val="20"/>
                <w:szCs w:val="20"/>
              </w:rPr>
              <w:t xml:space="preserve"> </w:t>
            </w:r>
            <w:r w:rsidRPr="00787283">
              <w:rPr>
                <w:rFonts w:asciiTheme="minorHAnsi" w:hAnsiTheme="minorHAnsi"/>
                <w:b/>
                <w:sz w:val="20"/>
                <w:szCs w:val="20"/>
              </w:rPr>
              <w:t>Road</w:t>
            </w:r>
          </w:p>
          <w:p w14:paraId="620DB1EF" w14:textId="77777777" w:rsidR="006F6057" w:rsidRPr="00787283" w:rsidRDefault="006F6057" w:rsidP="00787283">
            <w:pPr>
              <w:pStyle w:val="TableParagraph"/>
              <w:ind w:left="823"/>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£2,796</w:t>
            </w:r>
          </w:p>
          <w:p w14:paraId="42701A5B" w14:textId="77777777" w:rsidR="006F6057" w:rsidRPr="00787283" w:rsidRDefault="006F6057" w:rsidP="00787283">
            <w:pPr>
              <w:pStyle w:val="TableParagraph"/>
              <w:ind w:left="823"/>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All index linked from 1Q16.</w:t>
            </w:r>
          </w:p>
        </w:tc>
        <w:tc>
          <w:tcPr>
            <w:tcW w:w="6141" w:type="dxa"/>
            <w:vAlign w:val="top"/>
          </w:tcPr>
          <w:p w14:paraId="61AFEA8D" w14:textId="77777777" w:rsidR="006F6057" w:rsidRPr="00787283" w:rsidRDefault="006F6057" w:rsidP="00787283">
            <w:pPr>
              <w:pStyle w:val="TableParagraph"/>
              <w:spacing w:before="1" w:line="237" w:lineRule="auto"/>
              <w:ind w:right="96"/>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These are based on 75/2600 of the amount being requested from App</w:t>
            </w:r>
          </w:p>
          <w:p w14:paraId="34C606BA" w14:textId="77777777" w:rsidR="006F6057" w:rsidRPr="00787283" w:rsidRDefault="006F6057" w:rsidP="00787283">
            <w:pPr>
              <w:pStyle w:val="TableParagraph"/>
              <w:ind w:right="31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1. The schemes for these works are being reviewed and we have not yet received updated costs.</w:t>
            </w:r>
          </w:p>
          <w:p w14:paraId="2BFCEFCE" w14:textId="77777777" w:rsidR="006F6057" w:rsidRPr="00787283" w:rsidRDefault="006F6057" w:rsidP="00787283">
            <w:pPr>
              <w:pStyle w:val="TableParagraph"/>
              <w:ind w:right="31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21886A56" w14:textId="77777777" w:rsidR="006F6057" w:rsidRPr="00787283" w:rsidRDefault="006F6057" w:rsidP="00077335">
            <w:pPr>
              <w:pStyle w:val="TableParagraph"/>
              <w:ind w:right="317"/>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 xml:space="preserve">This is acceptable in principle subject to the receipt of updated costs. </w:t>
            </w:r>
            <w:r w:rsidRPr="00787283">
              <w:rPr>
                <w:rFonts w:asciiTheme="minorHAnsi" w:hAnsiTheme="minorHAnsi"/>
                <w:color w:val="FF0000"/>
                <w:sz w:val="20"/>
                <w:szCs w:val="20"/>
              </w:rPr>
              <w:t xml:space="preserve"> </w:t>
            </w:r>
          </w:p>
        </w:tc>
      </w:tr>
      <w:tr w:rsidR="006F6057" w14:paraId="51B48A15"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5FD5DF5C" w14:textId="77777777" w:rsidR="006F6057" w:rsidRPr="00787283" w:rsidRDefault="006F6057" w:rsidP="006F6057">
            <w:pPr>
              <w:pStyle w:val="TableParagraph"/>
              <w:tabs>
                <w:tab w:val="left" w:pos="103"/>
              </w:tabs>
              <w:ind w:right="1222"/>
              <w:rPr>
                <w:rFonts w:asciiTheme="minorHAnsi" w:hAnsiTheme="minorHAnsi"/>
                <w:sz w:val="20"/>
                <w:szCs w:val="20"/>
              </w:rPr>
            </w:pPr>
            <w:r>
              <w:rPr>
                <w:rFonts w:asciiTheme="minorHAnsi" w:hAnsiTheme="minorHAnsi"/>
                <w:sz w:val="20"/>
                <w:szCs w:val="20"/>
              </w:rPr>
              <w:t>25</w:t>
            </w:r>
          </w:p>
        </w:tc>
        <w:tc>
          <w:tcPr>
            <w:tcW w:w="4018" w:type="dxa"/>
            <w:vAlign w:val="top"/>
          </w:tcPr>
          <w:p w14:paraId="2AE6B3C0" w14:textId="77777777" w:rsidR="006F6057" w:rsidRPr="00787283" w:rsidRDefault="006F6057" w:rsidP="006F6057">
            <w:pPr>
              <w:pStyle w:val="TableParagraph"/>
              <w:ind w:right="122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Rights of way contribution</w:t>
            </w:r>
          </w:p>
        </w:tc>
        <w:tc>
          <w:tcPr>
            <w:tcW w:w="4755" w:type="dxa"/>
            <w:vAlign w:val="top"/>
          </w:tcPr>
          <w:p w14:paraId="6F8A92BB" w14:textId="77777777" w:rsidR="006F6057" w:rsidRPr="00787283" w:rsidRDefault="006F6057" w:rsidP="00787283">
            <w:pPr>
              <w:pStyle w:val="TableParagraph"/>
              <w:ind w:right="14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Contributions towards provision of field paths – creating links from (1) Exemplar – </w:t>
            </w:r>
            <w:proofErr w:type="spellStart"/>
            <w:r w:rsidRPr="00787283">
              <w:rPr>
                <w:rFonts w:asciiTheme="minorHAnsi" w:hAnsiTheme="minorHAnsi"/>
                <w:sz w:val="20"/>
                <w:szCs w:val="20"/>
              </w:rPr>
              <w:t>Banbury</w:t>
            </w:r>
            <w:proofErr w:type="spellEnd"/>
            <w:r w:rsidRPr="00787283">
              <w:rPr>
                <w:rFonts w:asciiTheme="minorHAnsi" w:hAnsiTheme="minorHAnsi"/>
                <w:sz w:val="20"/>
                <w:szCs w:val="20"/>
              </w:rPr>
              <w:t xml:space="preserve"> Road, (2) link to </w:t>
            </w:r>
            <w:proofErr w:type="spellStart"/>
            <w:r w:rsidRPr="00787283">
              <w:rPr>
                <w:rFonts w:asciiTheme="minorHAnsi" w:hAnsiTheme="minorHAnsi"/>
                <w:sz w:val="20"/>
                <w:szCs w:val="20"/>
              </w:rPr>
              <w:t>Bucknell</w:t>
            </w:r>
            <w:proofErr w:type="spellEnd"/>
            <w:r w:rsidRPr="00787283">
              <w:rPr>
                <w:rFonts w:asciiTheme="minorHAnsi" w:hAnsiTheme="minorHAnsi"/>
                <w:sz w:val="20"/>
                <w:szCs w:val="20"/>
              </w:rPr>
              <w:t xml:space="preserve"> Road and (3) link to </w:t>
            </w:r>
            <w:proofErr w:type="spellStart"/>
            <w:r w:rsidRPr="00787283">
              <w:rPr>
                <w:rFonts w:asciiTheme="minorHAnsi" w:hAnsiTheme="minorHAnsi"/>
                <w:sz w:val="20"/>
                <w:szCs w:val="20"/>
              </w:rPr>
              <w:t>Bucknell</w:t>
            </w:r>
            <w:proofErr w:type="spellEnd"/>
            <w:r w:rsidRPr="00787283">
              <w:rPr>
                <w:rFonts w:asciiTheme="minorHAnsi" w:hAnsiTheme="minorHAnsi"/>
                <w:sz w:val="20"/>
                <w:szCs w:val="20"/>
              </w:rPr>
              <w:t xml:space="preserve"> Village.</w:t>
            </w:r>
          </w:p>
        </w:tc>
        <w:tc>
          <w:tcPr>
            <w:tcW w:w="5619" w:type="dxa"/>
            <w:vAlign w:val="top"/>
          </w:tcPr>
          <w:p w14:paraId="322C02CD" w14:textId="77777777" w:rsidR="006F6057" w:rsidRPr="00787283" w:rsidRDefault="006F6057" w:rsidP="00787283">
            <w:pPr>
              <w:pStyle w:val="TableParagraph"/>
              <w:ind w:right="98"/>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£2,418 index linked from 1Q16.</w:t>
            </w:r>
          </w:p>
        </w:tc>
        <w:tc>
          <w:tcPr>
            <w:tcW w:w="6141" w:type="dxa"/>
            <w:vAlign w:val="top"/>
          </w:tcPr>
          <w:p w14:paraId="5D74377B" w14:textId="77777777" w:rsidR="006F6057" w:rsidRPr="00787283" w:rsidRDefault="006F6057" w:rsidP="00787283">
            <w:pPr>
              <w:pStyle w:val="TableParagraph"/>
              <w:ind w:right="39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This would be a proportionate contribution of the current cost for the works. This may need updating.</w:t>
            </w:r>
          </w:p>
          <w:p w14:paraId="4E814EB0" w14:textId="77777777" w:rsidR="006F6057" w:rsidRPr="00787283" w:rsidRDefault="006F6057" w:rsidP="00077335">
            <w:pPr>
              <w:pStyle w:val="TableParagraph"/>
              <w:ind w:left="142" w:right="39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FF0000"/>
                <w:sz w:val="20"/>
                <w:szCs w:val="20"/>
              </w:rPr>
              <w:t>This is acceptable in principle subject to the receipt of updated costs</w:t>
            </w:r>
            <w:r w:rsidRPr="00787283">
              <w:rPr>
                <w:rFonts w:asciiTheme="minorHAnsi" w:hAnsiTheme="minorHAnsi"/>
                <w:sz w:val="20"/>
                <w:szCs w:val="20"/>
              </w:rPr>
              <w:t xml:space="preserve"> </w:t>
            </w:r>
          </w:p>
        </w:tc>
      </w:tr>
      <w:tr w:rsidR="006F6057" w14:paraId="7532FCB6"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162220CC" w14:textId="77777777" w:rsidR="006F6057" w:rsidRPr="00787283" w:rsidRDefault="006F6057" w:rsidP="00787283">
            <w:pPr>
              <w:pStyle w:val="TableParagraph"/>
              <w:ind w:right="707"/>
              <w:rPr>
                <w:rFonts w:asciiTheme="minorHAnsi" w:hAnsiTheme="minorHAnsi"/>
                <w:sz w:val="20"/>
                <w:szCs w:val="20"/>
              </w:rPr>
            </w:pPr>
            <w:r>
              <w:rPr>
                <w:rFonts w:asciiTheme="minorHAnsi" w:hAnsiTheme="minorHAnsi"/>
                <w:sz w:val="20"/>
                <w:szCs w:val="20"/>
              </w:rPr>
              <w:t>26</w:t>
            </w:r>
          </w:p>
        </w:tc>
        <w:tc>
          <w:tcPr>
            <w:tcW w:w="4018" w:type="dxa"/>
            <w:vAlign w:val="top"/>
          </w:tcPr>
          <w:p w14:paraId="3650EB6E" w14:textId="77777777" w:rsidR="006F6057" w:rsidRPr="00787283" w:rsidRDefault="006F6057" w:rsidP="006F6057">
            <w:pPr>
              <w:pStyle w:val="TableParagraph"/>
              <w:ind w:right="70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Exemplar Southern Access</w:t>
            </w:r>
          </w:p>
        </w:tc>
        <w:tc>
          <w:tcPr>
            <w:tcW w:w="4755" w:type="dxa"/>
            <w:vAlign w:val="top"/>
          </w:tcPr>
          <w:p w14:paraId="5964B313" w14:textId="77777777" w:rsidR="006F6057" w:rsidRPr="00787283" w:rsidRDefault="006F6057" w:rsidP="00787283">
            <w:pPr>
              <w:pStyle w:val="TableParagraph"/>
              <w:ind w:right="181"/>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Works to improve the Exemplar Southern access and to increase the capacity at the junction.</w:t>
            </w:r>
          </w:p>
        </w:tc>
        <w:tc>
          <w:tcPr>
            <w:tcW w:w="5619" w:type="dxa"/>
            <w:vAlign w:val="top"/>
          </w:tcPr>
          <w:p w14:paraId="0736D11F" w14:textId="77777777" w:rsidR="006F6057" w:rsidRPr="00787283" w:rsidRDefault="006F6057" w:rsidP="00787283">
            <w:pPr>
              <w:pStyle w:val="TableParagraph"/>
              <w:ind w:right="98"/>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to contribute £6,146 index linked from 1Q16</w:t>
            </w:r>
          </w:p>
        </w:tc>
        <w:tc>
          <w:tcPr>
            <w:tcW w:w="6141" w:type="dxa"/>
            <w:vAlign w:val="top"/>
          </w:tcPr>
          <w:p w14:paraId="5D015758" w14:textId="45690E35" w:rsidR="006F6057" w:rsidRPr="00CC1AA8" w:rsidRDefault="006F6057" w:rsidP="00787283">
            <w:pPr>
              <w:pStyle w:val="TableParagraph"/>
              <w:ind w:right="538"/>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szCs w:val="20"/>
              </w:rPr>
            </w:pPr>
            <w:r w:rsidRPr="00787283">
              <w:rPr>
                <w:rFonts w:asciiTheme="minorHAnsi" w:hAnsiTheme="minorHAnsi"/>
                <w:sz w:val="20"/>
                <w:szCs w:val="20"/>
              </w:rPr>
              <w:t>An assessment demonstrating impact on this junction will be required.</w:t>
            </w:r>
            <w:r w:rsidR="00CC1AA8">
              <w:rPr>
                <w:rFonts w:asciiTheme="minorHAnsi" w:hAnsiTheme="minorHAnsi"/>
                <w:color w:val="FF0000"/>
                <w:sz w:val="20"/>
                <w:szCs w:val="20"/>
              </w:rPr>
              <w:t xml:space="preserve"> A network % impact assessment has been undertaken in the TA, however as confirmed by OCC, it is acceptable not to pursue junction modelling of this access T Junction provided there is a commitment to pay proportionate share of infrastructure costs. </w:t>
            </w:r>
          </w:p>
          <w:p w14:paraId="1780B6F1" w14:textId="77777777" w:rsidR="006F6057" w:rsidRPr="00787283" w:rsidRDefault="006F6057" w:rsidP="00787283">
            <w:pPr>
              <w:pStyle w:val="TableParagraph"/>
              <w:spacing w:before="3"/>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This contribution is a proportionate contribution based on 75/2600 and the latest cost estimate, however this is being reviewed and we have not yet received updated costs.</w:t>
            </w:r>
          </w:p>
          <w:p w14:paraId="3FF70B93" w14:textId="77777777" w:rsidR="006F6057" w:rsidRPr="00787283" w:rsidRDefault="006F6057" w:rsidP="00787283">
            <w:pPr>
              <w:pStyle w:val="TableParagraph"/>
              <w:spacing w:before="3"/>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0383DFF2" w14:textId="77777777" w:rsidR="006F6057" w:rsidRPr="00787283" w:rsidRDefault="006F6057" w:rsidP="00787283">
            <w:pPr>
              <w:pStyle w:val="TableParagraph"/>
              <w:spacing w:before="3"/>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FF0000"/>
                <w:sz w:val="20"/>
                <w:szCs w:val="20"/>
              </w:rPr>
              <w:t>This is acceptable in principle subject to the receipt of updated costs</w:t>
            </w:r>
          </w:p>
        </w:tc>
      </w:tr>
      <w:tr w:rsidR="006F6057" w14:paraId="286964DC"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4015BBFE" w14:textId="77777777" w:rsidR="006F6057" w:rsidRPr="00787283" w:rsidRDefault="006F6057" w:rsidP="00787283">
            <w:pPr>
              <w:pStyle w:val="TableParagraph"/>
              <w:ind w:right="832"/>
              <w:rPr>
                <w:rFonts w:asciiTheme="minorHAnsi" w:hAnsiTheme="minorHAnsi"/>
                <w:sz w:val="20"/>
                <w:szCs w:val="20"/>
              </w:rPr>
            </w:pPr>
            <w:r>
              <w:rPr>
                <w:rFonts w:asciiTheme="minorHAnsi" w:hAnsiTheme="minorHAnsi"/>
                <w:sz w:val="20"/>
                <w:szCs w:val="20"/>
              </w:rPr>
              <w:t>27</w:t>
            </w:r>
          </w:p>
        </w:tc>
        <w:tc>
          <w:tcPr>
            <w:tcW w:w="4018" w:type="dxa"/>
            <w:vAlign w:val="top"/>
          </w:tcPr>
          <w:p w14:paraId="1CD9CC14" w14:textId="77777777" w:rsidR="006F6057" w:rsidRPr="00787283" w:rsidRDefault="006F6057" w:rsidP="006F6057">
            <w:pPr>
              <w:pStyle w:val="TableParagraph"/>
              <w:ind w:right="832"/>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Strategic highway contribution</w:t>
            </w:r>
          </w:p>
        </w:tc>
        <w:tc>
          <w:tcPr>
            <w:tcW w:w="4755" w:type="dxa"/>
            <w:vAlign w:val="top"/>
          </w:tcPr>
          <w:p w14:paraId="6A76D5B5" w14:textId="77777777" w:rsidR="006F6057" w:rsidRPr="00787283" w:rsidRDefault="006F6057" w:rsidP="00787283">
            <w:pPr>
              <w:pStyle w:val="TableParagraph"/>
              <w:ind w:right="11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787283">
              <w:rPr>
                <w:rFonts w:asciiTheme="minorHAnsi" w:hAnsiTheme="minorHAnsi"/>
                <w:sz w:val="20"/>
                <w:szCs w:val="20"/>
              </w:rPr>
              <w:t>Banbury</w:t>
            </w:r>
            <w:proofErr w:type="spellEnd"/>
            <w:r w:rsidRPr="00787283">
              <w:rPr>
                <w:rFonts w:asciiTheme="minorHAnsi" w:hAnsiTheme="minorHAnsi"/>
                <w:sz w:val="20"/>
                <w:szCs w:val="20"/>
              </w:rPr>
              <w:t xml:space="preserve"> Road Roundabout contribution – towards capacity improvements at the roundabout junction of the B4100, </w:t>
            </w:r>
            <w:proofErr w:type="spellStart"/>
            <w:r w:rsidRPr="00787283">
              <w:rPr>
                <w:rFonts w:asciiTheme="minorHAnsi" w:hAnsiTheme="minorHAnsi"/>
                <w:sz w:val="20"/>
                <w:szCs w:val="20"/>
              </w:rPr>
              <w:t>Banbury</w:t>
            </w:r>
            <w:proofErr w:type="spellEnd"/>
            <w:r w:rsidRPr="00787283">
              <w:rPr>
                <w:rFonts w:asciiTheme="minorHAnsi" w:hAnsiTheme="minorHAnsi"/>
                <w:sz w:val="20"/>
                <w:szCs w:val="20"/>
              </w:rPr>
              <w:t xml:space="preserve"> Road and realigned Lords Lane</w:t>
            </w:r>
          </w:p>
          <w:p w14:paraId="6BF174AA" w14:textId="77777777" w:rsidR="006F6057" w:rsidRPr="00787283" w:rsidRDefault="006F6057" w:rsidP="00787283">
            <w:pPr>
              <w:pStyle w:val="TableParagraph"/>
              <w:spacing w:before="7"/>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29159DE3" w14:textId="77777777" w:rsidR="006F6057" w:rsidRPr="00787283" w:rsidRDefault="006F6057" w:rsidP="00787283">
            <w:pPr>
              <w:pStyle w:val="TableParagraph"/>
              <w:ind w:right="12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There will be a requirement for contributions to the major infrastructure (the realigned Howes Lane and tunnel) to be based upon a formulaic approach. There will be a need for a Grampian to restrict development on this site until the road and tunnel are provided and open to vehicular traffic given the traffic impacts identified and the agreed triggers across the site.</w:t>
            </w:r>
          </w:p>
        </w:tc>
        <w:tc>
          <w:tcPr>
            <w:tcW w:w="5619" w:type="dxa"/>
            <w:vAlign w:val="top"/>
          </w:tcPr>
          <w:p w14:paraId="3D56D852" w14:textId="77777777" w:rsidR="006F6057" w:rsidRPr="00787283" w:rsidRDefault="006F6057" w:rsidP="00787283">
            <w:pPr>
              <w:pStyle w:val="TableParagraph"/>
              <w:ind w:right="254"/>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lastRenderedPageBreak/>
              <w:t xml:space="preserve">Contribution towards the </w:t>
            </w:r>
            <w:proofErr w:type="spellStart"/>
            <w:r w:rsidRPr="00787283">
              <w:rPr>
                <w:rFonts w:asciiTheme="minorHAnsi" w:hAnsiTheme="minorHAnsi"/>
                <w:b/>
                <w:sz w:val="20"/>
                <w:szCs w:val="20"/>
              </w:rPr>
              <w:t>Banbury</w:t>
            </w:r>
            <w:proofErr w:type="spellEnd"/>
            <w:r w:rsidRPr="00787283">
              <w:rPr>
                <w:rFonts w:asciiTheme="minorHAnsi" w:hAnsiTheme="minorHAnsi"/>
                <w:b/>
                <w:sz w:val="20"/>
                <w:szCs w:val="20"/>
              </w:rPr>
              <w:t xml:space="preserve"> Road roundabout works of £36,174 index linked from 1Q16.</w:t>
            </w:r>
          </w:p>
          <w:p w14:paraId="47B586DF" w14:textId="77777777" w:rsidR="006F6057" w:rsidRPr="00787283" w:rsidRDefault="006F6057" w:rsidP="00787283">
            <w:pPr>
              <w:pStyle w:val="TableParagraph"/>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1A0404FC" w14:textId="77777777" w:rsidR="006F6057" w:rsidRPr="00787283" w:rsidRDefault="006F6057" w:rsidP="00787283">
            <w:pPr>
              <w:pStyle w:val="TableParagraph"/>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27400792" w14:textId="77777777" w:rsidR="006F6057" w:rsidRPr="00787283" w:rsidRDefault="006F6057" w:rsidP="00787283">
            <w:pPr>
              <w:pStyle w:val="TableParagraph"/>
              <w:spacing w:before="5"/>
              <w:ind w:left="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5E6F4594" w14:textId="77777777" w:rsidR="006F6057" w:rsidRPr="00787283" w:rsidRDefault="006F6057" w:rsidP="00787283">
            <w:pPr>
              <w:pStyle w:val="TableParagraph"/>
              <w:ind w:right="349"/>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As suggested, contributions towards the major infrastructure would need to be based upon a formulaic approach.</w:t>
            </w:r>
          </w:p>
        </w:tc>
        <w:tc>
          <w:tcPr>
            <w:tcW w:w="6141" w:type="dxa"/>
            <w:vAlign w:val="top"/>
          </w:tcPr>
          <w:p w14:paraId="6DCD1AED" w14:textId="77777777" w:rsidR="006F6057" w:rsidRPr="00787283" w:rsidRDefault="006F6057" w:rsidP="00787283">
            <w:pPr>
              <w:pStyle w:val="TableParagraph"/>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lastRenderedPageBreak/>
              <w:t xml:space="preserve">Cost towards the </w:t>
            </w:r>
            <w:proofErr w:type="spellStart"/>
            <w:r w:rsidRPr="00787283">
              <w:rPr>
                <w:rFonts w:asciiTheme="minorHAnsi" w:hAnsiTheme="minorHAnsi"/>
                <w:sz w:val="20"/>
                <w:szCs w:val="20"/>
              </w:rPr>
              <w:t>Banbury</w:t>
            </w:r>
            <w:proofErr w:type="spellEnd"/>
            <w:r w:rsidRPr="00787283">
              <w:rPr>
                <w:rFonts w:asciiTheme="minorHAnsi" w:hAnsiTheme="minorHAnsi"/>
                <w:sz w:val="20"/>
                <w:szCs w:val="20"/>
              </w:rPr>
              <w:t xml:space="preserve"> Road roundabout scheme is a proportionate contribution based on 75/2600 and the latest cost estimate. This is being reviewed and we have not yet received updated costs.</w:t>
            </w:r>
          </w:p>
          <w:p w14:paraId="708EDFF8" w14:textId="77777777" w:rsidR="006F6057" w:rsidRPr="00787283" w:rsidRDefault="006F6057" w:rsidP="00787283">
            <w:pPr>
              <w:pStyle w:val="TableParagraph"/>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p w14:paraId="6A52E9B5" w14:textId="77777777" w:rsidR="006F6057" w:rsidRDefault="006F6057" w:rsidP="00787283">
            <w:pPr>
              <w:pStyle w:val="TableParagraph"/>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szCs w:val="20"/>
              </w:rPr>
            </w:pPr>
            <w:r>
              <w:rPr>
                <w:rFonts w:asciiTheme="minorHAnsi" w:hAnsiTheme="minorHAnsi"/>
                <w:color w:val="FF0000"/>
                <w:sz w:val="20"/>
                <w:szCs w:val="20"/>
              </w:rPr>
              <w:t>This is acceptable in principle subject to the receipt of updated costs</w:t>
            </w:r>
          </w:p>
          <w:p w14:paraId="09DCB886" w14:textId="77777777" w:rsidR="00CC1AA8" w:rsidRDefault="00CC1AA8" w:rsidP="00787283">
            <w:pPr>
              <w:pStyle w:val="TableParagraph"/>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20"/>
                <w:szCs w:val="20"/>
              </w:rPr>
            </w:pPr>
          </w:p>
          <w:p w14:paraId="34332042" w14:textId="5BCAA6A3" w:rsidR="00CC1AA8" w:rsidRPr="00787283" w:rsidRDefault="00CC1AA8" w:rsidP="00787283">
            <w:pPr>
              <w:pStyle w:val="TableParagraph"/>
              <w:ind w:right="20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FF0000"/>
                <w:sz w:val="20"/>
                <w:szCs w:val="20"/>
              </w:rPr>
              <w:t xml:space="preserve">A separate response will be provided on the need for a Grampian condition. </w:t>
            </w:r>
            <w:bookmarkStart w:id="0" w:name="_GoBack"/>
            <w:bookmarkEnd w:id="0"/>
          </w:p>
        </w:tc>
      </w:tr>
      <w:tr w:rsidR="006F6057" w14:paraId="29B704E6"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6E4F2070" w14:textId="77777777" w:rsidR="006F6057" w:rsidRPr="00787283" w:rsidRDefault="006F6057" w:rsidP="00787283">
            <w:pPr>
              <w:pStyle w:val="TableParagraph"/>
              <w:spacing w:line="268" w:lineRule="exact"/>
              <w:rPr>
                <w:rFonts w:asciiTheme="minorHAnsi" w:hAnsiTheme="minorHAnsi"/>
                <w:sz w:val="20"/>
                <w:szCs w:val="20"/>
              </w:rPr>
            </w:pPr>
            <w:r>
              <w:rPr>
                <w:rFonts w:asciiTheme="minorHAnsi" w:hAnsiTheme="minorHAnsi"/>
                <w:sz w:val="20"/>
                <w:szCs w:val="20"/>
              </w:rPr>
              <w:lastRenderedPageBreak/>
              <w:t>28</w:t>
            </w:r>
          </w:p>
        </w:tc>
        <w:tc>
          <w:tcPr>
            <w:tcW w:w="4018" w:type="dxa"/>
            <w:vAlign w:val="top"/>
          </w:tcPr>
          <w:p w14:paraId="6C9C64B1" w14:textId="77777777" w:rsidR="006F6057" w:rsidRPr="00787283" w:rsidRDefault="006F6057" w:rsidP="006F6057">
            <w:pPr>
              <w:pStyle w:val="TableParagraph"/>
              <w:spacing w:line="268"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Village traffic calming</w:t>
            </w:r>
          </w:p>
        </w:tc>
        <w:tc>
          <w:tcPr>
            <w:tcW w:w="4755" w:type="dxa"/>
            <w:vAlign w:val="top"/>
          </w:tcPr>
          <w:p w14:paraId="46CFCBD1" w14:textId="77777777" w:rsidR="006F6057" w:rsidRPr="00787283" w:rsidRDefault="006F6057" w:rsidP="00787283">
            <w:pPr>
              <w:pStyle w:val="TableParagraph"/>
              <w:ind w:right="9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Contributions towards mitigating the impact of this development on </w:t>
            </w:r>
            <w:proofErr w:type="spellStart"/>
            <w:r w:rsidRPr="00787283">
              <w:rPr>
                <w:rFonts w:asciiTheme="minorHAnsi" w:hAnsiTheme="minorHAnsi"/>
                <w:sz w:val="20"/>
                <w:szCs w:val="20"/>
              </w:rPr>
              <w:t>Bucknell</w:t>
            </w:r>
            <w:proofErr w:type="spellEnd"/>
            <w:r w:rsidRPr="00787283">
              <w:rPr>
                <w:rFonts w:asciiTheme="minorHAnsi" w:hAnsiTheme="minorHAnsi"/>
                <w:sz w:val="20"/>
                <w:szCs w:val="20"/>
              </w:rPr>
              <w:t xml:space="preserve"> Village.</w:t>
            </w:r>
          </w:p>
        </w:tc>
        <w:tc>
          <w:tcPr>
            <w:tcW w:w="5619" w:type="dxa"/>
            <w:vAlign w:val="top"/>
          </w:tcPr>
          <w:p w14:paraId="2CCAF1F6" w14:textId="77777777" w:rsidR="006F6057" w:rsidRPr="00787283" w:rsidRDefault="006F6057" w:rsidP="00787283">
            <w:pPr>
              <w:pStyle w:val="TableParagraph"/>
              <w:spacing w:before="1" w:line="237" w:lineRule="auto"/>
              <w:ind w:right="517"/>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is to contribute £4,298 index linked from 1Q16.</w:t>
            </w:r>
          </w:p>
        </w:tc>
        <w:tc>
          <w:tcPr>
            <w:tcW w:w="6141" w:type="dxa"/>
            <w:vAlign w:val="top"/>
          </w:tcPr>
          <w:p w14:paraId="00B12677" w14:textId="77777777" w:rsidR="006F6057" w:rsidRPr="00787283" w:rsidRDefault="006F6057" w:rsidP="00787283">
            <w:pPr>
              <w:pStyle w:val="TableParagraph"/>
              <w:ind w:right="11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This cost is a proportionate contribution based on 75/2600 and the latest cost estimate. This is being reviewed and we have not yet received updated costs.</w:t>
            </w:r>
          </w:p>
          <w:p w14:paraId="271D4A45" w14:textId="77777777" w:rsidR="006F6057" w:rsidRPr="00787283" w:rsidRDefault="006F6057" w:rsidP="00787283">
            <w:pPr>
              <w:pStyle w:val="TableParagraph"/>
              <w:ind w:right="263"/>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FF0000"/>
                <w:sz w:val="20"/>
                <w:szCs w:val="20"/>
              </w:rPr>
              <w:t>This is acceptable in principle subject to the receipt of updated costs</w:t>
            </w:r>
            <w:r w:rsidRPr="00787283">
              <w:rPr>
                <w:rFonts w:asciiTheme="minorHAnsi" w:hAnsiTheme="minorHAnsi"/>
                <w:sz w:val="20"/>
                <w:szCs w:val="20"/>
              </w:rPr>
              <w:t xml:space="preserve"> </w:t>
            </w:r>
          </w:p>
        </w:tc>
      </w:tr>
      <w:tr w:rsidR="006F6057" w14:paraId="5C98A536"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6D43A3A3"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29</w:t>
            </w:r>
          </w:p>
        </w:tc>
        <w:tc>
          <w:tcPr>
            <w:tcW w:w="4018" w:type="dxa"/>
            <w:vAlign w:val="top"/>
          </w:tcPr>
          <w:p w14:paraId="56E98FA0"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sidRPr="00787283">
              <w:rPr>
                <w:rFonts w:asciiTheme="minorHAnsi" w:hAnsiTheme="minorHAnsi"/>
                <w:sz w:val="20"/>
                <w:szCs w:val="20"/>
              </w:rPr>
              <w:t>Caversfield</w:t>
            </w:r>
            <w:proofErr w:type="spellEnd"/>
            <w:r w:rsidRPr="00787283">
              <w:rPr>
                <w:rFonts w:asciiTheme="minorHAnsi" w:hAnsiTheme="minorHAnsi"/>
                <w:sz w:val="20"/>
                <w:szCs w:val="20"/>
              </w:rPr>
              <w:t xml:space="preserve"> Junction</w:t>
            </w:r>
          </w:p>
        </w:tc>
        <w:tc>
          <w:tcPr>
            <w:tcW w:w="4755" w:type="dxa"/>
            <w:vAlign w:val="top"/>
          </w:tcPr>
          <w:p w14:paraId="5937C278" w14:textId="77777777" w:rsidR="006F6057" w:rsidRPr="00787283" w:rsidRDefault="006F6057" w:rsidP="00787283">
            <w:pPr>
              <w:pStyle w:val="TableParagraph"/>
              <w:ind w:right="349"/>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Improvements required to the existing </w:t>
            </w:r>
            <w:proofErr w:type="spellStart"/>
            <w:r w:rsidRPr="00787283">
              <w:rPr>
                <w:rFonts w:asciiTheme="minorHAnsi" w:hAnsiTheme="minorHAnsi"/>
                <w:sz w:val="20"/>
                <w:szCs w:val="20"/>
              </w:rPr>
              <w:t>Caversfield</w:t>
            </w:r>
            <w:proofErr w:type="spellEnd"/>
            <w:r w:rsidRPr="00787283">
              <w:rPr>
                <w:rFonts w:asciiTheme="minorHAnsi" w:hAnsiTheme="minorHAnsi"/>
                <w:sz w:val="20"/>
                <w:szCs w:val="20"/>
              </w:rPr>
              <w:t xml:space="preserve"> junction as identified through the Masterplan Access and Travel Strategy.</w:t>
            </w:r>
          </w:p>
        </w:tc>
        <w:tc>
          <w:tcPr>
            <w:tcW w:w="5619" w:type="dxa"/>
            <w:vAlign w:val="top"/>
          </w:tcPr>
          <w:p w14:paraId="4B2C4B29" w14:textId="77777777" w:rsidR="006F6057" w:rsidRPr="00787283" w:rsidRDefault="006F6057" w:rsidP="00787283">
            <w:pPr>
              <w:pStyle w:val="TableParagraph"/>
              <w:ind w:right="517"/>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This application is to contribute £1,828 index linked from 1Q16.</w:t>
            </w:r>
          </w:p>
        </w:tc>
        <w:tc>
          <w:tcPr>
            <w:tcW w:w="6141" w:type="dxa"/>
            <w:vAlign w:val="top"/>
          </w:tcPr>
          <w:p w14:paraId="7D4C4E5D" w14:textId="77777777" w:rsidR="006F6057" w:rsidRPr="00787283" w:rsidRDefault="006F6057" w:rsidP="00787283">
            <w:pPr>
              <w:pStyle w:val="TableParagraph"/>
              <w:ind w:right="1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This cost is a proportionate contribution based on 75/2600 and the latest cost estimate. This is being reviewed and we have not yet received updated</w:t>
            </w:r>
            <w:r w:rsidRPr="00787283">
              <w:rPr>
                <w:rFonts w:asciiTheme="minorHAnsi" w:hAnsiTheme="minorHAnsi"/>
                <w:spacing w:val="-9"/>
                <w:sz w:val="20"/>
                <w:szCs w:val="20"/>
              </w:rPr>
              <w:t xml:space="preserve"> </w:t>
            </w:r>
            <w:r w:rsidRPr="00787283">
              <w:rPr>
                <w:rFonts w:asciiTheme="minorHAnsi" w:hAnsiTheme="minorHAnsi"/>
                <w:sz w:val="20"/>
                <w:szCs w:val="20"/>
              </w:rPr>
              <w:t>costs.</w:t>
            </w:r>
          </w:p>
          <w:p w14:paraId="73674A41" w14:textId="77777777" w:rsidR="006F6057" w:rsidRPr="00787283" w:rsidRDefault="006F6057" w:rsidP="00787283">
            <w:pPr>
              <w:pStyle w:val="TableParagraph"/>
              <w:ind w:right="1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olor w:val="FF0000"/>
                <w:sz w:val="20"/>
                <w:szCs w:val="20"/>
              </w:rPr>
              <w:t>This is acceptable in principle subject to the receipt of updated costs</w:t>
            </w:r>
            <w:r w:rsidRPr="00787283">
              <w:rPr>
                <w:rFonts w:asciiTheme="minorHAnsi" w:hAnsiTheme="minorHAnsi"/>
                <w:sz w:val="20"/>
                <w:szCs w:val="20"/>
              </w:rPr>
              <w:t xml:space="preserve"> </w:t>
            </w:r>
          </w:p>
        </w:tc>
      </w:tr>
      <w:tr w:rsidR="006F6057" w14:paraId="3265C1C2"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6706DD5C" w14:textId="77777777" w:rsidR="006F6057" w:rsidRPr="00787283" w:rsidRDefault="006F6057" w:rsidP="00787283">
            <w:pPr>
              <w:pStyle w:val="TableParagraph"/>
              <w:spacing w:line="268" w:lineRule="exact"/>
              <w:rPr>
                <w:rFonts w:asciiTheme="minorHAnsi" w:hAnsiTheme="minorHAnsi"/>
                <w:sz w:val="20"/>
                <w:szCs w:val="20"/>
              </w:rPr>
            </w:pPr>
            <w:r>
              <w:rPr>
                <w:rFonts w:asciiTheme="minorHAnsi" w:hAnsiTheme="minorHAnsi"/>
                <w:sz w:val="20"/>
                <w:szCs w:val="20"/>
              </w:rPr>
              <w:t>30</w:t>
            </w:r>
          </w:p>
        </w:tc>
        <w:tc>
          <w:tcPr>
            <w:tcW w:w="4018" w:type="dxa"/>
            <w:vAlign w:val="top"/>
          </w:tcPr>
          <w:p w14:paraId="0D66FCF9" w14:textId="77777777" w:rsidR="006F6057" w:rsidRPr="00787283" w:rsidRDefault="006F6057" w:rsidP="006F6057">
            <w:pPr>
              <w:pStyle w:val="TableParagraph"/>
              <w:spacing w:line="268"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Travel Plan Monitoring</w:t>
            </w:r>
          </w:p>
        </w:tc>
        <w:tc>
          <w:tcPr>
            <w:tcW w:w="4755" w:type="dxa"/>
            <w:vAlign w:val="top"/>
          </w:tcPr>
          <w:p w14:paraId="43039B2C"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7C64C218" w14:textId="77777777" w:rsidR="006F6057" w:rsidRPr="00787283" w:rsidRDefault="006F6057" w:rsidP="00787283">
            <w:pPr>
              <w:pStyle w:val="TableParagraph"/>
              <w:spacing w:before="1" w:line="237" w:lineRule="auto"/>
              <w:ind w:right="231"/>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£1,240 index linked from 1Q16 towards the cost of monitoring the travel plan</w:t>
            </w:r>
          </w:p>
        </w:tc>
        <w:tc>
          <w:tcPr>
            <w:tcW w:w="6141" w:type="dxa"/>
            <w:vAlign w:val="top"/>
          </w:tcPr>
          <w:p w14:paraId="40770E20"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 xml:space="preserve">This is accepted </w:t>
            </w:r>
          </w:p>
        </w:tc>
      </w:tr>
      <w:tr w:rsidR="006F6057" w14:paraId="5BB7F3B6"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04C70B0B"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31</w:t>
            </w:r>
          </w:p>
        </w:tc>
        <w:tc>
          <w:tcPr>
            <w:tcW w:w="4018" w:type="dxa"/>
            <w:vAlign w:val="top"/>
          </w:tcPr>
          <w:p w14:paraId="62FF571F"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Bonds</w:t>
            </w:r>
          </w:p>
        </w:tc>
        <w:tc>
          <w:tcPr>
            <w:tcW w:w="4755" w:type="dxa"/>
            <w:vAlign w:val="top"/>
          </w:tcPr>
          <w:p w14:paraId="78BE2DF4"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32F5E6D9" w14:textId="77777777" w:rsidR="006F6057" w:rsidRPr="00787283" w:rsidRDefault="006F6057" w:rsidP="00787283">
            <w:pPr>
              <w:pStyle w:val="TableParagraph"/>
              <w:ind w:right="175"/>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OCC decreasing Bond for education and transport S106 contributions may be required. This would be calculated from the contribution profile. Bond would not be for the whole amount but the bulk of the payment.</w:t>
            </w:r>
          </w:p>
        </w:tc>
        <w:tc>
          <w:tcPr>
            <w:tcW w:w="6141" w:type="dxa"/>
            <w:vAlign w:val="top"/>
          </w:tcPr>
          <w:p w14:paraId="1EA5DA64"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 xml:space="preserve">This is accepted subject to timings and cost. </w:t>
            </w:r>
          </w:p>
        </w:tc>
      </w:tr>
      <w:tr w:rsidR="006F6057" w14:paraId="68A4DA47"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3B0D6E99"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32</w:t>
            </w:r>
          </w:p>
        </w:tc>
        <w:tc>
          <w:tcPr>
            <w:tcW w:w="4018" w:type="dxa"/>
            <w:vAlign w:val="top"/>
          </w:tcPr>
          <w:p w14:paraId="0D58C97D"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S106 Monitoring Costs</w:t>
            </w:r>
          </w:p>
        </w:tc>
        <w:tc>
          <w:tcPr>
            <w:tcW w:w="4755" w:type="dxa"/>
            <w:vAlign w:val="top"/>
          </w:tcPr>
          <w:p w14:paraId="22367516"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1E369B12" w14:textId="77777777" w:rsidR="006F6057" w:rsidRPr="00787283" w:rsidRDefault="006F6057" w:rsidP="00787283">
            <w:pPr>
              <w:pStyle w:val="TableParagraph"/>
              <w:ind w:right="394"/>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rPr>
            </w:pPr>
            <w:r w:rsidRPr="00787283">
              <w:rPr>
                <w:rFonts w:asciiTheme="minorHAnsi" w:hAnsiTheme="minorHAnsi"/>
                <w:b/>
                <w:sz w:val="20"/>
                <w:szCs w:val="20"/>
              </w:rPr>
              <w:t xml:space="preserve">£500 for CDC </w:t>
            </w:r>
            <w:r w:rsidRPr="00787283">
              <w:rPr>
                <w:rFonts w:asciiTheme="minorHAnsi" w:hAnsiTheme="minorHAnsi"/>
                <w:sz w:val="20"/>
                <w:szCs w:val="20"/>
              </w:rPr>
              <w:t xml:space="preserve">2Q17 and index linked and </w:t>
            </w:r>
            <w:r w:rsidRPr="00787283">
              <w:rPr>
                <w:rFonts w:asciiTheme="minorHAnsi" w:hAnsiTheme="minorHAnsi"/>
                <w:b/>
                <w:sz w:val="20"/>
                <w:szCs w:val="20"/>
              </w:rPr>
              <w:t>£3750 for OCC</w:t>
            </w:r>
          </w:p>
        </w:tc>
        <w:tc>
          <w:tcPr>
            <w:tcW w:w="6141" w:type="dxa"/>
            <w:vAlign w:val="top"/>
          </w:tcPr>
          <w:p w14:paraId="2FE7BF5B"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szCs w:val="20"/>
              </w:rPr>
              <w:t xml:space="preserve">This is accepted </w:t>
            </w:r>
          </w:p>
        </w:tc>
      </w:tr>
      <w:tr w:rsidR="006F6057" w14:paraId="5387E403"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1756B5EE"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33</w:t>
            </w:r>
          </w:p>
        </w:tc>
        <w:tc>
          <w:tcPr>
            <w:tcW w:w="4018" w:type="dxa"/>
            <w:vAlign w:val="top"/>
          </w:tcPr>
          <w:p w14:paraId="748E20A8"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Construction Standards</w:t>
            </w:r>
          </w:p>
        </w:tc>
        <w:tc>
          <w:tcPr>
            <w:tcW w:w="4755" w:type="dxa"/>
            <w:vAlign w:val="top"/>
          </w:tcPr>
          <w:p w14:paraId="0B87CBE3"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73A58ADE" w14:textId="77777777" w:rsidR="006F6057" w:rsidRPr="00787283" w:rsidRDefault="006F6057" w:rsidP="00787283">
            <w:pPr>
              <w:pStyle w:val="TableParagraph"/>
              <w:ind w:right="334"/>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Requirements around achievement of CEEQUAL standard Excellent, local sourcing of materials…</w:t>
            </w:r>
          </w:p>
        </w:tc>
        <w:tc>
          <w:tcPr>
            <w:tcW w:w="6141" w:type="dxa"/>
            <w:vAlign w:val="top"/>
          </w:tcPr>
          <w:p w14:paraId="30CD6AD3"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This is accepted</w:t>
            </w:r>
          </w:p>
        </w:tc>
      </w:tr>
      <w:tr w:rsidR="006F6057" w14:paraId="1EC5B037"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1F432C3F" w14:textId="77777777" w:rsidR="006F6057" w:rsidRPr="00787283" w:rsidRDefault="006F6057" w:rsidP="006F6057">
            <w:pPr>
              <w:pStyle w:val="TableParagraph"/>
              <w:tabs>
                <w:tab w:val="left" w:pos="142"/>
              </w:tabs>
              <w:ind w:left="142" w:right="687" w:hanging="39"/>
              <w:rPr>
                <w:rFonts w:asciiTheme="minorHAnsi" w:hAnsiTheme="minorHAnsi"/>
                <w:sz w:val="20"/>
                <w:szCs w:val="20"/>
              </w:rPr>
            </w:pPr>
            <w:r>
              <w:rPr>
                <w:rFonts w:asciiTheme="minorHAnsi" w:hAnsiTheme="minorHAnsi"/>
                <w:sz w:val="20"/>
                <w:szCs w:val="20"/>
              </w:rPr>
              <w:t>34</w:t>
            </w:r>
          </w:p>
        </w:tc>
        <w:tc>
          <w:tcPr>
            <w:tcW w:w="4018" w:type="dxa"/>
            <w:vAlign w:val="top"/>
          </w:tcPr>
          <w:p w14:paraId="6F05289A" w14:textId="77777777" w:rsidR="006F6057" w:rsidRPr="00787283" w:rsidRDefault="006F6057" w:rsidP="006F6057">
            <w:pPr>
              <w:pStyle w:val="TableParagraph"/>
              <w:ind w:right="68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 xml:space="preserve">Monitoring of PPS1 standards (per </w:t>
            </w:r>
            <w:proofErr w:type="spellStart"/>
            <w:r w:rsidRPr="00787283">
              <w:rPr>
                <w:rFonts w:asciiTheme="minorHAnsi" w:hAnsiTheme="minorHAnsi"/>
                <w:sz w:val="20"/>
                <w:szCs w:val="20"/>
              </w:rPr>
              <w:t>dw</w:t>
            </w:r>
            <w:proofErr w:type="spellEnd"/>
            <w:r w:rsidRPr="00787283">
              <w:rPr>
                <w:rFonts w:asciiTheme="minorHAnsi" w:hAnsiTheme="minorHAnsi"/>
                <w:sz w:val="20"/>
                <w:szCs w:val="20"/>
              </w:rPr>
              <w:t xml:space="preserve"> contribution)</w:t>
            </w:r>
          </w:p>
        </w:tc>
        <w:tc>
          <w:tcPr>
            <w:tcW w:w="4755" w:type="dxa"/>
            <w:vAlign w:val="top"/>
          </w:tcPr>
          <w:p w14:paraId="33F3933B"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22641EDE" w14:textId="77777777" w:rsidR="006F6057" w:rsidRPr="00787283" w:rsidRDefault="006F6057" w:rsidP="00787283">
            <w:pPr>
              <w:pStyle w:val="TableParagraph"/>
              <w:ind w:right="12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There will be a requirement built into the S106 for ongoing monitoring of standards during the construction and operational phases.</w:t>
            </w:r>
          </w:p>
        </w:tc>
        <w:tc>
          <w:tcPr>
            <w:tcW w:w="6141" w:type="dxa"/>
            <w:vAlign w:val="top"/>
          </w:tcPr>
          <w:p w14:paraId="7600FBB8"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This is accepted</w:t>
            </w:r>
          </w:p>
        </w:tc>
      </w:tr>
      <w:tr w:rsidR="006F6057" w14:paraId="046AC375"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2105F6E3"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35</w:t>
            </w:r>
          </w:p>
        </w:tc>
        <w:tc>
          <w:tcPr>
            <w:tcW w:w="4018" w:type="dxa"/>
            <w:vAlign w:val="top"/>
          </w:tcPr>
          <w:p w14:paraId="7CDD322F"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Design Standards</w:t>
            </w:r>
          </w:p>
        </w:tc>
        <w:tc>
          <w:tcPr>
            <w:tcW w:w="4755" w:type="dxa"/>
            <w:vAlign w:val="top"/>
          </w:tcPr>
          <w:p w14:paraId="4CDB3F77"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121EA4F4" w14:textId="77777777" w:rsidR="006F6057" w:rsidRPr="00787283" w:rsidRDefault="006F6057" w:rsidP="00787283">
            <w:pPr>
              <w:pStyle w:val="TableParagraph"/>
              <w:ind w:right="23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There will be a requirement for Design Review to assess proposed development against the standards for NW Bicester and to secure comprehensive development</w:t>
            </w:r>
          </w:p>
        </w:tc>
        <w:tc>
          <w:tcPr>
            <w:tcW w:w="6141" w:type="dxa"/>
            <w:vAlign w:val="top"/>
          </w:tcPr>
          <w:p w14:paraId="3CAAED9F" w14:textId="77777777" w:rsidR="006F6057" w:rsidRPr="00787283" w:rsidRDefault="006F6057" w:rsidP="00077335">
            <w:pPr>
              <w:ind w:left="142"/>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 xml:space="preserve">This is not accepted as it is not necessary for the development to be subject to additional arrangements for considering design, this is sufficiently governed by planning policies. </w:t>
            </w:r>
          </w:p>
        </w:tc>
      </w:tr>
      <w:tr w:rsidR="006F6057" w14:paraId="50699F45" w14:textId="77777777" w:rsidTr="006F6057">
        <w:tc>
          <w:tcPr>
            <w:cnfStyle w:val="001000000000" w:firstRow="0" w:lastRow="0" w:firstColumn="1" w:lastColumn="0" w:oddVBand="0" w:evenVBand="0" w:oddHBand="0" w:evenHBand="0" w:firstRowFirstColumn="0" w:firstRowLastColumn="0" w:lastRowFirstColumn="0" w:lastRowLastColumn="0"/>
            <w:tcW w:w="851" w:type="dxa"/>
          </w:tcPr>
          <w:p w14:paraId="0ED9190D" w14:textId="77777777" w:rsidR="006F6057" w:rsidRPr="00787283" w:rsidRDefault="006F6057" w:rsidP="00787283">
            <w:pPr>
              <w:pStyle w:val="TableParagraph"/>
              <w:spacing w:line="265" w:lineRule="exact"/>
              <w:rPr>
                <w:rFonts w:asciiTheme="minorHAnsi" w:hAnsiTheme="minorHAnsi"/>
                <w:sz w:val="20"/>
                <w:szCs w:val="20"/>
              </w:rPr>
            </w:pPr>
            <w:r>
              <w:rPr>
                <w:rFonts w:asciiTheme="minorHAnsi" w:hAnsiTheme="minorHAnsi"/>
                <w:sz w:val="20"/>
                <w:szCs w:val="20"/>
              </w:rPr>
              <w:t>36</w:t>
            </w:r>
          </w:p>
        </w:tc>
        <w:tc>
          <w:tcPr>
            <w:tcW w:w="4018" w:type="dxa"/>
            <w:vAlign w:val="top"/>
          </w:tcPr>
          <w:p w14:paraId="39A2CE61" w14:textId="77777777" w:rsidR="006F6057" w:rsidRPr="00787283" w:rsidRDefault="006F6057" w:rsidP="006F6057">
            <w:pPr>
              <w:pStyle w:val="TableParagraph"/>
              <w:spacing w:line="265" w:lineRule="exact"/>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Zero Carbon Strategy</w:t>
            </w:r>
          </w:p>
        </w:tc>
        <w:tc>
          <w:tcPr>
            <w:tcW w:w="4755" w:type="dxa"/>
            <w:vAlign w:val="top"/>
          </w:tcPr>
          <w:p w14:paraId="35D44418" w14:textId="77777777" w:rsidR="006F6057" w:rsidRPr="00787283" w:rsidRDefault="006F6057" w:rsidP="00787283">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5619" w:type="dxa"/>
            <w:vAlign w:val="top"/>
          </w:tcPr>
          <w:p w14:paraId="2B4512EE" w14:textId="77777777" w:rsidR="006F6057" w:rsidRPr="00787283" w:rsidRDefault="006F6057" w:rsidP="00787283">
            <w:pPr>
              <w:pStyle w:val="TableParagraph"/>
              <w:ind w:right="44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87283">
              <w:rPr>
                <w:rFonts w:asciiTheme="minorHAnsi" w:hAnsiTheme="minorHAnsi"/>
                <w:sz w:val="20"/>
                <w:szCs w:val="20"/>
              </w:rPr>
              <w:t>Requirements around the provision of a zero carbon strategy to demonstrate how the development will achieve Policy Compliance in this regard</w:t>
            </w:r>
          </w:p>
        </w:tc>
        <w:tc>
          <w:tcPr>
            <w:tcW w:w="6141" w:type="dxa"/>
            <w:vAlign w:val="top"/>
          </w:tcPr>
          <w:p w14:paraId="13F3EF82" w14:textId="0439EC49" w:rsidR="006F6057" w:rsidRPr="00787283" w:rsidRDefault="006F6057" w:rsidP="00077335">
            <w:pPr>
              <w:jc w:val="left"/>
              <w:cnfStyle w:val="000000000000" w:firstRow="0" w:lastRow="0" w:firstColumn="0" w:lastColumn="0" w:oddVBand="0" w:evenVBand="0" w:oddHBand="0" w:evenHBand="0" w:firstRowFirstColumn="0" w:firstRowLastColumn="0" w:lastRowFirstColumn="0" w:lastRowLastColumn="0"/>
              <w:rPr>
                <w:color w:val="FF0000"/>
                <w:sz w:val="20"/>
                <w:szCs w:val="20"/>
              </w:rPr>
            </w:pPr>
            <w:r w:rsidRPr="00787283">
              <w:rPr>
                <w:color w:val="FF0000"/>
                <w:sz w:val="20"/>
                <w:szCs w:val="20"/>
              </w:rPr>
              <w:t>This is not compliant</w:t>
            </w:r>
            <w:r w:rsidR="00D065CC">
              <w:rPr>
                <w:color w:val="FF0000"/>
                <w:sz w:val="20"/>
                <w:szCs w:val="20"/>
              </w:rPr>
              <w:t xml:space="preserve"> with CIL regulations</w:t>
            </w:r>
            <w:r w:rsidRPr="00787283">
              <w:rPr>
                <w:color w:val="FF0000"/>
                <w:sz w:val="20"/>
                <w:szCs w:val="20"/>
              </w:rPr>
              <w:t xml:space="preserve">, as stated by </w:t>
            </w:r>
            <w:proofErr w:type="spellStart"/>
            <w:r w:rsidRPr="00787283">
              <w:rPr>
                <w:color w:val="FF0000"/>
                <w:sz w:val="20"/>
                <w:szCs w:val="20"/>
              </w:rPr>
              <w:t>SoS</w:t>
            </w:r>
            <w:proofErr w:type="spellEnd"/>
            <w:r w:rsidRPr="00787283">
              <w:rPr>
                <w:color w:val="FF0000"/>
                <w:sz w:val="20"/>
                <w:szCs w:val="20"/>
              </w:rPr>
              <w:t xml:space="preserve"> in relation to appeal decision (ref: 3163551) for land at Howes Lane. </w:t>
            </w:r>
          </w:p>
          <w:p w14:paraId="103806CD" w14:textId="77777777" w:rsidR="006F6057" w:rsidRPr="00787283" w:rsidRDefault="000915FE" w:rsidP="00077335">
            <w:pPr>
              <w:jc w:val="left"/>
              <w:cnfStyle w:val="000000000000" w:firstRow="0" w:lastRow="0" w:firstColumn="0" w:lastColumn="0" w:oddVBand="0" w:evenVBand="0" w:oddHBand="0" w:evenHBand="0" w:firstRowFirstColumn="0" w:firstRowLastColumn="0" w:lastRowFirstColumn="0" w:lastRowLastColumn="0"/>
              <w:rPr>
                <w:sz w:val="20"/>
                <w:szCs w:val="20"/>
              </w:rPr>
            </w:pPr>
            <w:r>
              <w:rPr>
                <w:color w:val="FF0000"/>
                <w:sz w:val="20"/>
                <w:szCs w:val="20"/>
              </w:rPr>
              <w:t xml:space="preserve">This is therefore not agreed, and could be addressed via condition. </w:t>
            </w:r>
          </w:p>
        </w:tc>
      </w:tr>
    </w:tbl>
    <w:p w14:paraId="7F0FE7C3" w14:textId="77777777" w:rsidR="00820ACE" w:rsidRPr="00820ACE" w:rsidRDefault="00820ACE" w:rsidP="00820ACE">
      <w:pPr>
        <w:pStyle w:val="Heading3"/>
        <w:numPr>
          <w:ilvl w:val="0"/>
          <w:numId w:val="0"/>
        </w:numPr>
      </w:pPr>
    </w:p>
    <w:sectPr w:rsidR="00820ACE" w:rsidRPr="00820ACE" w:rsidSect="006F6057">
      <w:headerReference w:type="default" r:id="rId8"/>
      <w:footerReference w:type="default" r:id="rId9"/>
      <w:pgSz w:w="23814" w:h="16839" w:orient="landscape" w:code="8"/>
      <w:pgMar w:top="2268" w:right="1134" w:bottom="1134" w:left="1134" w:header="567" w:footer="465" w:gutter="0"/>
      <w:pgNumType w:start="1"/>
      <w:cols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F3678" w16cid:durableId="1F461924"/>
  <w16cid:commentId w16cid:paraId="3CD96173" w16cid:durableId="1F461936"/>
  <w16cid:commentId w16cid:paraId="7A7C5A08" w16cid:durableId="1F461943"/>
  <w16cid:commentId w16cid:paraId="0F96DC45" w16cid:durableId="1F46195F"/>
  <w16cid:commentId w16cid:paraId="298D042E" w16cid:durableId="1F46196A"/>
  <w16cid:commentId w16cid:paraId="21E62CA2" w16cid:durableId="1F461985"/>
  <w16cid:commentId w16cid:paraId="164B071D" w16cid:durableId="1F46198D"/>
  <w16cid:commentId w16cid:paraId="575CA938" w16cid:durableId="1F4619B2"/>
  <w16cid:commentId w16cid:paraId="18D4A057" w16cid:durableId="1F4619B3"/>
  <w16cid:commentId w16cid:paraId="3017D8A9" w16cid:durableId="1F4619C8"/>
  <w16cid:commentId w16cid:paraId="1DDFA7EF" w16cid:durableId="1F4619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DFDA" w14:textId="77777777" w:rsidR="00FD3555" w:rsidRDefault="00FD3555" w:rsidP="0083573F">
      <w:pPr>
        <w:spacing w:line="240" w:lineRule="auto"/>
      </w:pPr>
      <w:r>
        <w:separator/>
      </w:r>
    </w:p>
    <w:p w14:paraId="383D86FC" w14:textId="77777777" w:rsidR="00FD3555" w:rsidRDefault="00FD3555"/>
  </w:endnote>
  <w:endnote w:type="continuationSeparator" w:id="0">
    <w:p w14:paraId="0F703679" w14:textId="77777777" w:rsidR="00FD3555" w:rsidRDefault="00FD3555" w:rsidP="0083573F">
      <w:pPr>
        <w:spacing w:line="240" w:lineRule="auto"/>
      </w:pPr>
      <w:r>
        <w:continuationSeparator/>
      </w:r>
    </w:p>
    <w:p w14:paraId="5EE688F0" w14:textId="77777777" w:rsidR="00FD3555" w:rsidRDefault="00FD3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2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03"/>
      <w:gridCol w:w="10703"/>
    </w:tblGrid>
    <w:tr w:rsidR="006F6057" w14:paraId="2FD5514A" w14:textId="77777777" w:rsidTr="00787283">
      <w:trPr>
        <w:trHeight w:hRule="exact" w:val="196"/>
      </w:trPr>
      <w:tc>
        <w:tcPr>
          <w:tcW w:w="21406" w:type="dxa"/>
          <w:gridSpan w:val="2"/>
          <w:tcBorders>
            <w:top w:val="single" w:sz="8" w:space="0" w:color="009FE3" w:themeColor="background2"/>
          </w:tcBorders>
        </w:tcPr>
        <w:p w14:paraId="09F24F35" w14:textId="77777777" w:rsidR="006F6057" w:rsidRPr="004F26B9" w:rsidRDefault="006F6057" w:rsidP="000E7A40">
          <w:pPr>
            <w:pStyle w:val="ZeroLead"/>
          </w:pPr>
        </w:p>
      </w:tc>
    </w:tr>
    <w:tr w:rsidR="006F6057" w14:paraId="696018D0" w14:textId="77777777" w:rsidTr="00787283">
      <w:trPr>
        <w:trHeight w:val="211"/>
      </w:trPr>
      <w:tc>
        <w:tcPr>
          <w:tcW w:w="10703" w:type="dxa"/>
        </w:tcPr>
        <w:sdt>
          <w:sdtPr>
            <w:rPr>
              <w:rStyle w:val="PageNumber"/>
            </w:rPr>
            <w:id w:val="574013915"/>
            <w:docPartObj>
              <w:docPartGallery w:val="Page Numbers (Top of Page)"/>
              <w:docPartUnique/>
            </w:docPartObj>
          </w:sdtPr>
          <w:sdtEndPr>
            <w:rPr>
              <w:rStyle w:val="PageNumber"/>
            </w:rPr>
          </w:sdtEndPr>
          <w:sdtContent>
            <w:p w14:paraId="259C3DBB" w14:textId="77777777" w:rsidR="006F6057" w:rsidRPr="00756D92" w:rsidRDefault="006F6057" w:rsidP="00756D92">
              <w:pPr>
                <w:pStyle w:val="Header"/>
                <w:spacing w:line="200" w:lineRule="exact"/>
                <w:rPr>
                  <w:color w:val="009FE3" w:themeColor="background2"/>
                </w:rPr>
              </w:pPr>
              <w:r w:rsidRPr="00F53982">
                <w:rPr>
                  <w:rStyle w:val="PageNumber"/>
                  <w:sz w:val="18"/>
                  <w:szCs w:val="18"/>
                </w:rPr>
                <w:fldChar w:fldCharType="begin"/>
              </w:r>
              <w:r w:rsidRPr="00F53982">
                <w:rPr>
                  <w:rStyle w:val="PageNumber"/>
                  <w:sz w:val="18"/>
                  <w:szCs w:val="18"/>
                </w:rPr>
                <w:instrText xml:space="preserve"> PAGE   \* MERGEFORMAT </w:instrText>
              </w:r>
              <w:r w:rsidRPr="00F53982">
                <w:rPr>
                  <w:rStyle w:val="PageNumber"/>
                  <w:sz w:val="18"/>
                  <w:szCs w:val="18"/>
                </w:rPr>
                <w:fldChar w:fldCharType="separate"/>
              </w:r>
              <w:r w:rsidR="00CC1AA8">
                <w:rPr>
                  <w:rStyle w:val="PageNumber"/>
                  <w:noProof/>
                  <w:sz w:val="18"/>
                  <w:szCs w:val="18"/>
                </w:rPr>
                <w:t>4</w:t>
              </w:r>
              <w:r w:rsidRPr="00F53982">
                <w:rPr>
                  <w:rStyle w:val="PageNumber"/>
                  <w:sz w:val="18"/>
                  <w:szCs w:val="18"/>
                </w:rPr>
                <w:fldChar w:fldCharType="end"/>
              </w:r>
            </w:p>
          </w:sdtContent>
        </w:sdt>
      </w:tc>
      <w:tc>
        <w:tcPr>
          <w:tcW w:w="10703" w:type="dxa"/>
        </w:tcPr>
        <w:p w14:paraId="75F8EB19" w14:textId="77777777" w:rsidR="006F6057" w:rsidRDefault="006F6057" w:rsidP="00787283">
          <w:pPr>
            <w:pStyle w:val="Footer"/>
          </w:pPr>
          <w:r w:rsidRPr="004F26B9">
            <w:t xml:space="preserve">Quod  |  </w:t>
          </w:r>
          <w:r>
            <w:t>Bicester SGR 1</w:t>
          </w:r>
          <w:r w:rsidRPr="004F26B9">
            <w:t xml:space="preserve">  |  </w:t>
          </w:r>
          <w:r>
            <w:t>S106</w:t>
          </w:r>
          <w:r w:rsidRPr="004F26B9">
            <w:t xml:space="preserve">  |  </w:t>
          </w:r>
          <w:r>
            <w:t>September 2018</w:t>
          </w:r>
        </w:p>
      </w:tc>
    </w:tr>
  </w:tbl>
  <w:p w14:paraId="26A4D1C9" w14:textId="77777777" w:rsidR="006F6057" w:rsidRPr="004F26B9" w:rsidRDefault="006F6057" w:rsidP="00756D92">
    <w:pPr>
      <w:pStyle w:val="ZeroLe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86FF7" w14:textId="77777777" w:rsidR="00FD3555" w:rsidRDefault="00FD3555" w:rsidP="0083573F">
      <w:pPr>
        <w:spacing w:line="240" w:lineRule="auto"/>
      </w:pPr>
      <w:r>
        <w:separator/>
      </w:r>
    </w:p>
    <w:p w14:paraId="778C34FD" w14:textId="77777777" w:rsidR="00FD3555" w:rsidRDefault="00FD3555"/>
  </w:footnote>
  <w:footnote w:type="continuationSeparator" w:id="0">
    <w:p w14:paraId="33EAE122" w14:textId="77777777" w:rsidR="00FD3555" w:rsidRDefault="00FD3555" w:rsidP="0083573F">
      <w:pPr>
        <w:spacing w:line="240" w:lineRule="auto"/>
      </w:pPr>
      <w:r>
        <w:continuationSeparator/>
      </w:r>
    </w:p>
    <w:p w14:paraId="54CB9A49" w14:textId="77777777" w:rsidR="00FD3555" w:rsidRDefault="00FD35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72279" w14:textId="77777777" w:rsidR="006F6057" w:rsidRDefault="006F6057" w:rsidP="00756D92">
    <w:pPr>
      <w:pStyle w:val="ZeroLead"/>
    </w:pPr>
    <w:r>
      <w:rPr>
        <w:noProof/>
        <w:lang w:eastAsia="en-GB"/>
      </w:rPr>
      <w:drawing>
        <wp:anchor distT="0" distB="0" distL="114300" distR="114300" simplePos="0" relativeHeight="251659264" behindDoc="0" locked="0" layoutInCell="1" allowOverlap="1" wp14:anchorId="3C579DC4" wp14:editId="084C3529">
          <wp:simplePos x="0" y="0"/>
          <wp:positionH relativeFrom="page">
            <wp:posOffset>12975590</wp:posOffset>
          </wp:positionH>
          <wp:positionV relativeFrom="page">
            <wp:posOffset>372745</wp:posOffset>
          </wp:positionV>
          <wp:extent cx="1378080" cy="800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Quod_Logo.png"/>
                  <pic:cNvPicPr/>
                </pic:nvPicPr>
                <pic:blipFill>
                  <a:blip r:embed="rId1">
                    <a:extLst>
                      <a:ext uri="{28A0092B-C50C-407E-A947-70E740481C1C}">
                        <a14:useLocalDpi xmlns:a14="http://schemas.microsoft.com/office/drawing/2010/main" val="0"/>
                      </a:ext>
                    </a:extLst>
                  </a:blip>
                  <a:stretch>
                    <a:fillRect/>
                  </a:stretch>
                </pic:blipFill>
                <pic:spPr>
                  <a:xfrm>
                    <a:off x="0" y="0"/>
                    <a:ext cx="1378080" cy="800280"/>
                  </a:xfrm>
                  <a:prstGeom prst="rect">
                    <a:avLst/>
                  </a:prstGeom>
                </pic:spPr>
              </pic:pic>
            </a:graphicData>
          </a:graphic>
          <wp14:sizeRelH relativeFrom="page">
            <wp14:pctWidth>0</wp14:pctWidth>
          </wp14:sizeRelH>
          <wp14:sizeRelV relativeFrom="page">
            <wp14:pctHeight>0</wp14:pctHeight>
          </wp14:sizeRelV>
        </wp:anchor>
      </w:drawing>
    </w:r>
  </w:p>
  <w:p w14:paraId="2CC220AC" w14:textId="77777777" w:rsidR="006F6057" w:rsidRDefault="006F6057" w:rsidP="00756D92">
    <w:pPr>
      <w:pStyle w:val="ZeroLe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782E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648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F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20323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0329D16"/>
    <w:lvl w:ilvl="0">
      <w:start w:val="1"/>
      <w:numFmt w:val="decimal"/>
      <w:lvlText w:val="%1."/>
      <w:lvlJc w:val="left"/>
      <w:pPr>
        <w:tabs>
          <w:tab w:val="num" w:pos="360"/>
        </w:tabs>
        <w:ind w:left="360" w:hanging="360"/>
      </w:pPr>
    </w:lvl>
  </w:abstractNum>
  <w:abstractNum w:abstractNumId="5" w15:restartNumberingAfterBreak="0">
    <w:nsid w:val="01E311C4"/>
    <w:multiLevelType w:val="multilevel"/>
    <w:tmpl w:val="5B6C9CA4"/>
    <w:numStyleLink w:val="QuodBulletsNew"/>
  </w:abstractNum>
  <w:abstractNum w:abstractNumId="6" w15:restartNumberingAfterBreak="0">
    <w:nsid w:val="075A3FAF"/>
    <w:multiLevelType w:val="hybridMultilevel"/>
    <w:tmpl w:val="C78028C2"/>
    <w:lvl w:ilvl="0" w:tplc="E7263264">
      <w:numFmt w:val="bullet"/>
      <w:lvlText w:val=""/>
      <w:lvlJc w:val="left"/>
      <w:pPr>
        <w:ind w:left="823" w:hanging="360"/>
      </w:pPr>
      <w:rPr>
        <w:rFonts w:ascii="Symbol" w:eastAsia="Symbol" w:hAnsi="Symbol" w:cs="Symbol" w:hint="default"/>
        <w:w w:val="100"/>
        <w:sz w:val="22"/>
        <w:szCs w:val="22"/>
      </w:rPr>
    </w:lvl>
    <w:lvl w:ilvl="1" w:tplc="AE14CE16">
      <w:numFmt w:val="bullet"/>
      <w:lvlText w:val="•"/>
      <w:lvlJc w:val="left"/>
      <w:pPr>
        <w:ind w:left="1212" w:hanging="360"/>
      </w:pPr>
      <w:rPr>
        <w:rFonts w:hint="default"/>
      </w:rPr>
    </w:lvl>
    <w:lvl w:ilvl="2" w:tplc="CC50BE22">
      <w:numFmt w:val="bullet"/>
      <w:lvlText w:val="•"/>
      <w:lvlJc w:val="left"/>
      <w:pPr>
        <w:ind w:left="1604" w:hanging="360"/>
      </w:pPr>
      <w:rPr>
        <w:rFonts w:hint="default"/>
      </w:rPr>
    </w:lvl>
    <w:lvl w:ilvl="3" w:tplc="C478AD14">
      <w:numFmt w:val="bullet"/>
      <w:lvlText w:val="•"/>
      <w:lvlJc w:val="left"/>
      <w:pPr>
        <w:ind w:left="1996" w:hanging="360"/>
      </w:pPr>
      <w:rPr>
        <w:rFonts w:hint="default"/>
      </w:rPr>
    </w:lvl>
    <w:lvl w:ilvl="4" w:tplc="43020A80">
      <w:numFmt w:val="bullet"/>
      <w:lvlText w:val="•"/>
      <w:lvlJc w:val="left"/>
      <w:pPr>
        <w:ind w:left="2388" w:hanging="360"/>
      </w:pPr>
      <w:rPr>
        <w:rFonts w:hint="default"/>
      </w:rPr>
    </w:lvl>
    <w:lvl w:ilvl="5" w:tplc="2DD6F966">
      <w:numFmt w:val="bullet"/>
      <w:lvlText w:val="•"/>
      <w:lvlJc w:val="left"/>
      <w:pPr>
        <w:ind w:left="2780" w:hanging="360"/>
      </w:pPr>
      <w:rPr>
        <w:rFonts w:hint="default"/>
      </w:rPr>
    </w:lvl>
    <w:lvl w:ilvl="6" w:tplc="4E1602E4">
      <w:numFmt w:val="bullet"/>
      <w:lvlText w:val="•"/>
      <w:lvlJc w:val="left"/>
      <w:pPr>
        <w:ind w:left="3172" w:hanging="360"/>
      </w:pPr>
      <w:rPr>
        <w:rFonts w:hint="default"/>
      </w:rPr>
    </w:lvl>
    <w:lvl w:ilvl="7" w:tplc="6536339C">
      <w:numFmt w:val="bullet"/>
      <w:lvlText w:val="•"/>
      <w:lvlJc w:val="left"/>
      <w:pPr>
        <w:ind w:left="3564" w:hanging="360"/>
      </w:pPr>
      <w:rPr>
        <w:rFonts w:hint="default"/>
      </w:rPr>
    </w:lvl>
    <w:lvl w:ilvl="8" w:tplc="6D2251A4">
      <w:numFmt w:val="bullet"/>
      <w:lvlText w:val="•"/>
      <w:lvlJc w:val="left"/>
      <w:pPr>
        <w:ind w:left="3956" w:hanging="360"/>
      </w:pPr>
      <w:rPr>
        <w:rFonts w:hint="default"/>
      </w:rPr>
    </w:lvl>
  </w:abstractNum>
  <w:abstractNum w:abstractNumId="7" w15:restartNumberingAfterBreak="0">
    <w:nsid w:val="26D45F2B"/>
    <w:multiLevelType w:val="multilevel"/>
    <w:tmpl w:val="5B6C9CA4"/>
    <w:styleLink w:val="QuodBulletsNew"/>
    <w:lvl w:ilvl="0">
      <w:start w:val="1"/>
      <w:numFmt w:val="bullet"/>
      <w:pStyle w:val="ListBullet"/>
      <w:lvlText w:val=""/>
      <w:lvlJc w:val="left"/>
      <w:pPr>
        <w:tabs>
          <w:tab w:val="num" w:pos="1134"/>
        </w:tabs>
        <w:ind w:left="1134" w:hanging="567"/>
      </w:pPr>
      <w:rPr>
        <w:rFonts w:ascii="Symbol" w:hAnsi="Symbol" w:hint="default"/>
        <w:color w:val="6B6B6E" w:themeColor="text2"/>
      </w:rPr>
    </w:lvl>
    <w:lvl w:ilvl="1">
      <w:start w:val="1"/>
      <w:numFmt w:val="bullet"/>
      <w:pStyle w:val="ListBullet2"/>
      <w:lvlText w:val=""/>
      <w:lvlJc w:val="left"/>
      <w:pPr>
        <w:tabs>
          <w:tab w:val="num" w:pos="1701"/>
        </w:tabs>
        <w:ind w:left="1701" w:hanging="567"/>
      </w:pPr>
      <w:rPr>
        <w:rFonts w:ascii="Symbol" w:hAnsi="Symbol" w:hint="default"/>
        <w:color w:val="6B6B6E" w:themeColor="text2"/>
      </w:rPr>
    </w:lvl>
    <w:lvl w:ilvl="2">
      <w:start w:val="1"/>
      <w:numFmt w:val="bullet"/>
      <w:pStyle w:val="ListBullet3"/>
      <w:lvlText w:val=""/>
      <w:lvlJc w:val="left"/>
      <w:pPr>
        <w:tabs>
          <w:tab w:val="num" w:pos="2268"/>
        </w:tabs>
        <w:ind w:left="2268" w:hanging="567"/>
      </w:pPr>
      <w:rPr>
        <w:rFonts w:ascii="Symbol" w:hAnsi="Symbol" w:hint="default"/>
        <w:color w:val="6B6B6E" w:themeColor="text2"/>
      </w:rPr>
    </w:lvl>
    <w:lvl w:ilvl="3">
      <w:start w:val="1"/>
      <w:numFmt w:val="bullet"/>
      <w:pStyle w:val="ListBullet4"/>
      <w:lvlText w:val=""/>
      <w:lvlJc w:val="left"/>
      <w:pPr>
        <w:tabs>
          <w:tab w:val="num" w:pos="2835"/>
        </w:tabs>
        <w:ind w:left="2835" w:hanging="567"/>
      </w:pPr>
      <w:rPr>
        <w:rFonts w:ascii="Symbol" w:hAnsi="Symbol" w:hint="default"/>
        <w:color w:val="6B6B6E" w:themeColor="text2"/>
      </w:rPr>
    </w:lvl>
    <w:lvl w:ilvl="4">
      <w:start w:val="1"/>
      <w:numFmt w:val="bullet"/>
      <w:pStyle w:val="ListBullet5"/>
      <w:lvlText w:val=""/>
      <w:lvlJc w:val="left"/>
      <w:pPr>
        <w:tabs>
          <w:tab w:val="num" w:pos="3402"/>
        </w:tabs>
        <w:ind w:left="3402" w:hanging="567"/>
      </w:pPr>
      <w:rPr>
        <w:rFonts w:ascii="Symbol" w:hAnsi="Symbol" w:hint="default"/>
        <w:color w:val="6B6B6E" w:themeColor="text2"/>
      </w:rPr>
    </w:lvl>
    <w:lvl w:ilvl="5">
      <w:start w:val="1"/>
      <w:numFmt w:val="none"/>
      <w:lvlText w:val=""/>
      <w:lvlJc w:val="left"/>
      <w:pPr>
        <w:tabs>
          <w:tab w:val="num" w:pos="3969"/>
        </w:tabs>
        <w:ind w:left="3969"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5670"/>
        </w:tabs>
        <w:ind w:left="5670" w:hanging="567"/>
      </w:pPr>
      <w:rPr>
        <w:rFonts w:hint="default"/>
      </w:rPr>
    </w:lvl>
  </w:abstractNum>
  <w:abstractNum w:abstractNumId="8" w15:restartNumberingAfterBreak="0">
    <w:nsid w:val="33406913"/>
    <w:multiLevelType w:val="multilevel"/>
    <w:tmpl w:val="22C8DA56"/>
    <w:styleLink w:val="QuodStyleList"/>
    <w:lvl w:ilvl="0">
      <w:start w:val="1"/>
      <w:numFmt w:val="decimal"/>
      <w:pStyle w:val="Heading1"/>
      <w:lvlText w:val="%1"/>
      <w:lvlJc w:val="left"/>
      <w:pPr>
        <w:tabs>
          <w:tab w:val="num" w:pos="567"/>
        </w:tabs>
        <w:ind w:left="567" w:hanging="567"/>
      </w:pPr>
      <w:rPr>
        <w:rFonts w:hint="default"/>
        <w:color w:val="009FE3" w:themeColor="background2"/>
      </w:rPr>
    </w:lvl>
    <w:lvl w:ilvl="1">
      <w:start w:val="1"/>
      <w:numFmt w:val="decimal"/>
      <w:pStyle w:val="Heading2"/>
      <w:lvlText w:val="%1.%2"/>
      <w:lvlJc w:val="left"/>
      <w:pPr>
        <w:tabs>
          <w:tab w:val="num" w:pos="567"/>
        </w:tabs>
        <w:ind w:left="567" w:hanging="567"/>
      </w:pPr>
      <w:rPr>
        <w:rFonts w:hint="default"/>
        <w:color w:val="009FE3" w:themeColor="background2"/>
      </w:rPr>
    </w:lvl>
    <w:lvl w:ilvl="2">
      <w:start w:val="1"/>
      <w:numFmt w:val="decimal"/>
      <w:pStyle w:val="Heading3"/>
      <w:lvlText w:val="%1.%2.%3"/>
      <w:lvlJc w:val="left"/>
      <w:pPr>
        <w:tabs>
          <w:tab w:val="num" w:pos="1304"/>
        </w:tabs>
        <w:ind w:left="1304" w:hanging="737"/>
      </w:pPr>
      <w:rPr>
        <w:rFonts w:hint="default"/>
        <w:color w:val="009FE3" w:themeColor="background2"/>
      </w:rPr>
    </w:lvl>
    <w:lvl w:ilvl="3">
      <w:start w:val="1"/>
      <w:numFmt w:val="decimal"/>
      <w:pStyle w:val="Heading4"/>
      <w:lvlText w:val="%1.%4.%2.%3"/>
      <w:lvlJc w:val="left"/>
      <w:pPr>
        <w:tabs>
          <w:tab w:val="num" w:pos="1701"/>
        </w:tabs>
        <w:ind w:left="1701" w:hanging="567"/>
      </w:pPr>
      <w:rPr>
        <w:rFonts w:hint="default"/>
        <w:color w:val="009FE3" w:themeColor="background2"/>
      </w:rPr>
    </w:lvl>
    <w:lvl w:ilvl="4">
      <w:start w:val="1"/>
      <w:numFmt w:val="decimal"/>
      <w:pStyle w:val="Heading5"/>
      <w:lvlText w:val="%1.%5.%2.%3.%4"/>
      <w:lvlJc w:val="left"/>
      <w:pPr>
        <w:tabs>
          <w:tab w:val="num" w:pos="2268"/>
        </w:tabs>
        <w:ind w:left="2268" w:hanging="567"/>
      </w:pPr>
      <w:rPr>
        <w:rFonts w:hint="default"/>
        <w:color w:val="009FE3" w:themeColor="background2"/>
      </w:rPr>
    </w:lvl>
    <w:lvl w:ilvl="5">
      <w:start w:val="1"/>
      <w:numFmt w:val="decimal"/>
      <w:pStyle w:val="Heading6"/>
      <w:lvlText w:val="%1.%6.%2.%3.%4.%5"/>
      <w:lvlJc w:val="left"/>
      <w:pPr>
        <w:tabs>
          <w:tab w:val="num" w:pos="2835"/>
        </w:tabs>
        <w:ind w:left="2835" w:hanging="567"/>
      </w:pPr>
      <w:rPr>
        <w:rFonts w:hint="default"/>
        <w:color w:val="009FE3" w:themeColor="background2"/>
      </w:rPr>
    </w:lvl>
    <w:lvl w:ilvl="6">
      <w:start w:val="1"/>
      <w:numFmt w:val="decimal"/>
      <w:pStyle w:val="Heading7"/>
      <w:lvlText w:val="%1.%7.%2.%3.%4.%5.%6."/>
      <w:lvlJc w:val="left"/>
      <w:pPr>
        <w:tabs>
          <w:tab w:val="num" w:pos="3402"/>
        </w:tabs>
        <w:ind w:left="3402" w:hanging="567"/>
      </w:pPr>
      <w:rPr>
        <w:rFonts w:hint="default"/>
        <w:color w:val="009FE3" w:themeColor="background2"/>
      </w:rPr>
    </w:lvl>
    <w:lvl w:ilvl="7">
      <w:start w:val="1"/>
      <w:numFmt w:val="decimal"/>
      <w:pStyle w:val="Heading8"/>
      <w:lvlText w:val="%1.%8.%2.%3.%4.%6.%7"/>
      <w:lvlJc w:val="left"/>
      <w:pPr>
        <w:tabs>
          <w:tab w:val="num" w:pos="3969"/>
        </w:tabs>
        <w:ind w:left="3969" w:hanging="567"/>
      </w:pPr>
      <w:rPr>
        <w:rFonts w:hint="default"/>
        <w:color w:val="009FE3" w:themeColor="background2"/>
      </w:rPr>
    </w:lvl>
    <w:lvl w:ilvl="8">
      <w:start w:val="1"/>
      <w:numFmt w:val="decimal"/>
      <w:pStyle w:val="Heading9"/>
      <w:lvlText w:val="%1.%9.%2.%3.%4.%5.%6.%7.%8"/>
      <w:lvlJc w:val="left"/>
      <w:pPr>
        <w:tabs>
          <w:tab w:val="num" w:pos="5103"/>
        </w:tabs>
        <w:ind w:left="5103" w:hanging="1134"/>
      </w:pPr>
      <w:rPr>
        <w:rFonts w:hint="default"/>
        <w:color w:val="009FE3" w:themeColor="background2"/>
      </w:rPr>
    </w:lvl>
  </w:abstractNum>
  <w:abstractNum w:abstractNumId="9" w15:restartNumberingAfterBreak="0">
    <w:nsid w:val="3FED2055"/>
    <w:multiLevelType w:val="multilevel"/>
    <w:tmpl w:val="22C8DA56"/>
    <w:numStyleLink w:val="QuodStyleList"/>
  </w:abstractNum>
  <w:abstractNum w:abstractNumId="10" w15:restartNumberingAfterBreak="0">
    <w:nsid w:val="445A6344"/>
    <w:multiLevelType w:val="hybridMultilevel"/>
    <w:tmpl w:val="532053FC"/>
    <w:lvl w:ilvl="0" w:tplc="49E09DC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E22E3"/>
    <w:multiLevelType w:val="multilevel"/>
    <w:tmpl w:val="22C8DA56"/>
    <w:numStyleLink w:val="QuodStyleList"/>
  </w:abstractNum>
  <w:abstractNum w:abstractNumId="12" w15:restartNumberingAfterBreak="0">
    <w:nsid w:val="5F6915F1"/>
    <w:multiLevelType w:val="multilevel"/>
    <w:tmpl w:val="5B6C9CA4"/>
    <w:numStyleLink w:val="QuodBulletsNew"/>
  </w:abstractNum>
  <w:num w:numId="1">
    <w:abstractNumId w:val="8"/>
  </w:num>
  <w:num w:numId="2">
    <w:abstractNumId w:val="9"/>
  </w:num>
  <w:num w:numId="3">
    <w:abstractNumId w:val="7"/>
  </w:num>
  <w:num w:numId="4">
    <w:abstractNumId w:val="5"/>
  </w:num>
  <w:num w:numId="5">
    <w:abstractNumId w:val="4"/>
  </w:num>
  <w:num w:numId="6">
    <w:abstractNumId w:val="3"/>
  </w:num>
  <w:num w:numId="7">
    <w:abstractNumId w:val="2"/>
  </w:num>
  <w:num w:numId="8">
    <w:abstractNumId w:val="1"/>
  </w:num>
  <w:num w:numId="9">
    <w:abstractNumId w:val="0"/>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2"/>
  </w:num>
  <w:num w:numId="20">
    <w:abstractNumId w:val="12"/>
  </w:num>
  <w:num w:numId="21">
    <w:abstractNumId w:val="12"/>
  </w:num>
  <w:num w:numId="22">
    <w:abstractNumId w:val="12"/>
  </w:num>
  <w:num w:numId="23">
    <w:abstractNumId w:val="12"/>
  </w:num>
  <w:num w:numId="24">
    <w:abstractNumId w:val="7"/>
  </w:num>
  <w:num w:numId="25">
    <w:abstractNumId w:val="8"/>
  </w:num>
  <w:num w:numId="26">
    <w:abstractNumId w:val="10"/>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CE"/>
    <w:rsid w:val="00002D09"/>
    <w:rsid w:val="00003F83"/>
    <w:rsid w:val="00011621"/>
    <w:rsid w:val="000135E8"/>
    <w:rsid w:val="00014478"/>
    <w:rsid w:val="00035DFA"/>
    <w:rsid w:val="00057B02"/>
    <w:rsid w:val="00057D12"/>
    <w:rsid w:val="00057E47"/>
    <w:rsid w:val="00073E82"/>
    <w:rsid w:val="00075378"/>
    <w:rsid w:val="00076D08"/>
    <w:rsid w:val="00077335"/>
    <w:rsid w:val="000915FE"/>
    <w:rsid w:val="00092C44"/>
    <w:rsid w:val="000A008F"/>
    <w:rsid w:val="000A4D91"/>
    <w:rsid w:val="000C033F"/>
    <w:rsid w:val="000C32BA"/>
    <w:rsid w:val="000C638B"/>
    <w:rsid w:val="000D4FCF"/>
    <w:rsid w:val="000D7C04"/>
    <w:rsid w:val="000E3798"/>
    <w:rsid w:val="000E4084"/>
    <w:rsid w:val="000E7A40"/>
    <w:rsid w:val="00102EA0"/>
    <w:rsid w:val="00123EE6"/>
    <w:rsid w:val="00137DB9"/>
    <w:rsid w:val="001406D6"/>
    <w:rsid w:val="00151E5C"/>
    <w:rsid w:val="00162B9C"/>
    <w:rsid w:val="001A41C6"/>
    <w:rsid w:val="001B04C3"/>
    <w:rsid w:val="001B3121"/>
    <w:rsid w:val="001B625C"/>
    <w:rsid w:val="001C49C2"/>
    <w:rsid w:val="001C733A"/>
    <w:rsid w:val="001D7260"/>
    <w:rsid w:val="001E3E86"/>
    <w:rsid w:val="001F4255"/>
    <w:rsid w:val="001F61E0"/>
    <w:rsid w:val="001F7A31"/>
    <w:rsid w:val="00203154"/>
    <w:rsid w:val="00203C7C"/>
    <w:rsid w:val="00213940"/>
    <w:rsid w:val="0021578E"/>
    <w:rsid w:val="00217CF1"/>
    <w:rsid w:val="00267091"/>
    <w:rsid w:val="00274237"/>
    <w:rsid w:val="00284CF5"/>
    <w:rsid w:val="002A222F"/>
    <w:rsid w:val="002A269B"/>
    <w:rsid w:val="002A5F77"/>
    <w:rsid w:val="002A6650"/>
    <w:rsid w:val="002C328C"/>
    <w:rsid w:val="002C4A9C"/>
    <w:rsid w:val="002E0270"/>
    <w:rsid w:val="002E0EAE"/>
    <w:rsid w:val="002E15EB"/>
    <w:rsid w:val="002E77F9"/>
    <w:rsid w:val="002F054A"/>
    <w:rsid w:val="002F3A63"/>
    <w:rsid w:val="002F73C7"/>
    <w:rsid w:val="00301EFD"/>
    <w:rsid w:val="00306FBD"/>
    <w:rsid w:val="00320742"/>
    <w:rsid w:val="00333934"/>
    <w:rsid w:val="0033436F"/>
    <w:rsid w:val="00341078"/>
    <w:rsid w:val="003458C2"/>
    <w:rsid w:val="00345C15"/>
    <w:rsid w:val="00350917"/>
    <w:rsid w:val="00355FA7"/>
    <w:rsid w:val="003570B9"/>
    <w:rsid w:val="0036078D"/>
    <w:rsid w:val="003608CB"/>
    <w:rsid w:val="00360FC6"/>
    <w:rsid w:val="00362A9F"/>
    <w:rsid w:val="0039195A"/>
    <w:rsid w:val="003953F0"/>
    <w:rsid w:val="003B390A"/>
    <w:rsid w:val="003B49C6"/>
    <w:rsid w:val="003E0473"/>
    <w:rsid w:val="003E0F23"/>
    <w:rsid w:val="003F18FE"/>
    <w:rsid w:val="003F6B1F"/>
    <w:rsid w:val="00404AFE"/>
    <w:rsid w:val="00406A83"/>
    <w:rsid w:val="0041233E"/>
    <w:rsid w:val="00413008"/>
    <w:rsid w:val="00414307"/>
    <w:rsid w:val="0041631D"/>
    <w:rsid w:val="00417113"/>
    <w:rsid w:val="004462F1"/>
    <w:rsid w:val="00462A06"/>
    <w:rsid w:val="00481B60"/>
    <w:rsid w:val="004842DF"/>
    <w:rsid w:val="00485DA0"/>
    <w:rsid w:val="00490414"/>
    <w:rsid w:val="004B2123"/>
    <w:rsid w:val="004B7F2E"/>
    <w:rsid w:val="004E475A"/>
    <w:rsid w:val="004E51AC"/>
    <w:rsid w:val="004F26B9"/>
    <w:rsid w:val="004F5A3D"/>
    <w:rsid w:val="004F635D"/>
    <w:rsid w:val="00507DFA"/>
    <w:rsid w:val="005230E6"/>
    <w:rsid w:val="00527388"/>
    <w:rsid w:val="005415FA"/>
    <w:rsid w:val="00544B5F"/>
    <w:rsid w:val="00544F83"/>
    <w:rsid w:val="00545888"/>
    <w:rsid w:val="00560C2F"/>
    <w:rsid w:val="00570919"/>
    <w:rsid w:val="00595A43"/>
    <w:rsid w:val="005A624D"/>
    <w:rsid w:val="005B1BD3"/>
    <w:rsid w:val="005C71E9"/>
    <w:rsid w:val="005D13F1"/>
    <w:rsid w:val="005E5592"/>
    <w:rsid w:val="005F6DAF"/>
    <w:rsid w:val="006034D0"/>
    <w:rsid w:val="00605653"/>
    <w:rsid w:val="0060716D"/>
    <w:rsid w:val="00620851"/>
    <w:rsid w:val="00633087"/>
    <w:rsid w:val="0063741F"/>
    <w:rsid w:val="006417FD"/>
    <w:rsid w:val="006504D6"/>
    <w:rsid w:val="00652954"/>
    <w:rsid w:val="006566B7"/>
    <w:rsid w:val="00665568"/>
    <w:rsid w:val="006667C1"/>
    <w:rsid w:val="006734CE"/>
    <w:rsid w:val="00677AF0"/>
    <w:rsid w:val="00683B8F"/>
    <w:rsid w:val="0069688D"/>
    <w:rsid w:val="006A1B42"/>
    <w:rsid w:val="006A6663"/>
    <w:rsid w:val="006B0ECD"/>
    <w:rsid w:val="006B0EEC"/>
    <w:rsid w:val="006B4A30"/>
    <w:rsid w:val="006B6AF2"/>
    <w:rsid w:val="006C0BF2"/>
    <w:rsid w:val="006C6249"/>
    <w:rsid w:val="006F3CD1"/>
    <w:rsid w:val="006F46E4"/>
    <w:rsid w:val="006F6057"/>
    <w:rsid w:val="00704D0F"/>
    <w:rsid w:val="0070721F"/>
    <w:rsid w:val="007074FA"/>
    <w:rsid w:val="00712866"/>
    <w:rsid w:val="0072593D"/>
    <w:rsid w:val="007375AD"/>
    <w:rsid w:val="00740163"/>
    <w:rsid w:val="00741B4D"/>
    <w:rsid w:val="00751DA2"/>
    <w:rsid w:val="00756D92"/>
    <w:rsid w:val="00787283"/>
    <w:rsid w:val="00792F3F"/>
    <w:rsid w:val="007B1984"/>
    <w:rsid w:val="007B22C7"/>
    <w:rsid w:val="007C4A64"/>
    <w:rsid w:val="007C5690"/>
    <w:rsid w:val="007D11D7"/>
    <w:rsid w:val="00801F91"/>
    <w:rsid w:val="008029F9"/>
    <w:rsid w:val="00810EA5"/>
    <w:rsid w:val="00820ACE"/>
    <w:rsid w:val="0083573F"/>
    <w:rsid w:val="00845D37"/>
    <w:rsid w:val="00846AB9"/>
    <w:rsid w:val="00850F3C"/>
    <w:rsid w:val="00852090"/>
    <w:rsid w:val="00854AF7"/>
    <w:rsid w:val="0086618F"/>
    <w:rsid w:val="00886BDE"/>
    <w:rsid w:val="00891528"/>
    <w:rsid w:val="008966CB"/>
    <w:rsid w:val="008A3852"/>
    <w:rsid w:val="008A53C1"/>
    <w:rsid w:val="008C7EB7"/>
    <w:rsid w:val="008D0DC5"/>
    <w:rsid w:val="008D6E3F"/>
    <w:rsid w:val="008E194B"/>
    <w:rsid w:val="008E19B5"/>
    <w:rsid w:val="008E57EE"/>
    <w:rsid w:val="00910D5E"/>
    <w:rsid w:val="00915428"/>
    <w:rsid w:val="00916F85"/>
    <w:rsid w:val="00926F82"/>
    <w:rsid w:val="00936938"/>
    <w:rsid w:val="00952425"/>
    <w:rsid w:val="00963CB8"/>
    <w:rsid w:val="00964CA9"/>
    <w:rsid w:val="009857FD"/>
    <w:rsid w:val="00992216"/>
    <w:rsid w:val="009933C0"/>
    <w:rsid w:val="009A5F73"/>
    <w:rsid w:val="009B2061"/>
    <w:rsid w:val="009C1A4E"/>
    <w:rsid w:val="009C6690"/>
    <w:rsid w:val="009D2857"/>
    <w:rsid w:val="00A04E5D"/>
    <w:rsid w:val="00A1170F"/>
    <w:rsid w:val="00A17E43"/>
    <w:rsid w:val="00A21B13"/>
    <w:rsid w:val="00A3473A"/>
    <w:rsid w:val="00A7799C"/>
    <w:rsid w:val="00A91DF3"/>
    <w:rsid w:val="00AA1500"/>
    <w:rsid w:val="00AD30A0"/>
    <w:rsid w:val="00AE69C6"/>
    <w:rsid w:val="00AF0EFA"/>
    <w:rsid w:val="00B04C06"/>
    <w:rsid w:val="00B059FD"/>
    <w:rsid w:val="00B06D48"/>
    <w:rsid w:val="00B13BAC"/>
    <w:rsid w:val="00B204B5"/>
    <w:rsid w:val="00B251F8"/>
    <w:rsid w:val="00B54C39"/>
    <w:rsid w:val="00B62891"/>
    <w:rsid w:val="00B635EF"/>
    <w:rsid w:val="00B66B48"/>
    <w:rsid w:val="00B75BCD"/>
    <w:rsid w:val="00B866B2"/>
    <w:rsid w:val="00B93C59"/>
    <w:rsid w:val="00BD0800"/>
    <w:rsid w:val="00BD37F1"/>
    <w:rsid w:val="00BE1842"/>
    <w:rsid w:val="00C01B31"/>
    <w:rsid w:val="00C479B1"/>
    <w:rsid w:val="00C6364A"/>
    <w:rsid w:val="00C675FF"/>
    <w:rsid w:val="00C711BA"/>
    <w:rsid w:val="00C84F6D"/>
    <w:rsid w:val="00CA1804"/>
    <w:rsid w:val="00CA395A"/>
    <w:rsid w:val="00CA3AFE"/>
    <w:rsid w:val="00CB218C"/>
    <w:rsid w:val="00CC1AA8"/>
    <w:rsid w:val="00CC30FC"/>
    <w:rsid w:val="00CD2C11"/>
    <w:rsid w:val="00CD7504"/>
    <w:rsid w:val="00D00D54"/>
    <w:rsid w:val="00D059E1"/>
    <w:rsid w:val="00D065CC"/>
    <w:rsid w:val="00D15EE3"/>
    <w:rsid w:val="00D217AC"/>
    <w:rsid w:val="00D34BF8"/>
    <w:rsid w:val="00D36855"/>
    <w:rsid w:val="00D36E03"/>
    <w:rsid w:val="00D709C4"/>
    <w:rsid w:val="00D7174F"/>
    <w:rsid w:val="00D80D6F"/>
    <w:rsid w:val="00D833A3"/>
    <w:rsid w:val="00D83D11"/>
    <w:rsid w:val="00DA1320"/>
    <w:rsid w:val="00DB3861"/>
    <w:rsid w:val="00DE39E1"/>
    <w:rsid w:val="00DE7761"/>
    <w:rsid w:val="00DF19C5"/>
    <w:rsid w:val="00DF6A32"/>
    <w:rsid w:val="00E0198F"/>
    <w:rsid w:val="00E10811"/>
    <w:rsid w:val="00E21D52"/>
    <w:rsid w:val="00E25113"/>
    <w:rsid w:val="00E748FB"/>
    <w:rsid w:val="00E800B7"/>
    <w:rsid w:val="00E87DAA"/>
    <w:rsid w:val="00E93C5B"/>
    <w:rsid w:val="00E97EF7"/>
    <w:rsid w:val="00EA2A27"/>
    <w:rsid w:val="00EB344D"/>
    <w:rsid w:val="00EB3F20"/>
    <w:rsid w:val="00EC17D7"/>
    <w:rsid w:val="00EC297A"/>
    <w:rsid w:val="00EE0CDF"/>
    <w:rsid w:val="00EE198F"/>
    <w:rsid w:val="00EF05A9"/>
    <w:rsid w:val="00F04CD1"/>
    <w:rsid w:val="00F06127"/>
    <w:rsid w:val="00F2414E"/>
    <w:rsid w:val="00F248E5"/>
    <w:rsid w:val="00F4112F"/>
    <w:rsid w:val="00F46306"/>
    <w:rsid w:val="00F52DDF"/>
    <w:rsid w:val="00F52EF8"/>
    <w:rsid w:val="00F53D72"/>
    <w:rsid w:val="00F608DC"/>
    <w:rsid w:val="00F77135"/>
    <w:rsid w:val="00F81419"/>
    <w:rsid w:val="00F81F0A"/>
    <w:rsid w:val="00F95B70"/>
    <w:rsid w:val="00FA13DB"/>
    <w:rsid w:val="00FB5DCF"/>
    <w:rsid w:val="00FC24AB"/>
    <w:rsid w:val="00FC49C0"/>
    <w:rsid w:val="00FD3555"/>
    <w:rsid w:val="00FE4364"/>
    <w:rsid w:val="00FF1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AD314"/>
  <w15:docId w15:val="{989E65D3-FA2D-4A70-92A1-2B5212D5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ACABAB" w:themeColor="accent1"/>
        <w:sz w:val="21"/>
        <w:szCs w:val="21"/>
        <w:lang w:val="en-GB" w:eastAsia="en-US" w:bidi="ar-SA"/>
      </w:rPr>
    </w:rPrDefault>
    <w:pPrDefault>
      <w:pPr>
        <w:spacing w:line="300" w:lineRule="exact"/>
      </w:pPr>
    </w:pPrDefault>
  </w:docDefaults>
  <w:latentStyles w:defLockedState="0" w:defUIPriority="99" w:defSemiHidden="0" w:defUnhideWhenUsed="0" w:defQFormat="0" w:count="371">
    <w:lsdException w:name="Normal" w:uiPriority="7"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7"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F53D72"/>
    <w:pPr>
      <w:spacing w:line="280" w:lineRule="exact"/>
    </w:pPr>
    <w:rPr>
      <w:color w:val="6B6B6E" w:themeColor="text2"/>
    </w:rPr>
  </w:style>
  <w:style w:type="paragraph" w:styleId="Heading1">
    <w:name w:val="heading 1"/>
    <w:next w:val="Heading2"/>
    <w:link w:val="Heading1Char"/>
    <w:qFormat/>
    <w:rsid w:val="00F53D72"/>
    <w:pPr>
      <w:numPr>
        <w:numId w:val="25"/>
      </w:numPr>
      <w:spacing w:before="280" w:after="113" w:line="280" w:lineRule="exact"/>
      <w:ind w:right="-1"/>
      <w:outlineLvl w:val="0"/>
    </w:pPr>
    <w:rPr>
      <w:rFonts w:asciiTheme="majorHAnsi" w:eastAsiaTheme="majorEastAsia" w:hAnsiTheme="majorHAnsi" w:cstheme="majorBidi"/>
      <w:b/>
      <w:color w:val="009FE3" w:themeColor="background2"/>
      <w:sz w:val="24"/>
      <w:szCs w:val="26"/>
    </w:rPr>
  </w:style>
  <w:style w:type="paragraph" w:styleId="Heading2">
    <w:name w:val="heading 2"/>
    <w:basedOn w:val="Heading1"/>
    <w:link w:val="Heading2Char"/>
    <w:uiPriority w:val="2"/>
    <w:qFormat/>
    <w:rsid w:val="00F53D72"/>
    <w:pPr>
      <w:numPr>
        <w:ilvl w:val="1"/>
      </w:numPr>
      <w:spacing w:before="0"/>
      <w:ind w:right="0"/>
      <w:jc w:val="both"/>
      <w:outlineLvl w:val="1"/>
    </w:pPr>
    <w:rPr>
      <w:b w:val="0"/>
      <w:color w:val="6B6B6E" w:themeColor="text2"/>
      <w:sz w:val="21"/>
    </w:rPr>
  </w:style>
  <w:style w:type="paragraph" w:styleId="Heading3">
    <w:name w:val="heading 3"/>
    <w:basedOn w:val="Normal"/>
    <w:link w:val="Heading3Char"/>
    <w:uiPriority w:val="2"/>
    <w:qFormat/>
    <w:rsid w:val="00F53D72"/>
    <w:pPr>
      <w:numPr>
        <w:ilvl w:val="2"/>
        <w:numId w:val="25"/>
      </w:numPr>
      <w:spacing w:before="40" w:after="113"/>
      <w:ind w:right="1134"/>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semiHidden/>
    <w:unhideWhenUsed/>
    <w:rsid w:val="00F53D72"/>
    <w:pPr>
      <w:keepNext/>
      <w:keepLines/>
      <w:numPr>
        <w:ilvl w:val="3"/>
        <w:numId w:val="25"/>
      </w:numPr>
      <w:spacing w:before="40"/>
      <w:outlineLvl w:val="3"/>
    </w:pPr>
    <w:rPr>
      <w:rFonts w:asciiTheme="majorHAnsi" w:eastAsiaTheme="majorEastAsia" w:hAnsiTheme="majorHAnsi" w:cstheme="majorBidi"/>
      <w:i/>
      <w:iCs/>
      <w:color w:val="817F7F" w:themeColor="accent1" w:themeShade="BF"/>
    </w:rPr>
  </w:style>
  <w:style w:type="paragraph" w:styleId="Heading5">
    <w:name w:val="heading 5"/>
    <w:basedOn w:val="Normal"/>
    <w:next w:val="Normal"/>
    <w:link w:val="Heading5Char"/>
    <w:uiPriority w:val="9"/>
    <w:semiHidden/>
    <w:unhideWhenUsed/>
    <w:qFormat/>
    <w:rsid w:val="00F53D72"/>
    <w:pPr>
      <w:keepNext/>
      <w:keepLines/>
      <w:numPr>
        <w:ilvl w:val="4"/>
        <w:numId w:val="25"/>
      </w:numPr>
      <w:spacing w:before="40"/>
      <w:outlineLvl w:val="4"/>
    </w:pPr>
    <w:rPr>
      <w:rFonts w:asciiTheme="majorHAnsi" w:eastAsiaTheme="majorEastAsia" w:hAnsiTheme="majorHAnsi" w:cstheme="majorBidi"/>
      <w:color w:val="817F7F" w:themeColor="accent1" w:themeShade="BF"/>
    </w:rPr>
  </w:style>
  <w:style w:type="paragraph" w:styleId="Heading6">
    <w:name w:val="heading 6"/>
    <w:basedOn w:val="Normal"/>
    <w:next w:val="Normal"/>
    <w:link w:val="Heading6Char"/>
    <w:uiPriority w:val="9"/>
    <w:semiHidden/>
    <w:unhideWhenUsed/>
    <w:qFormat/>
    <w:rsid w:val="00F53D72"/>
    <w:pPr>
      <w:keepNext/>
      <w:keepLines/>
      <w:numPr>
        <w:ilvl w:val="5"/>
        <w:numId w:val="25"/>
      </w:numPr>
      <w:spacing w:before="40"/>
      <w:outlineLvl w:val="5"/>
    </w:pPr>
    <w:rPr>
      <w:rFonts w:asciiTheme="majorHAnsi" w:eastAsiaTheme="majorEastAsia" w:hAnsiTheme="majorHAnsi" w:cstheme="majorBidi"/>
      <w:color w:val="555454" w:themeColor="accent1" w:themeShade="7F"/>
    </w:rPr>
  </w:style>
  <w:style w:type="paragraph" w:styleId="Heading7">
    <w:name w:val="heading 7"/>
    <w:basedOn w:val="Normal"/>
    <w:next w:val="Normal"/>
    <w:link w:val="Heading7Char"/>
    <w:uiPriority w:val="9"/>
    <w:semiHidden/>
    <w:unhideWhenUsed/>
    <w:qFormat/>
    <w:rsid w:val="00F53D72"/>
    <w:pPr>
      <w:keepNext/>
      <w:keepLines/>
      <w:numPr>
        <w:ilvl w:val="6"/>
        <w:numId w:val="25"/>
      </w:numPr>
      <w:spacing w:before="40"/>
      <w:outlineLvl w:val="6"/>
    </w:pPr>
    <w:rPr>
      <w:rFonts w:asciiTheme="majorHAnsi" w:eastAsiaTheme="majorEastAsia" w:hAnsiTheme="majorHAnsi" w:cstheme="majorBidi"/>
      <w:i/>
      <w:iCs/>
      <w:color w:val="555454" w:themeColor="accent1" w:themeShade="7F"/>
    </w:rPr>
  </w:style>
  <w:style w:type="paragraph" w:styleId="Heading8">
    <w:name w:val="heading 8"/>
    <w:basedOn w:val="Normal"/>
    <w:next w:val="Normal"/>
    <w:link w:val="Heading8Char"/>
    <w:uiPriority w:val="9"/>
    <w:semiHidden/>
    <w:unhideWhenUsed/>
    <w:qFormat/>
    <w:rsid w:val="00F53D72"/>
    <w:pPr>
      <w:keepNext/>
      <w:keepLines/>
      <w:numPr>
        <w:ilvl w:val="7"/>
        <w:numId w:val="25"/>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F53D72"/>
    <w:pPr>
      <w:keepNext/>
      <w:keepLines/>
      <w:numPr>
        <w:ilvl w:val="8"/>
        <w:numId w:val="25"/>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D72"/>
    <w:pPr>
      <w:tabs>
        <w:tab w:val="center" w:pos="4513"/>
        <w:tab w:val="right" w:pos="9026"/>
      </w:tabs>
      <w:spacing w:line="240" w:lineRule="auto"/>
    </w:pPr>
  </w:style>
  <w:style w:type="character" w:customStyle="1" w:styleId="HeaderChar">
    <w:name w:val="Header Char"/>
    <w:basedOn w:val="DefaultParagraphFont"/>
    <w:link w:val="Header"/>
    <w:uiPriority w:val="99"/>
    <w:rsid w:val="00F53D72"/>
    <w:rPr>
      <w:color w:val="6B6B6E" w:themeColor="text2"/>
    </w:rPr>
  </w:style>
  <w:style w:type="paragraph" w:styleId="Footer">
    <w:name w:val="footer"/>
    <w:basedOn w:val="Normal"/>
    <w:link w:val="FooterChar"/>
    <w:uiPriority w:val="99"/>
    <w:unhideWhenUsed/>
    <w:rsid w:val="00F53D72"/>
    <w:pPr>
      <w:tabs>
        <w:tab w:val="center" w:pos="4513"/>
      </w:tabs>
      <w:spacing w:line="240" w:lineRule="auto"/>
      <w:jc w:val="right"/>
    </w:pPr>
    <w:rPr>
      <w:b/>
      <w:spacing w:val="-4"/>
      <w:sz w:val="14"/>
      <w:szCs w:val="14"/>
    </w:rPr>
  </w:style>
  <w:style w:type="character" w:customStyle="1" w:styleId="FooterChar">
    <w:name w:val="Footer Char"/>
    <w:basedOn w:val="DefaultParagraphFont"/>
    <w:link w:val="Footer"/>
    <w:uiPriority w:val="99"/>
    <w:rsid w:val="00F53D72"/>
    <w:rPr>
      <w:b/>
      <w:color w:val="6B6B6E" w:themeColor="text2"/>
      <w:spacing w:val="-4"/>
      <w:sz w:val="14"/>
      <w:szCs w:val="14"/>
    </w:rPr>
  </w:style>
  <w:style w:type="table" w:styleId="TableGrid">
    <w:name w:val="Table Grid"/>
    <w:basedOn w:val="TableNormal"/>
    <w:uiPriority w:val="59"/>
    <w:unhideWhenUsed/>
    <w:rsid w:val="00F53D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
    <w:qFormat/>
    <w:rsid w:val="00F53D72"/>
    <w:pPr>
      <w:spacing w:after="284"/>
    </w:pPr>
  </w:style>
  <w:style w:type="character" w:customStyle="1" w:styleId="BodyTextChar">
    <w:name w:val="Body Text Char"/>
    <w:basedOn w:val="DefaultParagraphFont"/>
    <w:link w:val="BodyText"/>
    <w:uiPriority w:val="7"/>
    <w:rsid w:val="00F53D72"/>
    <w:rPr>
      <w:color w:val="6B6B6E" w:themeColor="text2"/>
    </w:rPr>
  </w:style>
  <w:style w:type="paragraph" w:customStyle="1" w:styleId="WhiteOutText">
    <w:name w:val="White Out Text"/>
    <w:basedOn w:val="Normal"/>
    <w:uiPriority w:val="9"/>
    <w:rsid w:val="00F53D72"/>
    <w:pPr>
      <w:spacing w:after="113"/>
      <w:ind w:left="357" w:right="329"/>
      <w:jc w:val="both"/>
    </w:pPr>
    <w:rPr>
      <w:color w:val="FFFFFF" w:themeColor="background1"/>
      <w:szCs w:val="22"/>
    </w:rPr>
  </w:style>
  <w:style w:type="character" w:customStyle="1" w:styleId="Heading1Char">
    <w:name w:val="Heading 1 Char"/>
    <w:basedOn w:val="DefaultParagraphFont"/>
    <w:link w:val="Heading1"/>
    <w:rsid w:val="00F53D72"/>
    <w:rPr>
      <w:rFonts w:asciiTheme="majorHAnsi" w:eastAsiaTheme="majorEastAsia" w:hAnsiTheme="majorHAnsi" w:cstheme="majorBidi"/>
      <w:b/>
      <w:color w:val="009FE3" w:themeColor="background2"/>
      <w:sz w:val="24"/>
      <w:szCs w:val="26"/>
    </w:rPr>
  </w:style>
  <w:style w:type="character" w:customStyle="1" w:styleId="Heading2Char">
    <w:name w:val="Heading 2 Char"/>
    <w:basedOn w:val="DefaultParagraphFont"/>
    <w:link w:val="Heading2"/>
    <w:uiPriority w:val="2"/>
    <w:rsid w:val="00F53D72"/>
    <w:rPr>
      <w:rFonts w:asciiTheme="majorHAnsi" w:eastAsiaTheme="majorEastAsia" w:hAnsiTheme="majorHAnsi" w:cstheme="majorBidi"/>
      <w:color w:val="6B6B6E" w:themeColor="text2"/>
      <w:szCs w:val="26"/>
    </w:rPr>
  </w:style>
  <w:style w:type="paragraph" w:styleId="ListParagraph">
    <w:name w:val="List Paragraph"/>
    <w:basedOn w:val="Normal"/>
    <w:uiPriority w:val="1"/>
    <w:qFormat/>
    <w:rsid w:val="00F53D72"/>
    <w:pPr>
      <w:tabs>
        <w:tab w:val="left" w:pos="567"/>
      </w:tabs>
      <w:spacing w:after="113"/>
      <w:ind w:left="567"/>
    </w:pPr>
  </w:style>
  <w:style w:type="paragraph" w:customStyle="1" w:styleId="WhiteOutHeading">
    <w:name w:val="White Out Heading"/>
    <w:basedOn w:val="Normal"/>
    <w:uiPriority w:val="9"/>
    <w:rsid w:val="00F53D72"/>
    <w:pPr>
      <w:spacing w:after="170" w:line="420" w:lineRule="exact"/>
      <w:ind w:left="357" w:right="329"/>
    </w:pPr>
    <w:rPr>
      <w:b/>
      <w:color w:val="FFFFFF" w:themeColor="background1"/>
      <w:sz w:val="36"/>
      <w:szCs w:val="36"/>
    </w:rPr>
  </w:style>
  <w:style w:type="paragraph" w:customStyle="1" w:styleId="Level1Heading">
    <w:name w:val="Level 1 Heading"/>
    <w:basedOn w:val="Normal"/>
    <w:uiPriority w:val="1"/>
    <w:rsid w:val="00F53D72"/>
    <w:pPr>
      <w:spacing w:after="57"/>
    </w:pPr>
    <w:rPr>
      <w:b/>
      <w:color w:val="009FE3" w:themeColor="background2"/>
      <w:sz w:val="24"/>
      <w:szCs w:val="24"/>
    </w:rPr>
  </w:style>
  <w:style w:type="paragraph" w:customStyle="1" w:styleId="Level2Heading">
    <w:name w:val="Level 2 Heading"/>
    <w:basedOn w:val="Level1Heading"/>
    <w:next w:val="Heading2"/>
    <w:uiPriority w:val="1"/>
    <w:qFormat/>
    <w:rsid w:val="00F53D72"/>
    <w:pPr>
      <w:ind w:left="567"/>
    </w:pPr>
    <w:rPr>
      <w:sz w:val="21"/>
      <w:szCs w:val="21"/>
    </w:rPr>
  </w:style>
  <w:style w:type="paragraph" w:customStyle="1" w:styleId="Pg1OrganisationAddressLJ">
    <w:name w:val="Pg 1 Organisation Address LJ"/>
    <w:basedOn w:val="Normal"/>
    <w:uiPriority w:val="9"/>
    <w:rsid w:val="00011621"/>
    <w:rPr>
      <w:caps/>
      <w:color w:val="009FE3" w:themeColor="background2"/>
      <w:sz w:val="22"/>
    </w:rPr>
  </w:style>
  <w:style w:type="paragraph" w:customStyle="1" w:styleId="ZeroLead">
    <w:name w:val="Zero Lead"/>
    <w:basedOn w:val="Normal"/>
    <w:uiPriority w:val="9"/>
    <w:rsid w:val="00F53D72"/>
    <w:pPr>
      <w:spacing w:line="20" w:lineRule="exact"/>
    </w:pPr>
    <w:rPr>
      <w:b/>
      <w:color w:val="000000" w:themeColor="text1"/>
      <w:sz w:val="2"/>
    </w:rPr>
  </w:style>
  <w:style w:type="paragraph" w:customStyle="1" w:styleId="Pg1OrganisationAddressRJ">
    <w:name w:val="Pg 1  Organisation Address RJ"/>
    <w:basedOn w:val="Pg1OrganisationAddressLJ"/>
    <w:uiPriority w:val="9"/>
    <w:rsid w:val="00011621"/>
    <w:pPr>
      <w:spacing w:line="300" w:lineRule="exact"/>
      <w:jc w:val="right"/>
    </w:pPr>
    <w:rPr>
      <w:caps w:val="0"/>
    </w:rPr>
  </w:style>
  <w:style w:type="paragraph" w:customStyle="1" w:styleId="Pg1ProjectName">
    <w:name w:val="Pg 1 Project Name"/>
    <w:basedOn w:val="Normal"/>
    <w:uiPriority w:val="9"/>
    <w:rsid w:val="00333934"/>
    <w:pPr>
      <w:spacing w:line="400" w:lineRule="exact"/>
      <w:jc w:val="right"/>
    </w:pPr>
    <w:rPr>
      <w:caps/>
      <w:sz w:val="40"/>
    </w:rPr>
  </w:style>
  <w:style w:type="paragraph" w:customStyle="1" w:styleId="Pg1ReportName">
    <w:name w:val="Pg 1 Report Name"/>
    <w:basedOn w:val="Normal"/>
    <w:uiPriority w:val="9"/>
    <w:rsid w:val="00712866"/>
    <w:pPr>
      <w:spacing w:line="600" w:lineRule="exact"/>
      <w:jc w:val="right"/>
    </w:pPr>
    <w:rPr>
      <w:b/>
      <w:caps/>
      <w:color w:val="009FE3" w:themeColor="background2"/>
      <w:sz w:val="60"/>
    </w:rPr>
  </w:style>
  <w:style w:type="paragraph" w:customStyle="1" w:styleId="Pg2BoxOutText">
    <w:name w:val="Pg 2 Box Out Text"/>
    <w:basedOn w:val="Normal"/>
    <w:uiPriority w:val="9"/>
    <w:rsid w:val="00FE4364"/>
    <w:pPr>
      <w:framePr w:w="14564" w:h="675" w:hSpace="180" w:wrap="around" w:vAnchor="text" w:hAnchor="page" w:x="1092" w:y="6176"/>
      <w:tabs>
        <w:tab w:val="right" w:pos="4620"/>
      </w:tabs>
      <w:suppressAutoHyphens/>
      <w:spacing w:after="85" w:line="200" w:lineRule="exact"/>
      <w:jc w:val="both"/>
    </w:pPr>
    <w:rPr>
      <w:rFonts w:ascii="Calibri" w:hAnsi="Calibri" w:cs="Calibri"/>
      <w:color w:val="88898D"/>
      <w:spacing w:val="-1"/>
      <w:sz w:val="14"/>
      <w:szCs w:val="14"/>
    </w:rPr>
  </w:style>
  <w:style w:type="character" w:styleId="PageNumber">
    <w:name w:val="page number"/>
    <w:uiPriority w:val="99"/>
    <w:unhideWhenUsed/>
    <w:rsid w:val="00F53D72"/>
    <w:rPr>
      <w:color w:val="009FE3" w:themeColor="background2"/>
    </w:rPr>
  </w:style>
  <w:style w:type="paragraph" w:customStyle="1" w:styleId="IntroParagraph2mmSA">
    <w:name w:val="Intro Paragraph 2mm SA"/>
    <w:basedOn w:val="BodyText"/>
    <w:uiPriority w:val="5"/>
    <w:rsid w:val="005F6DAF"/>
    <w:pPr>
      <w:spacing w:after="113"/>
      <w:jc w:val="both"/>
    </w:pPr>
    <w:rPr>
      <w:b/>
    </w:rPr>
  </w:style>
  <w:style w:type="paragraph" w:customStyle="1" w:styleId="Spacer">
    <w:name w:val="Spacer"/>
    <w:basedOn w:val="Normal"/>
    <w:uiPriority w:val="8"/>
    <w:rsid w:val="00F53D72"/>
    <w:pPr>
      <w:spacing w:after="60"/>
      <w:jc w:val="both"/>
    </w:pPr>
    <w:rPr>
      <w:b/>
    </w:rPr>
  </w:style>
  <w:style w:type="paragraph" w:customStyle="1" w:styleId="IntroParagraph5mmSA">
    <w:name w:val="Intro Paragraph 5mm SA"/>
    <w:basedOn w:val="IntroParagraph2mmSA"/>
    <w:next w:val="Heading2"/>
    <w:uiPriority w:val="5"/>
    <w:rsid w:val="005F6DAF"/>
    <w:pPr>
      <w:spacing w:after="284"/>
    </w:pPr>
  </w:style>
  <w:style w:type="paragraph" w:customStyle="1" w:styleId="Level3Heading">
    <w:name w:val="Level 3 Heading"/>
    <w:basedOn w:val="Level2Heading"/>
    <w:uiPriority w:val="1"/>
    <w:qFormat/>
    <w:rsid w:val="00F53D72"/>
    <w:rPr>
      <w:b w:val="0"/>
      <w:i/>
    </w:rPr>
  </w:style>
  <w:style w:type="paragraph" w:styleId="Caption">
    <w:name w:val="caption"/>
    <w:basedOn w:val="TableCaption"/>
    <w:next w:val="Normal"/>
    <w:link w:val="CaptionChar"/>
    <w:uiPriority w:val="35"/>
    <w:unhideWhenUsed/>
    <w:qFormat/>
    <w:rsid w:val="001A41C6"/>
    <w:pPr>
      <w:keepNext/>
      <w:tabs>
        <w:tab w:val="left" w:pos="5046"/>
      </w:tabs>
      <w:jc w:val="both"/>
    </w:pPr>
  </w:style>
  <w:style w:type="paragraph" w:customStyle="1" w:styleId="TableCaption">
    <w:name w:val="Table Caption"/>
    <w:basedOn w:val="Normal"/>
    <w:link w:val="TableCaptionChar"/>
    <w:uiPriority w:val="7"/>
    <w:rsid w:val="00F53D72"/>
    <w:pPr>
      <w:spacing w:after="113"/>
    </w:pPr>
    <w:rPr>
      <w:color w:val="009FE3" w:themeColor="background2"/>
    </w:rPr>
  </w:style>
  <w:style w:type="paragraph" w:customStyle="1" w:styleId="TableText">
    <w:name w:val="Table Text"/>
    <w:basedOn w:val="Normal"/>
    <w:uiPriority w:val="6"/>
    <w:rsid w:val="00F53D72"/>
    <w:pPr>
      <w:spacing w:line="300" w:lineRule="exact"/>
      <w:ind w:left="238" w:right="80"/>
    </w:pPr>
    <w:rPr>
      <w:szCs w:val="22"/>
    </w:rPr>
  </w:style>
  <w:style w:type="paragraph" w:customStyle="1" w:styleId="TableHeader">
    <w:name w:val="Table Header"/>
    <w:basedOn w:val="TableText"/>
    <w:uiPriority w:val="6"/>
    <w:rsid w:val="00F53D72"/>
    <w:rPr>
      <w:color w:val="009FE3" w:themeColor="background2"/>
    </w:rPr>
  </w:style>
  <w:style w:type="table" w:customStyle="1" w:styleId="GridTable1Light-Accent21">
    <w:name w:val="Grid Table 1 Light - Accent 21"/>
    <w:aliases w:val="New Quod v2"/>
    <w:basedOn w:val="TableNormal"/>
    <w:uiPriority w:val="46"/>
    <w:rsid w:val="00F53D72"/>
    <w:pPr>
      <w:spacing w:line="240" w:lineRule="auto"/>
    </w:pPr>
    <w:tblPr>
      <w:tblStyleRowBandSize w:val="1"/>
      <w:tblStyleColBandSize w:val="1"/>
      <w:tblBorders>
        <w:top w:val="single" w:sz="4" w:space="0" w:color="ACABAB" w:themeColor="accent1"/>
        <w:left w:val="single" w:sz="4" w:space="0" w:color="ACABAB" w:themeColor="accent1"/>
        <w:bottom w:val="single" w:sz="4" w:space="0" w:color="ACABAB" w:themeColor="accent1"/>
        <w:right w:val="single" w:sz="4" w:space="0" w:color="ACABAB" w:themeColor="accent1"/>
        <w:insideH w:val="single" w:sz="4" w:space="0" w:color="ACABAB" w:themeColor="accent1"/>
        <w:insideV w:val="single" w:sz="4" w:space="0" w:color="ACABAB" w:themeColor="accent1"/>
      </w:tblBorders>
      <w:tblCellMar>
        <w:left w:w="0" w:type="dxa"/>
        <w:right w:w="0" w:type="dxa"/>
      </w:tblCellMar>
    </w:tblPr>
    <w:tblStylePr w:type="firstRow">
      <w:rPr>
        <w:b w:val="0"/>
        <w:bCs/>
        <w:color w:val="009FE3" w:themeColor="background2"/>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Bullet">
    <w:name w:val="List Bullet"/>
    <w:basedOn w:val="Normal"/>
    <w:uiPriority w:val="3"/>
    <w:qFormat/>
    <w:rsid w:val="00F53D72"/>
    <w:pPr>
      <w:numPr>
        <w:numId w:val="24"/>
      </w:numPr>
      <w:spacing w:after="113"/>
    </w:pPr>
  </w:style>
  <w:style w:type="paragraph" w:customStyle="1" w:styleId="WhiteTextBlueBoxout">
    <w:name w:val="White Text Blue Boxout"/>
    <w:basedOn w:val="Normal"/>
    <w:uiPriority w:val="5"/>
    <w:rsid w:val="00F53D72"/>
    <w:pPr>
      <w:spacing w:after="113"/>
      <w:ind w:left="357" w:right="329"/>
      <w:jc w:val="both"/>
    </w:pPr>
    <w:rPr>
      <w:color w:val="FFFFFF" w:themeColor="background1"/>
    </w:rPr>
  </w:style>
  <w:style w:type="paragraph" w:customStyle="1" w:styleId="WhiteHeadingBlueBoxout">
    <w:name w:val="White Heading Blue Boxout"/>
    <w:basedOn w:val="Normal"/>
    <w:uiPriority w:val="5"/>
    <w:rsid w:val="00F53D72"/>
    <w:pPr>
      <w:spacing w:after="170" w:line="420" w:lineRule="exact"/>
      <w:ind w:left="357" w:right="329"/>
    </w:pPr>
    <w:rPr>
      <w:b/>
      <w:color w:val="FFFFFF" w:themeColor="background1"/>
      <w:sz w:val="36"/>
      <w:szCs w:val="36"/>
    </w:rPr>
  </w:style>
  <w:style w:type="paragraph" w:customStyle="1" w:styleId="TableBaseSettings">
    <w:name w:val="Table Base Settings"/>
    <w:basedOn w:val="Normal"/>
    <w:uiPriority w:val="9"/>
    <w:rsid w:val="00F53D72"/>
  </w:style>
  <w:style w:type="paragraph" w:customStyle="1" w:styleId="TableTextBaseSettings">
    <w:name w:val="Table Text Base Settings"/>
    <w:basedOn w:val="Normal"/>
    <w:uiPriority w:val="9"/>
    <w:rsid w:val="00F53D72"/>
    <w:pPr>
      <w:spacing w:line="300" w:lineRule="exact"/>
      <w:ind w:left="238" w:right="80"/>
    </w:pPr>
    <w:rPr>
      <w:szCs w:val="22"/>
    </w:rPr>
  </w:style>
  <w:style w:type="numbering" w:customStyle="1" w:styleId="QuodStyleList">
    <w:name w:val="Quod Style List"/>
    <w:uiPriority w:val="99"/>
    <w:rsid w:val="00F53D72"/>
    <w:pPr>
      <w:numPr>
        <w:numId w:val="1"/>
      </w:numPr>
    </w:pPr>
  </w:style>
  <w:style w:type="paragraph" w:customStyle="1" w:styleId="Pg3ContentsHeading">
    <w:name w:val="Pg 3 Contents Heading"/>
    <w:basedOn w:val="Normal"/>
    <w:uiPriority w:val="9"/>
    <w:rsid w:val="00CD2C11"/>
    <w:pPr>
      <w:spacing w:line="420" w:lineRule="exact"/>
    </w:pPr>
    <w:rPr>
      <w:rFonts w:asciiTheme="majorHAnsi" w:hAnsiTheme="majorHAnsi"/>
      <w:b/>
      <w:color w:val="009FE3" w:themeColor="background2"/>
      <w:sz w:val="36"/>
    </w:rPr>
  </w:style>
  <w:style w:type="character" w:customStyle="1" w:styleId="Heading3Char">
    <w:name w:val="Heading 3 Char"/>
    <w:basedOn w:val="DefaultParagraphFont"/>
    <w:link w:val="Heading3"/>
    <w:uiPriority w:val="2"/>
    <w:rsid w:val="00F53D72"/>
    <w:rPr>
      <w:rFonts w:asciiTheme="majorHAnsi" w:eastAsiaTheme="majorEastAsia" w:hAnsiTheme="majorHAnsi" w:cstheme="majorBidi"/>
      <w:color w:val="6B6B6E" w:themeColor="text2"/>
      <w:szCs w:val="24"/>
    </w:rPr>
  </w:style>
  <w:style w:type="character" w:customStyle="1" w:styleId="Heading4Char">
    <w:name w:val="Heading 4 Char"/>
    <w:basedOn w:val="DefaultParagraphFont"/>
    <w:link w:val="Heading4"/>
    <w:uiPriority w:val="9"/>
    <w:semiHidden/>
    <w:rsid w:val="00F53D72"/>
    <w:rPr>
      <w:rFonts w:asciiTheme="majorHAnsi" w:eastAsiaTheme="majorEastAsia" w:hAnsiTheme="majorHAnsi" w:cstheme="majorBidi"/>
      <w:i/>
      <w:iCs/>
      <w:color w:val="817F7F" w:themeColor="accent1" w:themeShade="BF"/>
    </w:rPr>
  </w:style>
  <w:style w:type="character" w:customStyle="1" w:styleId="Heading5Char">
    <w:name w:val="Heading 5 Char"/>
    <w:basedOn w:val="DefaultParagraphFont"/>
    <w:link w:val="Heading5"/>
    <w:uiPriority w:val="9"/>
    <w:semiHidden/>
    <w:rsid w:val="00F53D72"/>
    <w:rPr>
      <w:rFonts w:asciiTheme="majorHAnsi" w:eastAsiaTheme="majorEastAsia" w:hAnsiTheme="majorHAnsi" w:cstheme="majorBidi"/>
      <w:color w:val="817F7F" w:themeColor="accent1" w:themeShade="BF"/>
    </w:rPr>
  </w:style>
  <w:style w:type="character" w:customStyle="1" w:styleId="Heading6Char">
    <w:name w:val="Heading 6 Char"/>
    <w:basedOn w:val="DefaultParagraphFont"/>
    <w:link w:val="Heading6"/>
    <w:uiPriority w:val="9"/>
    <w:semiHidden/>
    <w:rsid w:val="00F53D72"/>
    <w:rPr>
      <w:rFonts w:asciiTheme="majorHAnsi" w:eastAsiaTheme="majorEastAsia" w:hAnsiTheme="majorHAnsi" w:cstheme="majorBidi"/>
      <w:color w:val="555454" w:themeColor="accent1" w:themeShade="7F"/>
    </w:rPr>
  </w:style>
  <w:style w:type="character" w:customStyle="1" w:styleId="Heading7Char">
    <w:name w:val="Heading 7 Char"/>
    <w:basedOn w:val="DefaultParagraphFont"/>
    <w:link w:val="Heading7"/>
    <w:uiPriority w:val="9"/>
    <w:semiHidden/>
    <w:rsid w:val="00F53D72"/>
    <w:rPr>
      <w:rFonts w:asciiTheme="majorHAnsi" w:eastAsiaTheme="majorEastAsia" w:hAnsiTheme="majorHAnsi" w:cstheme="majorBidi"/>
      <w:i/>
      <w:iCs/>
      <w:color w:val="555454" w:themeColor="accent1" w:themeShade="7F"/>
    </w:rPr>
  </w:style>
  <w:style w:type="character" w:customStyle="1" w:styleId="Heading8Char">
    <w:name w:val="Heading 8 Char"/>
    <w:basedOn w:val="DefaultParagraphFont"/>
    <w:link w:val="Heading8"/>
    <w:uiPriority w:val="9"/>
    <w:semiHidden/>
    <w:rsid w:val="00F53D72"/>
    <w:rPr>
      <w:rFonts w:asciiTheme="majorHAnsi" w:eastAsiaTheme="majorEastAsia" w:hAnsiTheme="majorHAnsi" w:cstheme="majorBidi"/>
      <w:color w:val="272727" w:themeColor="text1" w:themeTint="D8"/>
    </w:rPr>
  </w:style>
  <w:style w:type="character" w:customStyle="1" w:styleId="Heading9Char">
    <w:name w:val="Heading 9 Char"/>
    <w:basedOn w:val="DefaultParagraphFont"/>
    <w:link w:val="Heading9"/>
    <w:uiPriority w:val="9"/>
    <w:semiHidden/>
    <w:rsid w:val="00F53D72"/>
    <w:rPr>
      <w:rFonts w:asciiTheme="majorHAnsi" w:eastAsiaTheme="majorEastAsia" w:hAnsiTheme="majorHAnsi" w:cstheme="majorBidi"/>
      <w:i/>
      <w:iCs/>
      <w:color w:val="272727" w:themeColor="text1" w:themeTint="D8"/>
    </w:rPr>
  </w:style>
  <w:style w:type="character" w:customStyle="1" w:styleId="TOC1PageNumber">
    <w:name w:val="TOC 1 Page Number"/>
    <w:basedOn w:val="DefaultParagraphFont"/>
    <w:uiPriority w:val="9"/>
    <w:rsid w:val="00F53D72"/>
    <w:rPr>
      <w:b/>
      <w:noProof/>
      <w:color w:val="009FE3" w:themeColor="background2"/>
    </w:rPr>
  </w:style>
  <w:style w:type="paragraph" w:styleId="TOC1">
    <w:name w:val="toc 1"/>
    <w:basedOn w:val="Normal"/>
    <w:next w:val="Normal"/>
    <w:autoRedefine/>
    <w:uiPriority w:val="39"/>
    <w:unhideWhenUsed/>
    <w:rsid w:val="00F53D72"/>
    <w:pPr>
      <w:spacing w:after="100"/>
    </w:pPr>
    <w:rPr>
      <w:b/>
      <w:color w:val="009FE3" w:themeColor="background2"/>
      <w:sz w:val="22"/>
    </w:rPr>
  </w:style>
  <w:style w:type="paragraph" w:customStyle="1" w:styleId="Picture">
    <w:name w:val="Picture"/>
    <w:basedOn w:val="Normal"/>
    <w:uiPriority w:val="5"/>
    <w:qFormat/>
    <w:rsid w:val="00F53D72"/>
    <w:pPr>
      <w:spacing w:line="240" w:lineRule="auto"/>
    </w:pPr>
  </w:style>
  <w:style w:type="paragraph" w:customStyle="1" w:styleId="Graphicinframe">
    <w:name w:val="Graphic in frame"/>
    <w:basedOn w:val="Normal"/>
    <w:uiPriority w:val="9"/>
    <w:rsid w:val="00F53D72"/>
    <w:pPr>
      <w:framePr w:w="9503" w:h="4655" w:hSpace="181" w:wrap="around" w:vAnchor="text" w:hAnchor="page" w:x="1214" w:y="80"/>
      <w:spacing w:line="240" w:lineRule="auto"/>
    </w:pPr>
  </w:style>
  <w:style w:type="character" w:customStyle="1" w:styleId="TableCaptionChar">
    <w:name w:val="Table Caption Char"/>
    <w:basedOn w:val="DefaultParagraphFont"/>
    <w:link w:val="TableCaption"/>
    <w:uiPriority w:val="7"/>
    <w:rsid w:val="00F53D72"/>
    <w:rPr>
      <w:color w:val="009FE3" w:themeColor="background2"/>
    </w:rPr>
  </w:style>
  <w:style w:type="character" w:customStyle="1" w:styleId="CaptionChar">
    <w:name w:val="Caption Char"/>
    <w:basedOn w:val="TableCaptionChar"/>
    <w:link w:val="Caption"/>
    <w:uiPriority w:val="35"/>
    <w:rsid w:val="001A41C6"/>
    <w:rPr>
      <w:color w:val="009FE3" w:themeColor="background2"/>
    </w:rPr>
  </w:style>
  <w:style w:type="paragraph" w:styleId="Quote">
    <w:name w:val="Quote"/>
    <w:basedOn w:val="Normal"/>
    <w:next w:val="Normal"/>
    <w:link w:val="QuoteChar"/>
    <w:uiPriority w:val="3"/>
    <w:qFormat/>
    <w:rsid w:val="00F53D72"/>
    <w:pPr>
      <w:spacing w:after="284"/>
      <w:ind w:left="567"/>
      <w:jc w:val="both"/>
    </w:pPr>
    <w:rPr>
      <w:i/>
      <w:iCs/>
      <w:color w:val="009FE3" w:themeColor="background2"/>
    </w:rPr>
  </w:style>
  <w:style w:type="character" w:customStyle="1" w:styleId="QuoteChar">
    <w:name w:val="Quote Char"/>
    <w:basedOn w:val="DefaultParagraphFont"/>
    <w:link w:val="Quote"/>
    <w:uiPriority w:val="3"/>
    <w:rsid w:val="00F53D72"/>
    <w:rPr>
      <w:i/>
      <w:iCs/>
      <w:color w:val="009FE3" w:themeColor="background2"/>
    </w:rPr>
  </w:style>
  <w:style w:type="table" w:customStyle="1" w:styleId="QuodBlank">
    <w:name w:val="Quod Blank"/>
    <w:basedOn w:val="TableNormal"/>
    <w:uiPriority w:val="99"/>
    <w:rsid w:val="00F53D72"/>
    <w:pPr>
      <w:spacing w:line="240" w:lineRule="auto"/>
    </w:pPr>
    <w:tblPr>
      <w:tblCellMar>
        <w:left w:w="0" w:type="dxa"/>
        <w:right w:w="0" w:type="dxa"/>
      </w:tblCellMar>
    </w:tblPr>
    <w:tcPr>
      <w:tcMar>
        <w:left w:w="0" w:type="dxa"/>
        <w:right w:w="0" w:type="dxa"/>
      </w:tcMar>
    </w:tcPr>
  </w:style>
  <w:style w:type="paragraph" w:styleId="BalloonText">
    <w:name w:val="Balloon Text"/>
    <w:basedOn w:val="Normal"/>
    <w:link w:val="BalloonTextChar"/>
    <w:uiPriority w:val="99"/>
    <w:semiHidden/>
    <w:unhideWhenUsed/>
    <w:rsid w:val="00F53D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72"/>
    <w:rPr>
      <w:rFonts w:ascii="Segoe UI" w:hAnsi="Segoe UI" w:cs="Segoe UI"/>
      <w:color w:val="6B6B6E" w:themeColor="text2"/>
      <w:sz w:val="18"/>
      <w:szCs w:val="18"/>
    </w:rPr>
  </w:style>
  <w:style w:type="table" w:customStyle="1" w:styleId="QuodTable">
    <w:name w:val="Quod Table"/>
    <w:basedOn w:val="TableNormal"/>
    <w:uiPriority w:val="99"/>
    <w:rsid w:val="000C32BA"/>
    <w:pPr>
      <w:spacing w:line="240" w:lineRule="auto"/>
    </w:pPr>
    <w:rPr>
      <w:color w:val="ACABAB"/>
      <w:szCs w:val="22"/>
    </w:rPr>
    <w:tblPr>
      <w:tblBorders>
        <w:insideH w:val="single" w:sz="4" w:space="0" w:color="ACABAB"/>
        <w:insideV w:val="single" w:sz="2" w:space="0" w:color="ACABAB"/>
      </w:tblBorders>
    </w:tblPr>
    <w:tcPr>
      <w:shd w:val="clear" w:color="auto" w:fill="auto"/>
      <w:tcMar>
        <w:top w:w="45" w:type="dxa"/>
        <w:left w:w="0" w:type="dxa"/>
        <w:bottom w:w="45" w:type="dxa"/>
        <w:right w:w="0" w:type="dxa"/>
      </w:tcMar>
      <w:vAlign w:val="center"/>
    </w:tcPr>
    <w:tblStylePr w:type="firstRow">
      <w:rPr>
        <w:color w:val="009FE3"/>
      </w:rPr>
      <w:tblPr/>
      <w:tcPr>
        <w:tcBorders>
          <w:bottom w:val="single" w:sz="4" w:space="0" w:color="ACABAB"/>
        </w:tcBorders>
        <w:shd w:val="clear" w:color="auto" w:fill="auto"/>
      </w:tcPr>
    </w:tblStylePr>
  </w:style>
  <w:style w:type="paragraph" w:styleId="ListBullet2">
    <w:name w:val="List Bullet 2"/>
    <w:basedOn w:val="ListBullet"/>
    <w:uiPriority w:val="99"/>
    <w:unhideWhenUsed/>
    <w:rsid w:val="00F53D72"/>
    <w:pPr>
      <w:numPr>
        <w:ilvl w:val="1"/>
      </w:numPr>
    </w:pPr>
  </w:style>
  <w:style w:type="paragraph" w:styleId="ListBullet3">
    <w:name w:val="List Bullet 3"/>
    <w:basedOn w:val="ListBullet2"/>
    <w:uiPriority w:val="99"/>
    <w:unhideWhenUsed/>
    <w:rsid w:val="00F53D72"/>
    <w:pPr>
      <w:numPr>
        <w:ilvl w:val="2"/>
      </w:numPr>
    </w:pPr>
  </w:style>
  <w:style w:type="paragraph" w:styleId="ListBullet4">
    <w:name w:val="List Bullet 4"/>
    <w:basedOn w:val="ListBullet3"/>
    <w:uiPriority w:val="99"/>
    <w:unhideWhenUsed/>
    <w:rsid w:val="00F53D72"/>
    <w:pPr>
      <w:numPr>
        <w:ilvl w:val="3"/>
      </w:numPr>
    </w:pPr>
  </w:style>
  <w:style w:type="paragraph" w:styleId="ListBullet5">
    <w:name w:val="List Bullet 5"/>
    <w:basedOn w:val="ListBullet4"/>
    <w:uiPriority w:val="99"/>
    <w:unhideWhenUsed/>
    <w:rsid w:val="00F53D72"/>
    <w:pPr>
      <w:numPr>
        <w:ilvl w:val="4"/>
      </w:numPr>
    </w:pPr>
  </w:style>
  <w:style w:type="numbering" w:customStyle="1" w:styleId="QuodBulletsNew">
    <w:name w:val="Quod Bullets New"/>
    <w:uiPriority w:val="99"/>
    <w:rsid w:val="00F53D72"/>
    <w:pPr>
      <w:numPr>
        <w:numId w:val="3"/>
      </w:numPr>
    </w:pPr>
  </w:style>
  <w:style w:type="character" w:styleId="Hyperlink">
    <w:name w:val="Hyperlink"/>
    <w:basedOn w:val="DefaultParagraphFont"/>
    <w:uiPriority w:val="99"/>
    <w:unhideWhenUsed/>
    <w:rsid w:val="00301EFD"/>
    <w:rPr>
      <w:color w:val="0000FF" w:themeColor="hyperlink"/>
      <w:u w:val="single"/>
    </w:rPr>
  </w:style>
  <w:style w:type="paragraph" w:styleId="TableofFigures">
    <w:name w:val="table of figures"/>
    <w:basedOn w:val="Normal"/>
    <w:next w:val="Normal"/>
    <w:uiPriority w:val="99"/>
    <w:unhideWhenUsed/>
    <w:rsid w:val="00301EFD"/>
    <w:pPr>
      <w:tabs>
        <w:tab w:val="right" w:leader="underscore" w:pos="7088"/>
        <w:tab w:val="right" w:leader="underscore" w:pos="14572"/>
      </w:tabs>
    </w:pPr>
    <w:rPr>
      <w:b/>
      <w:noProof/>
      <w:color w:val="009FE3" w:themeColor="background2"/>
      <w:sz w:val="22"/>
      <w:szCs w:val="22"/>
    </w:rPr>
  </w:style>
  <w:style w:type="paragraph" w:customStyle="1" w:styleId="DocumentTitle">
    <w:name w:val="Document Title"/>
    <w:basedOn w:val="Normal"/>
    <w:uiPriority w:val="9"/>
    <w:rsid w:val="00F53D72"/>
    <w:pPr>
      <w:spacing w:line="420" w:lineRule="exact"/>
    </w:pPr>
    <w:rPr>
      <w:b/>
      <w:caps/>
      <w:color w:val="009FE3" w:themeColor="background2"/>
      <w:sz w:val="36"/>
    </w:rPr>
  </w:style>
  <w:style w:type="paragraph" w:customStyle="1" w:styleId="MemoHeading">
    <w:name w:val="Memo Heading"/>
    <w:basedOn w:val="Normal"/>
    <w:uiPriority w:val="9"/>
    <w:rsid w:val="00F53D72"/>
    <w:pPr>
      <w:spacing w:line="420" w:lineRule="exact"/>
    </w:pPr>
    <w:rPr>
      <w:b/>
      <w:caps/>
      <w:sz w:val="30"/>
    </w:rPr>
  </w:style>
  <w:style w:type="paragraph" w:customStyle="1" w:styleId="BasicParagraph">
    <w:name w:val="[Basic Paragraph]"/>
    <w:basedOn w:val="Normal"/>
    <w:uiPriority w:val="99"/>
    <w:rsid w:val="00F53D72"/>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Action">
    <w:name w:val="Action"/>
    <w:basedOn w:val="DefaultParagraphFont"/>
    <w:uiPriority w:val="4"/>
    <w:rsid w:val="00F53D72"/>
    <w:rPr>
      <w:color w:val="009FE3" w:themeColor="background2"/>
      <w:sz w:val="21"/>
      <w:szCs w:val="21"/>
    </w:rPr>
  </w:style>
  <w:style w:type="paragraph" w:customStyle="1" w:styleId="BlueBoxoutWhiteHeading">
    <w:name w:val="Blue Boxout White Heading"/>
    <w:basedOn w:val="Normal"/>
    <w:uiPriority w:val="9"/>
    <w:rsid w:val="00F53D72"/>
    <w:pPr>
      <w:spacing w:after="170" w:line="420" w:lineRule="exact"/>
      <w:ind w:left="357" w:right="329"/>
    </w:pPr>
    <w:rPr>
      <w:b/>
      <w:color w:val="FFFFFF" w:themeColor="background1"/>
      <w:sz w:val="36"/>
      <w:szCs w:val="36"/>
    </w:rPr>
  </w:style>
  <w:style w:type="paragraph" w:customStyle="1" w:styleId="BlueBoxoutWhiteText">
    <w:name w:val="Blue Boxout White Text"/>
    <w:basedOn w:val="Normal"/>
    <w:uiPriority w:val="9"/>
    <w:rsid w:val="00F53D72"/>
    <w:pPr>
      <w:spacing w:after="113"/>
      <w:ind w:left="357" w:right="329"/>
      <w:jc w:val="both"/>
    </w:pPr>
    <w:rPr>
      <w:color w:val="FFFFFF" w:themeColor="background1"/>
    </w:rPr>
  </w:style>
  <w:style w:type="paragraph" w:customStyle="1" w:styleId="FieldNames">
    <w:name w:val="Field Names"/>
    <w:basedOn w:val="Normal"/>
    <w:uiPriority w:val="9"/>
    <w:rsid w:val="00F53D72"/>
    <w:pPr>
      <w:spacing w:line="320" w:lineRule="exact"/>
    </w:pPr>
    <w:rPr>
      <w:b/>
      <w:caps/>
      <w:color w:val="009FE3" w:themeColor="background2"/>
    </w:rPr>
  </w:style>
  <w:style w:type="paragraph" w:customStyle="1" w:styleId="FieldData">
    <w:name w:val="Field Data"/>
    <w:basedOn w:val="FieldNames"/>
    <w:uiPriority w:val="9"/>
    <w:rsid w:val="00F53D72"/>
    <w:rPr>
      <w:b w:val="0"/>
      <w:caps w:val="0"/>
      <w:color w:val="6B6B6E" w:themeColor="text2"/>
    </w:rPr>
  </w:style>
  <w:style w:type="paragraph" w:customStyle="1" w:styleId="FieldData126">
    <w:name w:val="Field Data (12.6)"/>
    <w:basedOn w:val="FieldData"/>
    <w:uiPriority w:val="9"/>
    <w:rsid w:val="00F53D72"/>
    <w:pPr>
      <w:spacing w:line="252" w:lineRule="exact"/>
    </w:pPr>
  </w:style>
  <w:style w:type="paragraph" w:customStyle="1" w:styleId="IndentedText">
    <w:name w:val="Indented Text"/>
    <w:basedOn w:val="Normal"/>
    <w:uiPriority w:val="4"/>
    <w:rsid w:val="00F53D72"/>
    <w:pPr>
      <w:spacing w:after="284"/>
      <w:ind w:left="567"/>
    </w:pPr>
  </w:style>
  <w:style w:type="paragraph" w:customStyle="1" w:styleId="Signoff">
    <w:name w:val="Signoff"/>
    <w:basedOn w:val="Normal"/>
    <w:uiPriority w:val="8"/>
    <w:rsid w:val="00F53D72"/>
    <w:pPr>
      <w:jc w:val="right"/>
    </w:pPr>
    <w:rPr>
      <w:b/>
      <w:color w:val="009FE3" w:themeColor="background2"/>
    </w:rPr>
  </w:style>
  <w:style w:type="table" w:customStyle="1" w:styleId="QuodTablev5">
    <w:name w:val="Quod Table v5"/>
    <w:basedOn w:val="TableNormal"/>
    <w:uiPriority w:val="99"/>
    <w:rsid w:val="002A269B"/>
    <w:pPr>
      <w:ind w:left="85" w:right="85"/>
      <w:jc w:val="right"/>
    </w:pPr>
    <w:rPr>
      <w:color w:val="ACABAB"/>
    </w:rPr>
    <w:tblPr>
      <w:tblBorders>
        <w:insideH w:val="dotted" w:sz="4" w:space="0" w:color="ACABAB"/>
        <w:insideV w:val="dotted" w:sz="4" w:space="0" w:color="ACABAB"/>
      </w:tblBorders>
      <w:tblCellMar>
        <w:left w:w="0" w:type="dxa"/>
        <w:right w:w="0" w:type="dxa"/>
      </w:tblCellMar>
    </w:tblPr>
    <w:tcPr>
      <w:shd w:val="clear" w:color="auto" w:fill="auto"/>
      <w:tcMar>
        <w:top w:w="45" w:type="dxa"/>
        <w:left w:w="0" w:type="dxa"/>
        <w:bottom w:w="45" w:type="dxa"/>
        <w:right w:w="0" w:type="dxa"/>
      </w:tcMar>
      <w:vAlign w:val="center"/>
    </w:tcPr>
    <w:tblStylePr w:type="firstRow">
      <w:pPr>
        <w:jc w:val="center"/>
      </w:pPr>
      <w:rPr>
        <w:color w:val="009FE3" w:themeColor="background2"/>
      </w:rPr>
      <w:tblPr/>
      <w:tcPr>
        <w:tcBorders>
          <w:top w:val="nil"/>
          <w:left w:val="nil"/>
          <w:bottom w:val="dotted" w:sz="4" w:space="0" w:color="ACABAB"/>
          <w:right w:val="nil"/>
          <w:insideH w:val="nil"/>
          <w:insideV w:val="dotted" w:sz="4" w:space="0" w:color="ACABAB"/>
          <w:tl2br w:val="nil"/>
          <w:tr2bl w:val="nil"/>
        </w:tcBorders>
        <w:shd w:val="clear" w:color="auto" w:fill="auto"/>
      </w:tcPr>
    </w:tblStylePr>
    <w:tblStylePr w:type="lastRow">
      <w:pPr>
        <w:wordWrap/>
        <w:ind w:leftChars="0" w:left="0" w:rightChars="0" w:right="0"/>
      </w:pPr>
      <w:rPr>
        <w:b/>
      </w:rPr>
    </w:tblStylePr>
    <w:tblStylePr w:type="firstCol">
      <w:pPr>
        <w:wordWrap/>
        <w:ind w:leftChars="0" w:left="85" w:rightChars="0" w:right="85"/>
        <w:jc w:val="left"/>
      </w:pPr>
      <w:rPr>
        <w:color w:val="009FE3" w:themeColor="background2"/>
      </w:rPr>
    </w:tblStylePr>
    <w:tblStylePr w:type="neCell">
      <w:pPr>
        <w:jc w:val="left"/>
      </w:pPr>
    </w:tblStylePr>
    <w:tblStylePr w:type="nwCell">
      <w:pPr>
        <w:jc w:val="left"/>
      </w:pPr>
    </w:tblStylePr>
  </w:style>
  <w:style w:type="paragraph" w:customStyle="1" w:styleId="TableParagraph">
    <w:name w:val="Table Paragraph"/>
    <w:basedOn w:val="Normal"/>
    <w:uiPriority w:val="1"/>
    <w:qFormat/>
    <w:rsid w:val="00820ACE"/>
    <w:pPr>
      <w:widowControl w:val="0"/>
      <w:autoSpaceDE w:val="0"/>
      <w:autoSpaceDN w:val="0"/>
      <w:spacing w:line="240" w:lineRule="auto"/>
      <w:ind w:left="103"/>
    </w:pPr>
    <w:rPr>
      <w:rFonts w:ascii="Calibri" w:eastAsia="Calibri" w:hAnsi="Calibri" w:cs="Calibri"/>
      <w:color w:val="auto"/>
      <w:sz w:val="22"/>
      <w:szCs w:val="22"/>
      <w:lang w:val="en-US"/>
    </w:rPr>
  </w:style>
  <w:style w:type="character" w:styleId="CommentReference">
    <w:name w:val="annotation reference"/>
    <w:basedOn w:val="DefaultParagraphFont"/>
    <w:uiPriority w:val="99"/>
    <w:semiHidden/>
    <w:unhideWhenUsed/>
    <w:rsid w:val="00EB344D"/>
    <w:rPr>
      <w:sz w:val="16"/>
      <w:szCs w:val="16"/>
    </w:rPr>
  </w:style>
  <w:style w:type="paragraph" w:styleId="CommentText">
    <w:name w:val="annotation text"/>
    <w:basedOn w:val="Normal"/>
    <w:link w:val="CommentTextChar"/>
    <w:uiPriority w:val="99"/>
    <w:semiHidden/>
    <w:unhideWhenUsed/>
    <w:rsid w:val="00EB344D"/>
    <w:pPr>
      <w:spacing w:line="240" w:lineRule="auto"/>
    </w:pPr>
    <w:rPr>
      <w:sz w:val="20"/>
      <w:szCs w:val="20"/>
    </w:rPr>
  </w:style>
  <w:style w:type="character" w:customStyle="1" w:styleId="CommentTextChar">
    <w:name w:val="Comment Text Char"/>
    <w:basedOn w:val="DefaultParagraphFont"/>
    <w:link w:val="CommentText"/>
    <w:uiPriority w:val="99"/>
    <w:semiHidden/>
    <w:rsid w:val="00EB344D"/>
    <w:rPr>
      <w:color w:val="6B6B6E" w:themeColor="text2"/>
      <w:sz w:val="20"/>
      <w:szCs w:val="20"/>
    </w:rPr>
  </w:style>
  <w:style w:type="paragraph" w:styleId="CommentSubject">
    <w:name w:val="annotation subject"/>
    <w:basedOn w:val="CommentText"/>
    <w:next w:val="CommentText"/>
    <w:link w:val="CommentSubjectChar"/>
    <w:uiPriority w:val="99"/>
    <w:semiHidden/>
    <w:unhideWhenUsed/>
    <w:rsid w:val="00EB344D"/>
    <w:rPr>
      <w:b/>
      <w:bCs/>
    </w:rPr>
  </w:style>
  <w:style w:type="character" w:customStyle="1" w:styleId="CommentSubjectChar">
    <w:name w:val="Comment Subject Char"/>
    <w:basedOn w:val="CommentTextChar"/>
    <w:link w:val="CommentSubject"/>
    <w:uiPriority w:val="99"/>
    <w:semiHidden/>
    <w:rsid w:val="00EB344D"/>
    <w:rPr>
      <w:b/>
      <w:bCs/>
      <w:color w:val="6B6B6E"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3044">
      <w:bodyDiv w:val="1"/>
      <w:marLeft w:val="0"/>
      <w:marRight w:val="0"/>
      <w:marTop w:val="0"/>
      <w:marBottom w:val="0"/>
      <w:divBdr>
        <w:top w:val="none" w:sz="0" w:space="0" w:color="auto"/>
        <w:left w:val="none" w:sz="0" w:space="0" w:color="auto"/>
        <w:bottom w:val="none" w:sz="0" w:space="0" w:color="auto"/>
        <w:right w:val="none" w:sz="0" w:space="0" w:color="auto"/>
      </w:divBdr>
    </w:div>
    <w:div w:id="479003856">
      <w:bodyDiv w:val="1"/>
      <w:marLeft w:val="0"/>
      <w:marRight w:val="0"/>
      <w:marTop w:val="0"/>
      <w:marBottom w:val="0"/>
      <w:divBdr>
        <w:top w:val="none" w:sz="0" w:space="0" w:color="auto"/>
        <w:left w:val="none" w:sz="0" w:space="0" w:color="auto"/>
        <w:bottom w:val="none" w:sz="0" w:space="0" w:color="auto"/>
        <w:right w:val="none" w:sz="0" w:space="0" w:color="auto"/>
      </w:divBdr>
    </w:div>
    <w:div w:id="175331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uod_Blank_Landscape_v5.dotx" TargetMode="External"/></Relationships>
</file>

<file path=word/theme/theme1.xml><?xml version="1.0" encoding="utf-8"?>
<a:theme xmlns:a="http://schemas.openxmlformats.org/drawingml/2006/main" name="Office Theme">
  <a:themeElements>
    <a:clrScheme name="Quod_v2_02_2018">
      <a:dk1>
        <a:sysClr val="windowText" lastClr="000000"/>
      </a:dk1>
      <a:lt1>
        <a:sysClr val="window" lastClr="FFFFFF"/>
      </a:lt1>
      <a:dk2>
        <a:srgbClr val="6B6B6E"/>
      </a:dk2>
      <a:lt2>
        <a:srgbClr val="009FE3"/>
      </a:lt2>
      <a:accent1>
        <a:srgbClr val="ACABA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Quod_Calibri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
          <a:solidFill>
            <a:schemeClr val="accent1">
              <a:shade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670F6-E4B7-4F57-8EE2-F1810255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Quod_Blank_Landscape_v5</Template>
  <TotalTime>5</TotalTime>
  <Pages>5</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Rodger1</dc:creator>
  <cp:lastModifiedBy>Helen Rodger1</cp:lastModifiedBy>
  <cp:revision>3</cp:revision>
  <cp:lastPrinted>2018-09-12T13:46:00Z</cp:lastPrinted>
  <dcterms:created xsi:type="dcterms:W3CDTF">2018-09-17T08:21:00Z</dcterms:created>
  <dcterms:modified xsi:type="dcterms:W3CDTF">2018-09-20T10:17:00Z</dcterms:modified>
</cp:coreProperties>
</file>