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9CF" w:rsidRPr="00A25D68" w:rsidRDefault="00E8522C" w:rsidP="00A25D68">
      <w:pPr>
        <w:numPr>
          <w:ilvl w:val="0"/>
          <w:numId w:val="2"/>
        </w:numPr>
        <w:tabs>
          <w:tab w:val="clear" w:pos="360"/>
        </w:tabs>
        <w:ind w:left="567" w:hanging="567"/>
        <w:jc w:val="both"/>
        <w:rPr>
          <w:rFonts w:ascii="Arial" w:hAnsi="Arial" w:cs="Arial"/>
          <w:b/>
        </w:rPr>
      </w:pPr>
      <w:r w:rsidRPr="00A25D68">
        <w:rPr>
          <w:rFonts w:ascii="Arial" w:hAnsi="Arial" w:cs="Arial"/>
          <w:b/>
        </w:rPr>
        <w:t xml:space="preserve">Application </w:t>
      </w:r>
      <w:r w:rsidR="00E34DE8" w:rsidRPr="00A25D68">
        <w:rPr>
          <w:rFonts w:ascii="Arial" w:hAnsi="Arial" w:cs="Arial"/>
          <w:b/>
        </w:rPr>
        <w:t xml:space="preserve">Site </w:t>
      </w:r>
      <w:r w:rsidRPr="00A25D68">
        <w:rPr>
          <w:rFonts w:ascii="Arial" w:hAnsi="Arial" w:cs="Arial"/>
          <w:b/>
        </w:rPr>
        <w:t xml:space="preserve">and Locality </w:t>
      </w:r>
    </w:p>
    <w:p w:rsidR="00D649CF" w:rsidRPr="00A25D68" w:rsidRDefault="00D649CF" w:rsidP="00A25D68">
      <w:pPr>
        <w:ind w:left="360"/>
        <w:jc w:val="both"/>
        <w:rPr>
          <w:rFonts w:ascii="Arial" w:hAnsi="Arial" w:cs="Arial"/>
          <w:b/>
        </w:rPr>
      </w:pPr>
    </w:p>
    <w:p w:rsidR="00372437" w:rsidRPr="00A25D68" w:rsidRDefault="00372437" w:rsidP="00A25D68">
      <w:pPr>
        <w:numPr>
          <w:ilvl w:val="1"/>
          <w:numId w:val="4"/>
        </w:numPr>
        <w:spacing w:after="240"/>
        <w:ind w:left="567" w:hanging="567"/>
        <w:jc w:val="both"/>
        <w:rPr>
          <w:rFonts w:ascii="Arial" w:hAnsi="Arial" w:cs="Arial"/>
        </w:rPr>
      </w:pPr>
      <w:r w:rsidRPr="00A25D68">
        <w:rPr>
          <w:rFonts w:ascii="Arial" w:hAnsi="Arial" w:cs="Arial"/>
        </w:rPr>
        <w:t xml:space="preserve">The application site for this proposal is part of the former RAF/USAF Upper Heyford base, with Camp Road being the main spine road running through it. The base was designated a conservation area in 2006 due to its role during the cold war. The designation acknowledges the special architectural interest and character which it is desirable to preserve or enhance. The designation also provides the context and framework to ensure the setting and appearance of sections of Cold War landscape is preserved. </w:t>
      </w:r>
    </w:p>
    <w:p w:rsidR="00372437" w:rsidRPr="00A25D68" w:rsidRDefault="00372437" w:rsidP="00A25D68">
      <w:pPr>
        <w:numPr>
          <w:ilvl w:val="1"/>
          <w:numId w:val="4"/>
        </w:numPr>
        <w:spacing w:after="240"/>
        <w:ind w:left="567" w:hanging="567"/>
        <w:jc w:val="both"/>
        <w:rPr>
          <w:rFonts w:ascii="Arial" w:hAnsi="Arial" w:cs="Arial"/>
        </w:rPr>
      </w:pPr>
      <w:r w:rsidRPr="00A25D68">
        <w:rPr>
          <w:rFonts w:ascii="Arial" w:hAnsi="Arial" w:cs="Arial"/>
        </w:rPr>
        <w:t xml:space="preserve">An outline application that proposed: “A new settlement of 1075 dwellings, together with associated works and facilities including employment uses, community uses, school, playing fields and other physical and social infrastructure (as amended by plans and information received 26.06.08)”, was granted in 2010 following a major public inquiry. Development has commenced on the initial houses of this application. </w:t>
      </w:r>
    </w:p>
    <w:p w:rsidR="00E34DE8" w:rsidRPr="006A1485" w:rsidRDefault="002B132E" w:rsidP="00A25D68">
      <w:pPr>
        <w:numPr>
          <w:ilvl w:val="1"/>
          <w:numId w:val="4"/>
        </w:numPr>
        <w:spacing w:after="240"/>
        <w:ind w:left="567" w:hanging="567"/>
        <w:jc w:val="both"/>
        <w:rPr>
          <w:rFonts w:ascii="Arial" w:hAnsi="Arial" w:cs="Arial"/>
          <w:b/>
        </w:rPr>
      </w:pPr>
      <w:r w:rsidRPr="006A1485">
        <w:rPr>
          <w:rFonts w:ascii="Arial" w:hAnsi="Arial" w:cs="Arial"/>
        </w:rPr>
        <w:t>The application site contains two sections of blast wall associated with Building 123</w:t>
      </w:r>
      <w:r w:rsidR="00372437" w:rsidRPr="006A1485">
        <w:rPr>
          <w:rFonts w:ascii="Arial" w:hAnsi="Arial" w:cs="Arial"/>
        </w:rPr>
        <w:t xml:space="preserve">. </w:t>
      </w:r>
      <w:r w:rsidR="00A46562" w:rsidRPr="006A1485">
        <w:rPr>
          <w:rFonts w:ascii="Arial" w:hAnsi="Arial" w:cs="Arial"/>
        </w:rPr>
        <w:t>Building 123 was constructed post WWII during the USAF occupancy of the military base</w:t>
      </w:r>
      <w:r w:rsidR="00372437" w:rsidRPr="006A1485">
        <w:rPr>
          <w:rFonts w:ascii="Arial" w:hAnsi="Arial" w:cs="Arial"/>
        </w:rPr>
        <w:t xml:space="preserve">. </w:t>
      </w:r>
    </w:p>
    <w:p w:rsidR="006A1485" w:rsidRPr="00207FFC" w:rsidRDefault="006A1485" w:rsidP="00A25D68">
      <w:pPr>
        <w:numPr>
          <w:ilvl w:val="1"/>
          <w:numId w:val="4"/>
        </w:numPr>
        <w:spacing w:after="240"/>
        <w:ind w:left="567" w:hanging="567"/>
        <w:jc w:val="both"/>
        <w:rPr>
          <w:rFonts w:ascii="Arial" w:hAnsi="Arial" w:cs="Arial"/>
          <w:b/>
        </w:rPr>
      </w:pPr>
      <w:r>
        <w:rPr>
          <w:rFonts w:ascii="Arial" w:hAnsi="Arial" w:cs="Arial"/>
        </w:rPr>
        <w:t>The site is located within the RAF Upper Heyford Conservation Area and is near to the locally listed buildings of ‘Building 345’ and ‘Building 125’</w:t>
      </w:r>
      <w:r w:rsidR="003025FB">
        <w:rPr>
          <w:rFonts w:ascii="Arial" w:hAnsi="Arial" w:cs="Arial"/>
        </w:rPr>
        <w:t>. In addition</w:t>
      </w:r>
      <w:r>
        <w:rPr>
          <w:rFonts w:ascii="Arial" w:hAnsi="Arial" w:cs="Arial"/>
        </w:rPr>
        <w:t xml:space="preserve">, </w:t>
      </w:r>
      <w:r w:rsidR="003025FB">
        <w:rPr>
          <w:rFonts w:ascii="Arial" w:hAnsi="Arial" w:cs="Arial"/>
        </w:rPr>
        <w:t xml:space="preserve">the site is located near </w:t>
      </w:r>
      <w:r>
        <w:rPr>
          <w:rFonts w:ascii="Arial" w:hAnsi="Arial" w:cs="Arial"/>
        </w:rPr>
        <w:t xml:space="preserve">two </w:t>
      </w:r>
      <w:r w:rsidR="003025FB">
        <w:rPr>
          <w:rFonts w:ascii="Arial" w:hAnsi="Arial" w:cs="Arial"/>
        </w:rPr>
        <w:t>Scheduled Monuments (‘</w:t>
      </w:r>
      <w:r w:rsidRPr="003025FB">
        <w:rPr>
          <w:rFonts w:ascii="Arial" w:hAnsi="Arial" w:cs="Arial"/>
        </w:rPr>
        <w:t>Cold War structures at the former Upper Heyford Airbase</w:t>
      </w:r>
      <w:r w:rsidR="003025FB">
        <w:rPr>
          <w:rFonts w:ascii="Arial" w:hAnsi="Arial" w:cs="Arial"/>
        </w:rPr>
        <w:t>’).</w:t>
      </w:r>
    </w:p>
    <w:p w:rsidR="00055B98" w:rsidRPr="00A25D68" w:rsidRDefault="00E8522C" w:rsidP="00A25D68">
      <w:pPr>
        <w:numPr>
          <w:ilvl w:val="0"/>
          <w:numId w:val="2"/>
        </w:numPr>
        <w:tabs>
          <w:tab w:val="clear" w:pos="360"/>
          <w:tab w:val="num" w:pos="567"/>
          <w:tab w:val="left" w:pos="6480"/>
        </w:tabs>
        <w:spacing w:after="240"/>
        <w:ind w:left="567" w:hanging="567"/>
        <w:jc w:val="both"/>
        <w:rPr>
          <w:rFonts w:ascii="Arial" w:hAnsi="Arial" w:cs="Arial"/>
          <w:b/>
        </w:rPr>
      </w:pPr>
      <w:r w:rsidRPr="00A25D68">
        <w:rPr>
          <w:rFonts w:ascii="Arial" w:hAnsi="Arial" w:cs="Arial"/>
          <w:b/>
        </w:rPr>
        <w:t>Description of Proposed Development</w:t>
      </w:r>
    </w:p>
    <w:p w:rsidR="00372437" w:rsidRDefault="008A5253" w:rsidP="00A25D68">
      <w:pPr>
        <w:numPr>
          <w:ilvl w:val="1"/>
          <w:numId w:val="5"/>
        </w:numPr>
        <w:spacing w:after="240"/>
        <w:ind w:left="567" w:hanging="563"/>
        <w:jc w:val="both"/>
        <w:rPr>
          <w:rFonts w:ascii="Arial" w:hAnsi="Arial" w:cs="Arial"/>
        </w:rPr>
      </w:pPr>
      <w:r>
        <w:rPr>
          <w:rFonts w:ascii="Arial" w:hAnsi="Arial" w:cs="Arial"/>
        </w:rPr>
        <w:t>The application seeks permission for the demolition of the</w:t>
      </w:r>
      <w:r w:rsidR="00B45567">
        <w:rPr>
          <w:rFonts w:ascii="Arial" w:hAnsi="Arial" w:cs="Arial"/>
        </w:rPr>
        <w:t xml:space="preserve"> blast wall</w:t>
      </w:r>
      <w:r w:rsidR="00207FFC">
        <w:rPr>
          <w:rFonts w:ascii="Arial" w:hAnsi="Arial" w:cs="Arial"/>
        </w:rPr>
        <w:t>s associated with Building 123. The demolition is to enable the construction of the agreed cat and dog fence</w:t>
      </w:r>
      <w:r w:rsidR="004911A6">
        <w:rPr>
          <w:rFonts w:ascii="Arial" w:hAnsi="Arial" w:cs="Arial"/>
        </w:rPr>
        <w:t>,</w:t>
      </w:r>
      <w:r w:rsidR="00207FFC">
        <w:rPr>
          <w:rFonts w:ascii="Arial" w:hAnsi="Arial" w:cs="Arial"/>
        </w:rPr>
        <w:t xml:space="preserve"> provide necessary parking associated with the consented use of the building</w:t>
      </w:r>
      <w:r w:rsidR="004911A6">
        <w:rPr>
          <w:rFonts w:ascii="Arial" w:hAnsi="Arial" w:cs="Arial"/>
        </w:rPr>
        <w:t>,</w:t>
      </w:r>
      <w:r w:rsidR="00207FFC">
        <w:rPr>
          <w:rFonts w:ascii="Arial" w:hAnsi="Arial" w:cs="Arial"/>
        </w:rPr>
        <w:t xml:space="preserve"> and to improve the overall appearance of the area. </w:t>
      </w:r>
    </w:p>
    <w:p w:rsidR="00E51C4D" w:rsidRPr="00A25D68" w:rsidRDefault="00E51C4D" w:rsidP="00A25D68">
      <w:pPr>
        <w:numPr>
          <w:ilvl w:val="0"/>
          <w:numId w:val="2"/>
        </w:numPr>
        <w:tabs>
          <w:tab w:val="clear" w:pos="360"/>
          <w:tab w:val="num" w:pos="567"/>
          <w:tab w:val="left" w:pos="6480"/>
        </w:tabs>
        <w:ind w:left="0" w:firstLine="0"/>
        <w:jc w:val="both"/>
        <w:rPr>
          <w:rFonts w:ascii="Arial" w:hAnsi="Arial" w:cs="Arial"/>
          <w:b/>
        </w:rPr>
      </w:pPr>
      <w:r w:rsidRPr="00A25D68">
        <w:rPr>
          <w:rFonts w:ascii="Arial" w:hAnsi="Arial" w:cs="Arial"/>
          <w:b/>
        </w:rPr>
        <w:t>Relevant Planning History</w:t>
      </w:r>
    </w:p>
    <w:p w:rsidR="000052C9" w:rsidRPr="00A25D68" w:rsidRDefault="000052C9" w:rsidP="00A25D68">
      <w:pPr>
        <w:tabs>
          <w:tab w:val="left" w:pos="6480"/>
        </w:tabs>
        <w:ind w:left="567"/>
        <w:jc w:val="both"/>
        <w:rPr>
          <w:rFonts w:ascii="Arial" w:hAnsi="Arial" w:cs="Arial"/>
          <w:b/>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5103"/>
        <w:gridCol w:w="1276"/>
      </w:tblGrid>
      <w:tr w:rsidR="00A25D68" w:rsidRPr="00A25D68" w:rsidTr="00A25D68">
        <w:trPr>
          <w:trHeight w:hRule="exact" w:val="340"/>
        </w:trPr>
        <w:tc>
          <w:tcPr>
            <w:tcW w:w="1951" w:type="dxa"/>
          </w:tcPr>
          <w:p w:rsidR="00A47884" w:rsidRPr="00A25D68" w:rsidRDefault="00A47884" w:rsidP="00A25D68">
            <w:pPr>
              <w:tabs>
                <w:tab w:val="left" w:pos="6480"/>
              </w:tabs>
              <w:jc w:val="both"/>
              <w:rPr>
                <w:rFonts w:ascii="Arial" w:hAnsi="Arial" w:cs="Arial"/>
                <w:u w:val="single"/>
                <w:lang w:eastAsia="en-US"/>
              </w:rPr>
            </w:pPr>
            <w:r w:rsidRPr="00A25D68">
              <w:rPr>
                <w:rFonts w:ascii="Arial" w:hAnsi="Arial" w:cs="Arial"/>
                <w:u w:val="single"/>
                <w:lang w:eastAsia="en-US"/>
              </w:rPr>
              <w:t>App Ref</w:t>
            </w:r>
          </w:p>
        </w:tc>
        <w:tc>
          <w:tcPr>
            <w:tcW w:w="5103" w:type="dxa"/>
          </w:tcPr>
          <w:p w:rsidR="00A47884" w:rsidRPr="00A25D68" w:rsidRDefault="00A47884" w:rsidP="00A25D68">
            <w:pPr>
              <w:tabs>
                <w:tab w:val="left" w:pos="6480"/>
              </w:tabs>
              <w:jc w:val="both"/>
              <w:rPr>
                <w:rFonts w:ascii="Arial" w:hAnsi="Arial" w:cs="Arial"/>
                <w:u w:val="single"/>
                <w:lang w:eastAsia="en-US"/>
              </w:rPr>
            </w:pPr>
            <w:r w:rsidRPr="00A25D68">
              <w:rPr>
                <w:rFonts w:ascii="Arial" w:hAnsi="Arial" w:cs="Arial"/>
                <w:u w:val="single"/>
                <w:lang w:eastAsia="en-US"/>
              </w:rPr>
              <w:t>Description</w:t>
            </w:r>
          </w:p>
        </w:tc>
        <w:tc>
          <w:tcPr>
            <w:tcW w:w="1276" w:type="dxa"/>
          </w:tcPr>
          <w:p w:rsidR="00A47884" w:rsidRPr="00A25D68" w:rsidRDefault="00A47884" w:rsidP="00A25D68">
            <w:pPr>
              <w:tabs>
                <w:tab w:val="left" w:pos="6480"/>
              </w:tabs>
              <w:jc w:val="both"/>
              <w:rPr>
                <w:rFonts w:ascii="Arial" w:hAnsi="Arial" w:cs="Arial"/>
                <w:u w:val="single"/>
                <w:lang w:eastAsia="en-US"/>
              </w:rPr>
            </w:pPr>
            <w:r w:rsidRPr="00A25D68">
              <w:rPr>
                <w:rFonts w:ascii="Arial" w:hAnsi="Arial" w:cs="Arial"/>
                <w:u w:val="single"/>
                <w:lang w:eastAsia="en-US"/>
              </w:rPr>
              <w:t>Status</w:t>
            </w:r>
          </w:p>
        </w:tc>
      </w:tr>
      <w:tr w:rsidR="00A25D68" w:rsidRPr="00A25D68" w:rsidTr="00A25D68">
        <w:trPr>
          <w:trHeight w:val="284"/>
        </w:trPr>
        <w:tc>
          <w:tcPr>
            <w:tcW w:w="1951" w:type="dxa"/>
          </w:tcPr>
          <w:p w:rsidR="00A47884" w:rsidRPr="00A25D68" w:rsidRDefault="00A47884" w:rsidP="00A25D68">
            <w:pPr>
              <w:tabs>
                <w:tab w:val="left" w:pos="6480"/>
              </w:tabs>
              <w:jc w:val="both"/>
              <w:rPr>
                <w:rFonts w:ascii="Arial" w:hAnsi="Arial" w:cs="Arial"/>
                <w:b/>
              </w:rPr>
            </w:pPr>
            <w:r w:rsidRPr="00A25D68">
              <w:rPr>
                <w:rFonts w:ascii="Arial" w:hAnsi="Arial" w:cs="Arial"/>
                <w:lang w:eastAsia="en-US"/>
              </w:rPr>
              <w:t>07/02291/OUT</w:t>
            </w:r>
          </w:p>
        </w:tc>
        <w:tc>
          <w:tcPr>
            <w:tcW w:w="5103" w:type="dxa"/>
          </w:tcPr>
          <w:p w:rsidR="00A47884" w:rsidRPr="00A25D68" w:rsidRDefault="00A47884" w:rsidP="00A25D68">
            <w:pPr>
              <w:tabs>
                <w:tab w:val="left" w:pos="6480"/>
              </w:tabs>
              <w:jc w:val="both"/>
              <w:rPr>
                <w:rFonts w:ascii="Arial" w:hAnsi="Arial" w:cs="Arial"/>
                <w:b/>
              </w:rPr>
            </w:pPr>
            <w:r w:rsidRPr="00A25D68">
              <w:rPr>
                <w:rFonts w:ascii="Arial" w:hAnsi="Arial" w:cs="Arial"/>
                <w:lang w:eastAsia="en-US"/>
              </w:rPr>
              <w:t xml:space="preserve">OUTLINE application for new settlement of 1075 dwellings, together with associated works and facilities including employment </w:t>
            </w:r>
            <w:r w:rsidRPr="00A25D68">
              <w:rPr>
                <w:rFonts w:ascii="Arial" w:hAnsi="Arial" w:cs="Arial"/>
                <w:lang w:eastAsia="en-US"/>
              </w:rPr>
              <w:lastRenderedPageBreak/>
              <w:t>uses, community uses, school, playing fields and other physical and social infrastructure.</w:t>
            </w:r>
          </w:p>
        </w:tc>
        <w:tc>
          <w:tcPr>
            <w:tcW w:w="1276" w:type="dxa"/>
          </w:tcPr>
          <w:p w:rsidR="00A47884" w:rsidRPr="00A25D68" w:rsidRDefault="00A47884" w:rsidP="00A25D68">
            <w:pPr>
              <w:tabs>
                <w:tab w:val="left" w:pos="6480"/>
              </w:tabs>
              <w:jc w:val="both"/>
              <w:rPr>
                <w:rFonts w:ascii="Arial" w:hAnsi="Arial" w:cs="Arial"/>
                <w:b/>
              </w:rPr>
            </w:pPr>
            <w:r w:rsidRPr="00A25D68">
              <w:rPr>
                <w:rFonts w:ascii="Arial" w:hAnsi="Arial" w:cs="Arial"/>
                <w:lang w:eastAsia="en-US"/>
              </w:rPr>
              <w:lastRenderedPageBreak/>
              <w:t>WDN</w:t>
            </w:r>
          </w:p>
        </w:tc>
      </w:tr>
      <w:tr w:rsidR="00A25D68" w:rsidRPr="00A25D68" w:rsidTr="00A25D68">
        <w:trPr>
          <w:trHeight w:val="284"/>
        </w:trPr>
        <w:tc>
          <w:tcPr>
            <w:tcW w:w="1951" w:type="dxa"/>
          </w:tcPr>
          <w:p w:rsidR="00A47884" w:rsidRPr="00A25D68" w:rsidRDefault="00A47884" w:rsidP="00A25D68">
            <w:pPr>
              <w:tabs>
                <w:tab w:val="left" w:pos="6480"/>
              </w:tabs>
              <w:jc w:val="both"/>
              <w:rPr>
                <w:rFonts w:ascii="Arial" w:hAnsi="Arial" w:cs="Arial"/>
                <w:b/>
              </w:rPr>
            </w:pPr>
            <w:r w:rsidRPr="00A25D68">
              <w:rPr>
                <w:rFonts w:ascii="Arial" w:hAnsi="Arial" w:cs="Arial"/>
                <w:lang w:eastAsia="en-US"/>
              </w:rPr>
              <w:lastRenderedPageBreak/>
              <w:t>07/02356/CAC</w:t>
            </w:r>
          </w:p>
        </w:tc>
        <w:tc>
          <w:tcPr>
            <w:tcW w:w="5103" w:type="dxa"/>
          </w:tcPr>
          <w:p w:rsidR="00A47884" w:rsidRPr="00A25D68" w:rsidRDefault="00A47884" w:rsidP="00A25D68">
            <w:pPr>
              <w:tabs>
                <w:tab w:val="left" w:pos="6480"/>
              </w:tabs>
              <w:jc w:val="both"/>
              <w:rPr>
                <w:rFonts w:ascii="Arial" w:hAnsi="Arial" w:cs="Arial"/>
                <w:b/>
              </w:rPr>
            </w:pPr>
            <w:r w:rsidRPr="00A25D68">
              <w:rPr>
                <w:rFonts w:ascii="Arial" w:hAnsi="Arial" w:cs="Arial"/>
                <w:lang w:eastAsia="en-US"/>
              </w:rPr>
              <w:t>Demolition of existing structures as part of lasting arrangement of Heyford Park</w:t>
            </w:r>
          </w:p>
        </w:tc>
        <w:tc>
          <w:tcPr>
            <w:tcW w:w="1276" w:type="dxa"/>
          </w:tcPr>
          <w:p w:rsidR="00A47884" w:rsidRPr="00A25D68" w:rsidRDefault="00A47884" w:rsidP="00A25D68">
            <w:pPr>
              <w:tabs>
                <w:tab w:val="left" w:pos="6480"/>
              </w:tabs>
              <w:jc w:val="both"/>
              <w:rPr>
                <w:rFonts w:ascii="Arial" w:hAnsi="Arial" w:cs="Arial"/>
                <w:b/>
              </w:rPr>
            </w:pPr>
            <w:r w:rsidRPr="00A25D68">
              <w:rPr>
                <w:rFonts w:ascii="Arial" w:hAnsi="Arial" w:cs="Arial"/>
                <w:lang w:eastAsia="en-US"/>
              </w:rPr>
              <w:t>PER</w:t>
            </w:r>
          </w:p>
        </w:tc>
      </w:tr>
      <w:tr w:rsidR="00A25D68" w:rsidRPr="00A25D68" w:rsidTr="00A25D68">
        <w:trPr>
          <w:trHeight w:val="284"/>
        </w:trPr>
        <w:tc>
          <w:tcPr>
            <w:tcW w:w="1951" w:type="dxa"/>
          </w:tcPr>
          <w:p w:rsidR="00A47884" w:rsidRPr="00A25D68" w:rsidRDefault="00A47884" w:rsidP="00A25D68">
            <w:pPr>
              <w:tabs>
                <w:tab w:val="left" w:pos="6480"/>
              </w:tabs>
              <w:jc w:val="both"/>
              <w:rPr>
                <w:rFonts w:ascii="Arial" w:hAnsi="Arial" w:cs="Arial"/>
                <w:b/>
              </w:rPr>
            </w:pPr>
            <w:r w:rsidRPr="00A25D68">
              <w:rPr>
                <w:rFonts w:ascii="Arial" w:hAnsi="Arial" w:cs="Arial"/>
                <w:lang w:eastAsia="en-US"/>
              </w:rPr>
              <w:t>08/00716/OUT</w:t>
            </w:r>
          </w:p>
        </w:tc>
        <w:tc>
          <w:tcPr>
            <w:tcW w:w="5103" w:type="dxa"/>
          </w:tcPr>
          <w:p w:rsidR="00A47884" w:rsidRPr="00A25D68" w:rsidRDefault="00A47884" w:rsidP="00A25D68">
            <w:pPr>
              <w:tabs>
                <w:tab w:val="left" w:pos="6480"/>
              </w:tabs>
              <w:jc w:val="both"/>
              <w:rPr>
                <w:rFonts w:ascii="Arial" w:hAnsi="Arial" w:cs="Arial"/>
                <w:b/>
              </w:rPr>
            </w:pPr>
            <w:r w:rsidRPr="00A25D68">
              <w:rPr>
                <w:rFonts w:ascii="Arial" w:hAnsi="Arial" w:cs="Arial"/>
                <w:lang w:eastAsia="en-US"/>
              </w:rPr>
              <w:t>OUTLINE application for new settlement of 1075 dwellings, together with associated works and facilities including employment uses, community uses, school, playing fields and other physical and social infrastructure (as amended by plans and information received 26.06.08).</w:t>
            </w:r>
          </w:p>
        </w:tc>
        <w:tc>
          <w:tcPr>
            <w:tcW w:w="1276" w:type="dxa"/>
          </w:tcPr>
          <w:p w:rsidR="00A47884" w:rsidRPr="00A25D68" w:rsidRDefault="00A47884" w:rsidP="00A25D68">
            <w:pPr>
              <w:tabs>
                <w:tab w:val="left" w:pos="6480"/>
              </w:tabs>
              <w:jc w:val="both"/>
              <w:rPr>
                <w:rFonts w:ascii="Arial" w:hAnsi="Arial" w:cs="Arial"/>
                <w:b/>
              </w:rPr>
            </w:pPr>
            <w:r w:rsidRPr="00A25D68">
              <w:rPr>
                <w:rFonts w:ascii="Arial" w:hAnsi="Arial" w:cs="Arial"/>
                <w:lang w:eastAsia="en-US"/>
              </w:rPr>
              <w:t>UNDET</w:t>
            </w:r>
          </w:p>
        </w:tc>
      </w:tr>
      <w:tr w:rsidR="00A25D68" w:rsidRPr="00A25D68" w:rsidTr="00A25D68">
        <w:trPr>
          <w:trHeight w:val="284"/>
        </w:trPr>
        <w:tc>
          <w:tcPr>
            <w:tcW w:w="1951" w:type="dxa"/>
          </w:tcPr>
          <w:p w:rsidR="00A47884" w:rsidRPr="00A25D68" w:rsidRDefault="00A47884" w:rsidP="00A25D68">
            <w:pPr>
              <w:tabs>
                <w:tab w:val="left" w:pos="6480"/>
              </w:tabs>
              <w:jc w:val="both"/>
              <w:rPr>
                <w:rFonts w:ascii="Arial" w:hAnsi="Arial" w:cs="Arial"/>
                <w:b/>
              </w:rPr>
            </w:pPr>
            <w:r w:rsidRPr="00A25D68">
              <w:rPr>
                <w:rFonts w:ascii="Arial" w:hAnsi="Arial" w:cs="Arial"/>
                <w:lang w:eastAsia="en-US"/>
              </w:rPr>
              <w:t>10/01619/CAC</w:t>
            </w:r>
          </w:p>
        </w:tc>
        <w:tc>
          <w:tcPr>
            <w:tcW w:w="5103" w:type="dxa"/>
          </w:tcPr>
          <w:p w:rsidR="00A47884" w:rsidRPr="00D63346" w:rsidRDefault="00A47884" w:rsidP="00D63346">
            <w:pPr>
              <w:tabs>
                <w:tab w:val="left" w:pos="6480"/>
              </w:tabs>
              <w:jc w:val="both"/>
              <w:rPr>
                <w:rFonts w:ascii="Arial" w:hAnsi="Arial" w:cs="Arial"/>
                <w:lang w:eastAsia="en-US"/>
              </w:rPr>
            </w:pPr>
            <w:r w:rsidRPr="00A25D68">
              <w:rPr>
                <w:rFonts w:ascii="Arial" w:hAnsi="Arial" w:cs="Arial"/>
                <w:lang w:eastAsia="en-US"/>
              </w:rPr>
              <w:t>Demolition of existing structures (as per Conservation Area Consent Schedule and Drawing No. D.0291 38-1)</w:t>
            </w:r>
          </w:p>
        </w:tc>
        <w:tc>
          <w:tcPr>
            <w:tcW w:w="1276" w:type="dxa"/>
          </w:tcPr>
          <w:p w:rsidR="00A47884" w:rsidRPr="00A25D68" w:rsidRDefault="00A47884" w:rsidP="00A25D68">
            <w:pPr>
              <w:tabs>
                <w:tab w:val="left" w:pos="6480"/>
              </w:tabs>
              <w:jc w:val="both"/>
              <w:rPr>
                <w:rFonts w:ascii="Arial" w:hAnsi="Arial" w:cs="Arial"/>
                <w:b/>
              </w:rPr>
            </w:pPr>
            <w:r w:rsidRPr="00A25D68">
              <w:rPr>
                <w:rFonts w:ascii="Arial" w:hAnsi="Arial" w:cs="Arial"/>
                <w:lang w:eastAsia="en-US"/>
              </w:rPr>
              <w:t>PER</w:t>
            </w:r>
          </w:p>
        </w:tc>
      </w:tr>
      <w:tr w:rsidR="00A25D68" w:rsidRPr="00A25D68" w:rsidTr="00A25D68">
        <w:trPr>
          <w:trHeight w:val="284"/>
        </w:trPr>
        <w:tc>
          <w:tcPr>
            <w:tcW w:w="1951" w:type="dxa"/>
          </w:tcPr>
          <w:p w:rsidR="00A47884" w:rsidRPr="00A25D68" w:rsidRDefault="00A47884" w:rsidP="00A25D68">
            <w:pPr>
              <w:tabs>
                <w:tab w:val="left" w:pos="6480"/>
              </w:tabs>
              <w:jc w:val="both"/>
              <w:rPr>
                <w:rFonts w:ascii="Arial" w:hAnsi="Arial" w:cs="Arial"/>
                <w:b/>
              </w:rPr>
            </w:pPr>
            <w:r w:rsidRPr="00A25D68">
              <w:rPr>
                <w:rFonts w:ascii="Arial" w:hAnsi="Arial" w:cs="Arial"/>
                <w:lang w:eastAsia="en-US"/>
              </w:rPr>
              <w:t>10/01642/OUT</w:t>
            </w:r>
          </w:p>
        </w:tc>
        <w:tc>
          <w:tcPr>
            <w:tcW w:w="5103" w:type="dxa"/>
          </w:tcPr>
          <w:p w:rsidR="00A47884" w:rsidRPr="00A25D68" w:rsidRDefault="00A47884" w:rsidP="00A25D68">
            <w:pPr>
              <w:tabs>
                <w:tab w:val="left" w:pos="6480"/>
              </w:tabs>
              <w:jc w:val="both"/>
              <w:rPr>
                <w:rFonts w:ascii="Arial" w:hAnsi="Arial" w:cs="Arial"/>
                <w:b/>
              </w:rPr>
            </w:pPr>
            <w:r w:rsidRPr="00A25D68">
              <w:rPr>
                <w:rFonts w:ascii="Arial" w:hAnsi="Arial" w:cs="Arial"/>
                <w:lang w:eastAsia="en-US"/>
              </w:rPr>
              <w:t>Outline - Proposed new settlement of 1075 dwellings including the retention and  change of use of 267 existing military dwellings to residential use Class C3 and the change of use  of other specified buildings, together with associated works and facilities, including employment uses, a school, playing fields and other physical and social infrastructure</w:t>
            </w:r>
          </w:p>
        </w:tc>
        <w:tc>
          <w:tcPr>
            <w:tcW w:w="1276" w:type="dxa"/>
          </w:tcPr>
          <w:p w:rsidR="00A47884" w:rsidRPr="00A25D68" w:rsidRDefault="00A47884" w:rsidP="00A25D68">
            <w:pPr>
              <w:tabs>
                <w:tab w:val="left" w:pos="6480"/>
              </w:tabs>
              <w:jc w:val="both"/>
              <w:rPr>
                <w:rFonts w:ascii="Arial" w:hAnsi="Arial" w:cs="Arial"/>
                <w:b/>
              </w:rPr>
            </w:pPr>
            <w:r w:rsidRPr="00A25D68">
              <w:rPr>
                <w:rFonts w:ascii="Arial" w:hAnsi="Arial" w:cs="Arial"/>
                <w:lang w:eastAsia="en-US"/>
              </w:rPr>
              <w:t>PER</w:t>
            </w:r>
          </w:p>
        </w:tc>
      </w:tr>
      <w:tr w:rsidR="00A25D68" w:rsidRPr="00A25D68" w:rsidTr="00A25D68">
        <w:trPr>
          <w:trHeight w:val="284"/>
        </w:trPr>
        <w:tc>
          <w:tcPr>
            <w:tcW w:w="1951" w:type="dxa"/>
          </w:tcPr>
          <w:p w:rsidR="00A47884" w:rsidRPr="00A25D68" w:rsidRDefault="00A47884" w:rsidP="00A25D68">
            <w:pPr>
              <w:tabs>
                <w:tab w:val="left" w:pos="6480"/>
              </w:tabs>
              <w:jc w:val="both"/>
              <w:rPr>
                <w:rFonts w:ascii="Arial" w:hAnsi="Arial" w:cs="Arial"/>
                <w:b/>
              </w:rPr>
            </w:pPr>
            <w:r w:rsidRPr="00A25D68">
              <w:rPr>
                <w:rFonts w:ascii="Arial" w:hAnsi="Arial" w:cs="Arial"/>
                <w:lang w:eastAsia="en-US"/>
              </w:rPr>
              <w:t>12/00040/F</w:t>
            </w:r>
          </w:p>
        </w:tc>
        <w:tc>
          <w:tcPr>
            <w:tcW w:w="5103" w:type="dxa"/>
          </w:tcPr>
          <w:p w:rsidR="00A47884" w:rsidRPr="00A25D68" w:rsidRDefault="00A47884" w:rsidP="00A25D68">
            <w:pPr>
              <w:tabs>
                <w:tab w:val="left" w:pos="6480"/>
              </w:tabs>
              <w:jc w:val="both"/>
              <w:rPr>
                <w:rFonts w:ascii="Arial" w:hAnsi="Arial" w:cs="Arial"/>
                <w:b/>
              </w:rPr>
            </w:pPr>
            <w:r w:rsidRPr="00A25D68">
              <w:rPr>
                <w:rFonts w:ascii="Arial" w:hAnsi="Arial" w:cs="Arial"/>
                <w:lang w:eastAsia="en-US"/>
              </w:rPr>
              <w:t>Change of use to allow the continued use of land, buildings and other structures and continued retention of security trench, concrete rings and temporary lamp posts until 1st April 2014.</w:t>
            </w:r>
          </w:p>
        </w:tc>
        <w:tc>
          <w:tcPr>
            <w:tcW w:w="1276" w:type="dxa"/>
          </w:tcPr>
          <w:p w:rsidR="00A47884" w:rsidRPr="00A25D68" w:rsidRDefault="00A47884" w:rsidP="00A25D68">
            <w:pPr>
              <w:tabs>
                <w:tab w:val="left" w:pos="6480"/>
              </w:tabs>
              <w:jc w:val="both"/>
              <w:rPr>
                <w:rFonts w:ascii="Arial" w:hAnsi="Arial" w:cs="Arial"/>
                <w:b/>
              </w:rPr>
            </w:pPr>
            <w:r w:rsidRPr="00A25D68">
              <w:rPr>
                <w:rFonts w:ascii="Arial" w:hAnsi="Arial" w:cs="Arial"/>
                <w:lang w:eastAsia="en-US"/>
              </w:rPr>
              <w:t>PER</w:t>
            </w:r>
          </w:p>
        </w:tc>
      </w:tr>
    </w:tbl>
    <w:p w:rsidR="00E2356A" w:rsidRPr="00A25D68" w:rsidRDefault="00E2356A" w:rsidP="00A25D68">
      <w:pPr>
        <w:numPr>
          <w:ilvl w:val="0"/>
          <w:numId w:val="2"/>
        </w:numPr>
        <w:tabs>
          <w:tab w:val="clear" w:pos="360"/>
          <w:tab w:val="num" w:pos="567"/>
          <w:tab w:val="left" w:pos="6480"/>
        </w:tabs>
        <w:ind w:left="0" w:firstLine="0"/>
        <w:jc w:val="both"/>
        <w:rPr>
          <w:rFonts w:ascii="Arial" w:hAnsi="Arial" w:cs="Arial"/>
          <w:b/>
        </w:rPr>
      </w:pPr>
      <w:r w:rsidRPr="00A25D68">
        <w:rPr>
          <w:rFonts w:ascii="Arial" w:hAnsi="Arial" w:cs="Arial"/>
          <w:b/>
        </w:rPr>
        <w:t>Publicity</w:t>
      </w:r>
    </w:p>
    <w:p w:rsidR="00E2356A" w:rsidRPr="00A25D68" w:rsidRDefault="00E2356A" w:rsidP="00A25D68">
      <w:pPr>
        <w:jc w:val="both"/>
        <w:rPr>
          <w:rFonts w:ascii="Arial" w:hAnsi="Arial" w:cs="Arial"/>
          <w:b/>
        </w:rPr>
      </w:pPr>
    </w:p>
    <w:p w:rsidR="00E2356A" w:rsidRPr="00A25D68" w:rsidRDefault="00A9003C" w:rsidP="00A25D68">
      <w:pPr>
        <w:numPr>
          <w:ilvl w:val="1"/>
          <w:numId w:val="6"/>
        </w:numPr>
        <w:spacing w:after="240"/>
        <w:ind w:left="567" w:hanging="567"/>
        <w:jc w:val="both"/>
        <w:rPr>
          <w:rFonts w:ascii="Arial" w:hAnsi="Arial" w:cs="Arial"/>
          <w:b/>
        </w:rPr>
      </w:pPr>
      <w:r w:rsidRPr="00A25D68">
        <w:rPr>
          <w:rFonts w:ascii="Arial" w:hAnsi="Arial" w:cs="Arial"/>
        </w:rPr>
        <w:t xml:space="preserve">The application was publicised by way of a notice displayed near to the site. </w:t>
      </w:r>
      <w:r w:rsidR="0000572B">
        <w:rPr>
          <w:rFonts w:ascii="Arial" w:hAnsi="Arial" w:cs="Arial"/>
        </w:rPr>
        <w:t>No</w:t>
      </w:r>
      <w:r w:rsidRPr="00A25D68">
        <w:rPr>
          <w:rFonts w:ascii="Arial" w:hAnsi="Arial" w:cs="Arial"/>
        </w:rPr>
        <w:t xml:space="preserve"> comments </w:t>
      </w:r>
      <w:r w:rsidR="0000572B">
        <w:rPr>
          <w:rFonts w:ascii="Arial" w:hAnsi="Arial" w:cs="Arial"/>
        </w:rPr>
        <w:t xml:space="preserve">were </w:t>
      </w:r>
      <w:r w:rsidRPr="00A25D68">
        <w:rPr>
          <w:rFonts w:ascii="Arial" w:hAnsi="Arial" w:cs="Arial"/>
        </w:rPr>
        <w:t>raised by third parties</w:t>
      </w:r>
      <w:r w:rsidR="0000572B">
        <w:rPr>
          <w:rFonts w:ascii="Arial" w:hAnsi="Arial" w:cs="Arial"/>
        </w:rPr>
        <w:t>.</w:t>
      </w:r>
    </w:p>
    <w:p w:rsidR="00E34DE8" w:rsidRPr="00A25D68" w:rsidRDefault="00E2356A" w:rsidP="00DC6EC4">
      <w:pPr>
        <w:numPr>
          <w:ilvl w:val="0"/>
          <w:numId w:val="2"/>
        </w:numPr>
        <w:tabs>
          <w:tab w:val="clear" w:pos="360"/>
          <w:tab w:val="num" w:pos="567"/>
          <w:tab w:val="left" w:pos="6480"/>
        </w:tabs>
        <w:ind w:left="0" w:firstLine="0"/>
        <w:jc w:val="both"/>
        <w:rPr>
          <w:rFonts w:ascii="Arial" w:hAnsi="Arial" w:cs="Arial"/>
          <w:b/>
        </w:rPr>
      </w:pPr>
      <w:r w:rsidRPr="00A25D68">
        <w:rPr>
          <w:rFonts w:ascii="Arial" w:hAnsi="Arial" w:cs="Arial"/>
          <w:b/>
        </w:rPr>
        <w:t xml:space="preserve">Response to </w:t>
      </w:r>
      <w:r w:rsidR="00E8522C" w:rsidRPr="00A25D68">
        <w:rPr>
          <w:rFonts w:ascii="Arial" w:hAnsi="Arial" w:cs="Arial"/>
          <w:b/>
        </w:rPr>
        <w:t>Consultation</w:t>
      </w:r>
    </w:p>
    <w:p w:rsidR="00A64752" w:rsidRPr="00A25D68" w:rsidRDefault="00A64752" w:rsidP="00A25D68">
      <w:pPr>
        <w:tabs>
          <w:tab w:val="left" w:pos="6480"/>
        </w:tabs>
        <w:jc w:val="both"/>
        <w:rPr>
          <w:rFonts w:ascii="Arial" w:hAnsi="Arial" w:cs="Arial"/>
          <w:b/>
        </w:rPr>
      </w:pPr>
    </w:p>
    <w:p w:rsidR="00372437" w:rsidRPr="00A25D68" w:rsidRDefault="00372437" w:rsidP="00A25D68">
      <w:pPr>
        <w:numPr>
          <w:ilvl w:val="1"/>
          <w:numId w:val="7"/>
        </w:numPr>
        <w:spacing w:after="240"/>
        <w:ind w:left="567" w:hanging="567"/>
        <w:jc w:val="both"/>
        <w:rPr>
          <w:rFonts w:ascii="Arial" w:hAnsi="Arial" w:cs="Arial"/>
          <w:b/>
        </w:rPr>
      </w:pPr>
      <w:r w:rsidRPr="00A25D68">
        <w:rPr>
          <w:rFonts w:ascii="Arial" w:hAnsi="Arial" w:cs="Arial"/>
          <w:u w:val="single"/>
        </w:rPr>
        <w:t>Upper Heyford Parish Council:</w:t>
      </w:r>
      <w:r w:rsidRPr="00A25D68">
        <w:rPr>
          <w:rFonts w:ascii="Arial" w:hAnsi="Arial" w:cs="Arial"/>
        </w:rPr>
        <w:t xml:space="preserve"> No objections</w:t>
      </w:r>
    </w:p>
    <w:p w:rsidR="00992101" w:rsidRPr="00DC6EC4" w:rsidRDefault="00372437" w:rsidP="00A25D68">
      <w:pPr>
        <w:numPr>
          <w:ilvl w:val="1"/>
          <w:numId w:val="7"/>
        </w:numPr>
        <w:spacing w:after="240"/>
        <w:ind w:left="567" w:hanging="567"/>
        <w:jc w:val="both"/>
        <w:rPr>
          <w:rFonts w:ascii="Arial" w:hAnsi="Arial" w:cs="Arial"/>
          <w:b/>
          <w:u w:val="single"/>
        </w:rPr>
      </w:pPr>
      <w:r w:rsidRPr="00DC6EC4">
        <w:rPr>
          <w:rFonts w:ascii="Arial" w:hAnsi="Arial" w:cs="Arial"/>
          <w:u w:val="single"/>
        </w:rPr>
        <w:t>Cherwell District Council Conservation:</w:t>
      </w:r>
      <w:r w:rsidRPr="00DC6EC4">
        <w:rPr>
          <w:rFonts w:ascii="Arial" w:hAnsi="Arial" w:cs="Arial"/>
        </w:rPr>
        <w:t xml:space="preserve"> </w:t>
      </w:r>
    </w:p>
    <w:p w:rsidR="00DC6EC4" w:rsidRPr="00DC6EC4" w:rsidRDefault="00DC6EC4" w:rsidP="00DC6EC4">
      <w:pPr>
        <w:tabs>
          <w:tab w:val="left" w:pos="709"/>
        </w:tabs>
        <w:ind w:left="709"/>
        <w:jc w:val="both"/>
        <w:rPr>
          <w:rFonts w:ascii="Arial" w:hAnsi="Arial" w:cs="Arial"/>
          <w:i/>
        </w:rPr>
      </w:pPr>
      <w:r w:rsidRPr="00DC6EC4">
        <w:rPr>
          <w:rFonts w:ascii="Arial" w:hAnsi="Arial" w:cs="Arial"/>
          <w:i/>
        </w:rPr>
        <w:t xml:space="preserve">Building 123 was constructed post WWII during the USAF occupancy of the military base. It is a rather unprepossessing building sandwiched between Building 125 (constructed in 1925 as the RAF Station Armoury), Building 126 (the hardened Battle Command Centre – nerve centre to USAF operations) and Building 129 (the hardened Telephone Exchange – the communication link to the rest of the world). </w:t>
      </w:r>
    </w:p>
    <w:p w:rsidR="00DC6EC4" w:rsidRPr="00DC6EC4" w:rsidRDefault="00DC6EC4" w:rsidP="00DC6EC4">
      <w:pPr>
        <w:tabs>
          <w:tab w:val="left" w:pos="709"/>
        </w:tabs>
        <w:ind w:left="142" w:firstLine="567"/>
        <w:jc w:val="both"/>
        <w:rPr>
          <w:rFonts w:ascii="Arial" w:hAnsi="Arial" w:cs="Arial"/>
          <w:i/>
        </w:rPr>
      </w:pPr>
    </w:p>
    <w:p w:rsidR="00DC6EC4" w:rsidRPr="00DC6EC4" w:rsidRDefault="00DC6EC4" w:rsidP="00DC6EC4">
      <w:pPr>
        <w:tabs>
          <w:tab w:val="left" w:pos="709"/>
        </w:tabs>
        <w:ind w:left="709"/>
        <w:jc w:val="both"/>
        <w:rPr>
          <w:rFonts w:ascii="Arial" w:hAnsi="Arial" w:cs="Arial"/>
          <w:i/>
        </w:rPr>
      </w:pPr>
      <w:r w:rsidRPr="00DC6EC4">
        <w:rPr>
          <w:rFonts w:ascii="Arial" w:hAnsi="Arial" w:cs="Arial"/>
          <w:i/>
        </w:rPr>
        <w:t>The presence of the blast walls testifies to the buildings location at the very operational heart of the base. The operational use of this building – and therefore its heritage significance – is unknown; however a central location and the fact that blast walls were constructed in order to protect the personnel working within hints at some functional importance. It is certainly the case that the building has limited architectural merit but then the aesthetic of a prefabricated building has nothing to do with its functional importance. True the walls have no apparent use (the site now being an unlikely target for attack) but that does not means that the blast walls are not an integral part of Building 123, the materials used and their construction appear to be contemporary.</w:t>
      </w:r>
    </w:p>
    <w:p w:rsidR="00DC6EC4" w:rsidRPr="00DC6EC4" w:rsidRDefault="00DC6EC4" w:rsidP="00DC6EC4">
      <w:pPr>
        <w:tabs>
          <w:tab w:val="left" w:pos="709"/>
        </w:tabs>
        <w:ind w:left="709"/>
        <w:jc w:val="both"/>
        <w:rPr>
          <w:rFonts w:ascii="Arial" w:hAnsi="Arial" w:cs="Arial"/>
          <w:i/>
        </w:rPr>
      </w:pPr>
    </w:p>
    <w:p w:rsidR="00DC6EC4" w:rsidRPr="00DC6EC4" w:rsidRDefault="00DC6EC4" w:rsidP="00DC6EC4">
      <w:pPr>
        <w:tabs>
          <w:tab w:val="left" w:pos="709"/>
        </w:tabs>
        <w:ind w:left="709"/>
        <w:jc w:val="both"/>
        <w:rPr>
          <w:rFonts w:ascii="Arial" w:hAnsi="Arial" w:cs="Arial"/>
          <w:i/>
        </w:rPr>
      </w:pPr>
      <w:r w:rsidRPr="00DC6EC4">
        <w:rPr>
          <w:rFonts w:ascii="Arial" w:hAnsi="Arial" w:cs="Arial"/>
          <w:i/>
        </w:rPr>
        <w:t xml:space="preserve">The demolition of the blast walls would be one more small loss, one loss more amongst the accumulation of losses which is incrementally chipping away at the historic integrity of the site. That said there have been greater losses. </w:t>
      </w:r>
    </w:p>
    <w:p w:rsidR="00DC6EC4" w:rsidRPr="00DC6EC4" w:rsidRDefault="00DC6EC4" w:rsidP="00DC6EC4">
      <w:pPr>
        <w:tabs>
          <w:tab w:val="left" w:pos="709"/>
        </w:tabs>
        <w:ind w:left="709"/>
        <w:jc w:val="both"/>
        <w:rPr>
          <w:rFonts w:ascii="Arial" w:hAnsi="Arial" w:cs="Arial"/>
          <w:i/>
        </w:rPr>
      </w:pPr>
    </w:p>
    <w:p w:rsidR="00DC6EC4" w:rsidRPr="00DC6EC4" w:rsidRDefault="00DC6EC4" w:rsidP="00DC6EC4">
      <w:pPr>
        <w:tabs>
          <w:tab w:val="left" w:pos="709"/>
        </w:tabs>
        <w:ind w:left="709"/>
        <w:jc w:val="both"/>
        <w:rPr>
          <w:rFonts w:ascii="Arial" w:hAnsi="Arial" w:cs="Arial"/>
          <w:i/>
        </w:rPr>
      </w:pPr>
      <w:r w:rsidRPr="00DC6EC4">
        <w:rPr>
          <w:rFonts w:ascii="Arial" w:hAnsi="Arial" w:cs="Arial"/>
          <w:i/>
        </w:rPr>
        <w:t>I view the blast walls as a curious by-product of the time Building 123 was erected. The walls have no aesthetic charm but are of interest in that they help illuminate the thinking behind defence strategies within military bases during the 1970s.</w:t>
      </w:r>
    </w:p>
    <w:p w:rsidR="00DC6EC4" w:rsidRPr="00DC6EC4" w:rsidRDefault="00DC6EC4" w:rsidP="00DC6EC4">
      <w:pPr>
        <w:tabs>
          <w:tab w:val="left" w:pos="709"/>
        </w:tabs>
        <w:ind w:left="142" w:firstLine="567"/>
        <w:jc w:val="both"/>
        <w:rPr>
          <w:rFonts w:ascii="Arial" w:hAnsi="Arial" w:cs="Arial"/>
          <w:i/>
        </w:rPr>
      </w:pPr>
    </w:p>
    <w:p w:rsidR="00DC6EC4" w:rsidRPr="00DC6EC4" w:rsidRDefault="00DC6EC4" w:rsidP="00DC6EC4">
      <w:pPr>
        <w:tabs>
          <w:tab w:val="left" w:pos="709"/>
        </w:tabs>
        <w:ind w:left="709"/>
        <w:jc w:val="both"/>
        <w:rPr>
          <w:rFonts w:ascii="Arial" w:hAnsi="Arial" w:cs="Arial"/>
        </w:rPr>
      </w:pPr>
      <w:r w:rsidRPr="00DC6EC4">
        <w:rPr>
          <w:rFonts w:ascii="Arial" w:hAnsi="Arial" w:cs="Arial"/>
          <w:i/>
        </w:rPr>
        <w:t>The usability of Building 123 will be enhanced by the removal of the walls and therefore this application is not opposed.</w:t>
      </w:r>
    </w:p>
    <w:p w:rsidR="00DC6EC4" w:rsidRPr="00DC6EC4" w:rsidRDefault="00DC6EC4" w:rsidP="00DC6EC4">
      <w:pPr>
        <w:tabs>
          <w:tab w:val="left" w:pos="709"/>
        </w:tabs>
        <w:ind w:firstLine="567"/>
        <w:jc w:val="both"/>
        <w:rPr>
          <w:rFonts w:ascii="Arial" w:hAnsi="Arial" w:cs="Arial"/>
        </w:rPr>
      </w:pPr>
    </w:p>
    <w:p w:rsidR="00E34DE8" w:rsidRPr="00A25D68" w:rsidRDefault="00E34DE8" w:rsidP="00A25D68">
      <w:pPr>
        <w:numPr>
          <w:ilvl w:val="0"/>
          <w:numId w:val="2"/>
        </w:numPr>
        <w:tabs>
          <w:tab w:val="clear" w:pos="360"/>
          <w:tab w:val="num" w:pos="567"/>
          <w:tab w:val="left" w:pos="6480"/>
        </w:tabs>
        <w:ind w:left="0" w:firstLine="0"/>
        <w:jc w:val="both"/>
        <w:rPr>
          <w:rFonts w:ascii="Arial" w:hAnsi="Arial" w:cs="Arial"/>
          <w:b/>
        </w:rPr>
      </w:pPr>
      <w:r w:rsidRPr="00A25D68">
        <w:rPr>
          <w:rFonts w:ascii="Arial" w:hAnsi="Arial" w:cs="Arial"/>
          <w:b/>
        </w:rPr>
        <w:t xml:space="preserve">Relevant National and Local </w:t>
      </w:r>
      <w:r w:rsidR="00167904" w:rsidRPr="00A25D68">
        <w:rPr>
          <w:rFonts w:ascii="Arial" w:hAnsi="Arial" w:cs="Arial"/>
          <w:b/>
        </w:rPr>
        <w:t xml:space="preserve">Planning </w:t>
      </w:r>
      <w:r w:rsidRPr="00A25D68">
        <w:rPr>
          <w:rFonts w:ascii="Arial" w:hAnsi="Arial" w:cs="Arial"/>
          <w:b/>
        </w:rPr>
        <w:t>Policy and Guidance</w:t>
      </w:r>
    </w:p>
    <w:p w:rsidR="00E34DE8" w:rsidRPr="00A25D68" w:rsidRDefault="00E34DE8" w:rsidP="00A25D68">
      <w:pPr>
        <w:tabs>
          <w:tab w:val="left" w:pos="6480"/>
        </w:tabs>
        <w:jc w:val="both"/>
        <w:rPr>
          <w:rFonts w:ascii="Arial" w:hAnsi="Arial" w:cs="Arial"/>
          <w:b/>
        </w:rPr>
      </w:pPr>
    </w:p>
    <w:p w:rsidR="0019459F" w:rsidRPr="00A25D68" w:rsidRDefault="003858CB" w:rsidP="00A25D68">
      <w:pPr>
        <w:ind w:firstLine="567"/>
        <w:jc w:val="both"/>
        <w:rPr>
          <w:rFonts w:ascii="Arial" w:hAnsi="Arial" w:cs="Arial"/>
          <w:b/>
        </w:rPr>
      </w:pPr>
      <w:r w:rsidRPr="00A25D68">
        <w:rPr>
          <w:rFonts w:ascii="Arial" w:hAnsi="Arial" w:cs="Arial"/>
          <w:b/>
        </w:rPr>
        <w:t>Development Plan Policies</w:t>
      </w:r>
    </w:p>
    <w:p w:rsidR="003858CB" w:rsidRPr="00A25D68" w:rsidRDefault="003858CB" w:rsidP="00A25D68">
      <w:pPr>
        <w:ind w:left="567"/>
        <w:jc w:val="both"/>
        <w:rPr>
          <w:rFonts w:ascii="Arial" w:hAnsi="Arial" w:cs="Arial"/>
          <w:b/>
        </w:rPr>
      </w:pPr>
      <w:r w:rsidRPr="00A25D68">
        <w:rPr>
          <w:rFonts w:ascii="Arial" w:hAnsi="Arial" w:cs="Arial"/>
        </w:rPr>
        <w:t>The Cherwell Local Plan 2011-2031 - Part 1 was formally adopted by Cherwell District Council on 20th July 2015 and provides the strategic planning policy framework for the District to 2031.  The Local Plan 2011-2031 – Part 1 replaced a number of the ‘saved’ policies of the adopted Cherwell Local Plan 1996 though many of its policies are retained and remain part of the development plan. The relevant planning policies of Cherwell District’s statutory Development Plan are set out below:</w:t>
      </w:r>
    </w:p>
    <w:p w:rsidR="0019459F" w:rsidRDefault="0019459F" w:rsidP="00A25D68">
      <w:pPr>
        <w:ind w:firstLine="567"/>
        <w:jc w:val="both"/>
        <w:rPr>
          <w:rFonts w:ascii="Arial" w:hAnsi="Arial" w:cs="Arial"/>
          <w:b/>
        </w:rPr>
      </w:pPr>
    </w:p>
    <w:p w:rsidR="00886567" w:rsidRPr="00A25D68" w:rsidRDefault="00CA399E" w:rsidP="00A25D68">
      <w:pPr>
        <w:ind w:left="567"/>
        <w:jc w:val="both"/>
        <w:rPr>
          <w:rFonts w:ascii="Arial" w:hAnsi="Arial" w:cs="Arial"/>
          <w:u w:val="single"/>
        </w:rPr>
      </w:pPr>
      <w:r w:rsidRPr="00A25D68">
        <w:rPr>
          <w:rFonts w:ascii="Arial" w:hAnsi="Arial" w:cs="Arial"/>
          <w:u w:val="single"/>
        </w:rPr>
        <w:t>Cherwell Local Plan 2011 - 2031 Part 1</w:t>
      </w:r>
    </w:p>
    <w:p w:rsidR="00CA399E" w:rsidRPr="00A25D68" w:rsidRDefault="00886567" w:rsidP="00A25D68">
      <w:pPr>
        <w:ind w:left="567"/>
        <w:jc w:val="both"/>
        <w:rPr>
          <w:rFonts w:ascii="Arial" w:hAnsi="Arial" w:cs="Arial"/>
        </w:rPr>
      </w:pPr>
      <w:r w:rsidRPr="00A25D68">
        <w:rPr>
          <w:rFonts w:ascii="Arial" w:hAnsi="Arial" w:cs="Arial"/>
        </w:rPr>
        <w:t>E</w:t>
      </w:r>
      <w:r w:rsidR="0056684C" w:rsidRPr="00A25D68">
        <w:rPr>
          <w:rFonts w:ascii="Arial" w:hAnsi="Arial" w:cs="Arial"/>
        </w:rPr>
        <w:t>SD</w:t>
      </w:r>
      <w:r w:rsidRPr="00A25D68">
        <w:rPr>
          <w:rFonts w:ascii="Arial" w:hAnsi="Arial" w:cs="Arial"/>
        </w:rPr>
        <w:t>15</w:t>
      </w:r>
      <w:r w:rsidR="005F7FE9" w:rsidRPr="00A25D68">
        <w:rPr>
          <w:rFonts w:ascii="Arial" w:hAnsi="Arial" w:cs="Arial"/>
        </w:rPr>
        <w:t xml:space="preserve"> - The Character of the Built </w:t>
      </w:r>
      <w:r w:rsidR="0072345B" w:rsidRPr="00A25D68">
        <w:rPr>
          <w:rFonts w:ascii="Arial" w:hAnsi="Arial" w:cs="Arial"/>
        </w:rPr>
        <w:t xml:space="preserve">and Historic </w:t>
      </w:r>
      <w:r w:rsidR="005F7FE9" w:rsidRPr="00A25D68">
        <w:rPr>
          <w:rFonts w:ascii="Arial" w:hAnsi="Arial" w:cs="Arial"/>
        </w:rPr>
        <w:t>Environment</w:t>
      </w:r>
    </w:p>
    <w:p w:rsidR="00CA399E" w:rsidRDefault="00CA399E" w:rsidP="00A25D68">
      <w:pPr>
        <w:ind w:firstLine="567"/>
        <w:jc w:val="both"/>
        <w:rPr>
          <w:rFonts w:ascii="Arial" w:hAnsi="Arial" w:cs="Arial"/>
          <w:b/>
        </w:rPr>
      </w:pPr>
    </w:p>
    <w:p w:rsidR="0019459F" w:rsidRPr="00A25D68" w:rsidRDefault="0019459F" w:rsidP="00A25D68">
      <w:pPr>
        <w:ind w:left="567"/>
        <w:jc w:val="both"/>
        <w:rPr>
          <w:rFonts w:ascii="Arial" w:hAnsi="Arial" w:cs="Arial"/>
        </w:rPr>
      </w:pPr>
      <w:r w:rsidRPr="00A25D68">
        <w:rPr>
          <w:rFonts w:ascii="Arial" w:hAnsi="Arial" w:cs="Arial"/>
          <w:u w:val="single"/>
        </w:rPr>
        <w:t>Cherwell Local Plan</w:t>
      </w:r>
      <w:r w:rsidR="009156BF" w:rsidRPr="00A25D68">
        <w:rPr>
          <w:rFonts w:ascii="Arial" w:hAnsi="Arial" w:cs="Arial"/>
          <w:u w:val="single"/>
        </w:rPr>
        <w:t xml:space="preserve"> 1996</w:t>
      </w:r>
      <w:r w:rsidRPr="00A25D68">
        <w:rPr>
          <w:rFonts w:ascii="Arial" w:hAnsi="Arial" w:cs="Arial"/>
          <w:u w:val="single"/>
        </w:rPr>
        <w:t xml:space="preserve"> (Saved Policies)</w:t>
      </w:r>
    </w:p>
    <w:p w:rsidR="00372437" w:rsidRPr="00A25D68" w:rsidRDefault="00372437" w:rsidP="00A25D68">
      <w:pPr>
        <w:ind w:left="567"/>
        <w:jc w:val="both"/>
        <w:rPr>
          <w:rFonts w:ascii="Arial" w:hAnsi="Arial" w:cs="Arial"/>
        </w:rPr>
      </w:pPr>
      <w:r w:rsidRPr="00A25D68">
        <w:rPr>
          <w:rFonts w:ascii="Arial" w:hAnsi="Arial" w:cs="Arial"/>
        </w:rPr>
        <w:t>C10 Historic Landscape</w:t>
      </w:r>
    </w:p>
    <w:p w:rsidR="00372437" w:rsidRPr="00A25D68" w:rsidRDefault="00372437" w:rsidP="00A25D68">
      <w:pPr>
        <w:ind w:left="567"/>
        <w:jc w:val="both"/>
        <w:rPr>
          <w:rFonts w:ascii="Arial" w:hAnsi="Arial" w:cs="Arial"/>
        </w:rPr>
      </w:pPr>
      <w:r w:rsidRPr="00A25D68">
        <w:rPr>
          <w:rFonts w:ascii="Arial" w:hAnsi="Arial" w:cs="Arial"/>
        </w:rPr>
        <w:t>C28 Design Considerations</w:t>
      </w:r>
    </w:p>
    <w:p w:rsidR="00044F69" w:rsidRPr="00A25D68" w:rsidRDefault="00044F69" w:rsidP="00A25D68">
      <w:pPr>
        <w:ind w:left="567"/>
        <w:jc w:val="both"/>
        <w:rPr>
          <w:rFonts w:ascii="Arial" w:hAnsi="Arial" w:cs="Arial"/>
        </w:rPr>
      </w:pPr>
    </w:p>
    <w:p w:rsidR="0019459F" w:rsidRPr="00A25D68" w:rsidRDefault="0019459F" w:rsidP="00DC6EC4">
      <w:pPr>
        <w:tabs>
          <w:tab w:val="left" w:pos="709"/>
        </w:tabs>
        <w:ind w:firstLine="567"/>
        <w:jc w:val="both"/>
        <w:rPr>
          <w:rFonts w:ascii="Arial" w:hAnsi="Arial" w:cs="Arial"/>
          <w:b/>
        </w:rPr>
      </w:pPr>
      <w:r w:rsidRPr="00A25D68">
        <w:rPr>
          <w:rFonts w:ascii="Arial" w:hAnsi="Arial" w:cs="Arial"/>
          <w:b/>
        </w:rPr>
        <w:t>Other Material Planning Considerations</w:t>
      </w:r>
    </w:p>
    <w:p w:rsidR="0019459F" w:rsidRPr="00A25D68" w:rsidRDefault="0019459F" w:rsidP="00A25D68">
      <w:pPr>
        <w:tabs>
          <w:tab w:val="left" w:pos="709"/>
        </w:tabs>
        <w:ind w:firstLine="567"/>
        <w:jc w:val="both"/>
        <w:rPr>
          <w:rFonts w:ascii="Arial" w:hAnsi="Arial" w:cs="Arial"/>
        </w:rPr>
      </w:pPr>
      <w:r w:rsidRPr="00A25D68">
        <w:rPr>
          <w:rFonts w:ascii="Arial" w:hAnsi="Arial" w:cs="Arial"/>
        </w:rPr>
        <w:t>National Planning Policy Framework (</w:t>
      </w:r>
      <w:r w:rsidR="00886567" w:rsidRPr="00A25D68">
        <w:rPr>
          <w:rFonts w:ascii="Arial" w:hAnsi="Arial" w:cs="Arial"/>
        </w:rPr>
        <w:t>The Framework</w:t>
      </w:r>
      <w:r w:rsidRPr="00A25D68">
        <w:rPr>
          <w:rFonts w:ascii="Arial" w:hAnsi="Arial" w:cs="Arial"/>
        </w:rPr>
        <w:t>)</w:t>
      </w:r>
    </w:p>
    <w:p w:rsidR="0019459F" w:rsidRPr="00A25D68" w:rsidRDefault="0019459F" w:rsidP="00A25D68">
      <w:pPr>
        <w:tabs>
          <w:tab w:val="left" w:pos="709"/>
        </w:tabs>
        <w:ind w:firstLine="567"/>
        <w:jc w:val="both"/>
        <w:rPr>
          <w:rFonts w:ascii="Arial" w:hAnsi="Arial" w:cs="Arial"/>
        </w:rPr>
      </w:pPr>
      <w:r w:rsidRPr="00A25D68">
        <w:rPr>
          <w:rFonts w:ascii="Arial" w:hAnsi="Arial" w:cs="Arial"/>
        </w:rPr>
        <w:t>Planning Practice Guidance (</w:t>
      </w:r>
      <w:r w:rsidR="00886567" w:rsidRPr="00A25D68">
        <w:rPr>
          <w:rFonts w:ascii="Arial" w:hAnsi="Arial" w:cs="Arial"/>
        </w:rPr>
        <w:t>N</w:t>
      </w:r>
      <w:r w:rsidRPr="00A25D68">
        <w:rPr>
          <w:rFonts w:ascii="Arial" w:hAnsi="Arial" w:cs="Arial"/>
        </w:rPr>
        <w:t>PPG)</w:t>
      </w:r>
    </w:p>
    <w:p w:rsidR="00E8522C" w:rsidRDefault="00E8522C" w:rsidP="00A25D68">
      <w:pPr>
        <w:tabs>
          <w:tab w:val="left" w:pos="0"/>
        </w:tabs>
        <w:jc w:val="both"/>
        <w:rPr>
          <w:rFonts w:ascii="Arial" w:hAnsi="Arial" w:cs="Arial"/>
        </w:rPr>
      </w:pPr>
    </w:p>
    <w:p w:rsidR="00E34DE8" w:rsidRPr="00A25D68" w:rsidRDefault="00E34DE8" w:rsidP="00A25D68">
      <w:pPr>
        <w:numPr>
          <w:ilvl w:val="0"/>
          <w:numId w:val="2"/>
        </w:numPr>
        <w:tabs>
          <w:tab w:val="clear" w:pos="360"/>
          <w:tab w:val="num" w:pos="567"/>
          <w:tab w:val="left" w:pos="6480"/>
        </w:tabs>
        <w:jc w:val="both"/>
        <w:rPr>
          <w:rFonts w:ascii="Arial" w:hAnsi="Arial" w:cs="Arial"/>
          <w:b/>
        </w:rPr>
      </w:pPr>
      <w:r w:rsidRPr="00A25D68">
        <w:rPr>
          <w:rFonts w:ascii="Arial" w:hAnsi="Arial" w:cs="Arial"/>
          <w:b/>
        </w:rPr>
        <w:t>Appraisal</w:t>
      </w:r>
    </w:p>
    <w:p w:rsidR="00C91378" w:rsidRPr="00A25D68" w:rsidRDefault="00C91378" w:rsidP="00A25D68">
      <w:pPr>
        <w:tabs>
          <w:tab w:val="left" w:pos="6480"/>
        </w:tabs>
        <w:ind w:left="567"/>
        <w:jc w:val="both"/>
        <w:rPr>
          <w:rFonts w:ascii="Arial" w:hAnsi="Arial" w:cs="Arial"/>
          <w:b/>
        </w:rPr>
      </w:pPr>
    </w:p>
    <w:p w:rsidR="00372437" w:rsidRPr="00A25D68" w:rsidRDefault="00372437" w:rsidP="00A25D68">
      <w:pPr>
        <w:ind w:left="567"/>
        <w:jc w:val="both"/>
        <w:rPr>
          <w:rFonts w:ascii="Arial" w:hAnsi="Arial" w:cs="Arial"/>
        </w:rPr>
      </w:pPr>
      <w:r w:rsidRPr="00A25D68">
        <w:rPr>
          <w:rFonts w:ascii="Arial" w:hAnsi="Arial" w:cs="Arial"/>
        </w:rPr>
        <w:t>The key issues for consideration in this case are:</w:t>
      </w:r>
    </w:p>
    <w:p w:rsidR="00372437" w:rsidRPr="00A25D68" w:rsidRDefault="00372437" w:rsidP="00A25D68">
      <w:pPr>
        <w:ind w:left="567"/>
        <w:jc w:val="both"/>
        <w:rPr>
          <w:rFonts w:ascii="Arial" w:hAnsi="Arial" w:cs="Arial"/>
        </w:rPr>
      </w:pPr>
    </w:p>
    <w:p w:rsidR="00372437" w:rsidRPr="00A25D68" w:rsidRDefault="00372437" w:rsidP="00A25D68">
      <w:pPr>
        <w:pStyle w:val="ListParagraph"/>
        <w:numPr>
          <w:ilvl w:val="0"/>
          <w:numId w:val="12"/>
        </w:numPr>
        <w:jc w:val="both"/>
        <w:rPr>
          <w:rFonts w:ascii="Arial" w:hAnsi="Arial" w:cs="Arial"/>
        </w:rPr>
      </w:pPr>
      <w:r w:rsidRPr="00A25D68">
        <w:rPr>
          <w:rFonts w:ascii="Arial" w:hAnsi="Arial" w:cs="Arial"/>
        </w:rPr>
        <w:lastRenderedPageBreak/>
        <w:t>Visual Impact, Heritage and the Conservation Area</w:t>
      </w:r>
    </w:p>
    <w:p w:rsidR="00372437" w:rsidRPr="00A25D68" w:rsidRDefault="00372437" w:rsidP="00A25D68">
      <w:pPr>
        <w:jc w:val="both"/>
        <w:rPr>
          <w:rFonts w:ascii="Arial" w:hAnsi="Arial" w:cs="Arial"/>
        </w:rPr>
      </w:pPr>
    </w:p>
    <w:p w:rsidR="00372437" w:rsidRPr="00A25D68" w:rsidRDefault="00372437" w:rsidP="00062BF5">
      <w:pPr>
        <w:pStyle w:val="ListParagraph"/>
        <w:ind w:left="360" w:right="-35" w:firstLine="207"/>
        <w:jc w:val="both"/>
        <w:rPr>
          <w:rFonts w:ascii="Arial" w:hAnsi="Arial" w:cs="Arial"/>
          <w:b/>
        </w:rPr>
      </w:pPr>
      <w:r w:rsidRPr="00A25D68">
        <w:rPr>
          <w:rFonts w:ascii="Arial" w:hAnsi="Arial" w:cs="Arial"/>
          <w:b/>
        </w:rPr>
        <w:t>Visual Impact, Heritage and the Conservation Area</w:t>
      </w:r>
    </w:p>
    <w:p w:rsidR="00372437" w:rsidRPr="00A25D68" w:rsidRDefault="00372437" w:rsidP="00A25D68">
      <w:pPr>
        <w:jc w:val="both"/>
        <w:rPr>
          <w:rFonts w:ascii="Arial" w:hAnsi="Arial" w:cs="Arial"/>
        </w:rPr>
      </w:pPr>
    </w:p>
    <w:p w:rsidR="0033060F" w:rsidRPr="004E20E2" w:rsidRDefault="004E20E2" w:rsidP="0033060F">
      <w:pPr>
        <w:pStyle w:val="ListParagraph"/>
        <w:numPr>
          <w:ilvl w:val="0"/>
          <w:numId w:val="13"/>
        </w:numPr>
        <w:ind w:left="567" w:right="-35" w:hanging="567"/>
        <w:jc w:val="both"/>
        <w:rPr>
          <w:rFonts w:ascii="Arial" w:hAnsi="Arial" w:cs="Arial"/>
        </w:rPr>
      </w:pPr>
      <w:r w:rsidRPr="004E20E2">
        <w:rPr>
          <w:rFonts w:ascii="Arial" w:hAnsi="Arial" w:cs="Arial"/>
        </w:rPr>
        <w:t xml:space="preserve">The </w:t>
      </w:r>
      <w:r>
        <w:rPr>
          <w:rFonts w:ascii="Arial" w:hAnsi="Arial" w:cs="Arial"/>
        </w:rPr>
        <w:t xml:space="preserve">blast </w:t>
      </w:r>
      <w:r w:rsidRPr="004E20E2">
        <w:rPr>
          <w:rFonts w:ascii="Arial" w:hAnsi="Arial" w:cs="Arial"/>
        </w:rPr>
        <w:t xml:space="preserve">walls are visible from the public domain </w:t>
      </w:r>
      <w:r>
        <w:rPr>
          <w:rFonts w:ascii="Arial" w:hAnsi="Arial" w:cs="Arial"/>
        </w:rPr>
        <w:t xml:space="preserve">and the road adjacent to building 125. </w:t>
      </w:r>
      <w:r w:rsidR="0033060F" w:rsidRPr="004E20E2">
        <w:rPr>
          <w:rFonts w:ascii="Arial" w:hAnsi="Arial" w:cs="Arial"/>
        </w:rPr>
        <w:t xml:space="preserve">The presence of the blast walls </w:t>
      </w:r>
      <w:r w:rsidR="00680FE2" w:rsidRPr="004E20E2">
        <w:rPr>
          <w:rFonts w:ascii="Arial" w:hAnsi="Arial" w:cs="Arial"/>
        </w:rPr>
        <w:t xml:space="preserve">suggests the importance of the surrounding </w:t>
      </w:r>
      <w:r w:rsidR="0033060F" w:rsidRPr="004E20E2">
        <w:rPr>
          <w:rFonts w:ascii="Arial" w:hAnsi="Arial" w:cs="Arial"/>
        </w:rPr>
        <w:t xml:space="preserve">buildings </w:t>
      </w:r>
      <w:r w:rsidR="00680FE2" w:rsidRPr="004E20E2">
        <w:rPr>
          <w:rFonts w:ascii="Arial" w:hAnsi="Arial" w:cs="Arial"/>
        </w:rPr>
        <w:t xml:space="preserve">(being </w:t>
      </w:r>
      <w:r w:rsidR="0033060F" w:rsidRPr="004E20E2">
        <w:rPr>
          <w:rFonts w:ascii="Arial" w:hAnsi="Arial" w:cs="Arial"/>
        </w:rPr>
        <w:t>locat</w:t>
      </w:r>
      <w:r w:rsidR="00680FE2" w:rsidRPr="004E20E2">
        <w:rPr>
          <w:rFonts w:ascii="Arial" w:hAnsi="Arial" w:cs="Arial"/>
        </w:rPr>
        <w:t xml:space="preserve">ed </w:t>
      </w:r>
      <w:r w:rsidR="0033060F" w:rsidRPr="004E20E2">
        <w:rPr>
          <w:rFonts w:ascii="Arial" w:hAnsi="Arial" w:cs="Arial"/>
        </w:rPr>
        <w:t>at the operational heart of the base</w:t>
      </w:r>
      <w:r w:rsidR="00680FE2" w:rsidRPr="004E20E2">
        <w:rPr>
          <w:rFonts w:ascii="Arial" w:hAnsi="Arial" w:cs="Arial"/>
        </w:rPr>
        <w:t>)</w:t>
      </w:r>
      <w:r w:rsidR="0033060F" w:rsidRPr="004E20E2">
        <w:rPr>
          <w:rFonts w:ascii="Arial" w:hAnsi="Arial" w:cs="Arial"/>
        </w:rPr>
        <w:t xml:space="preserve">. </w:t>
      </w:r>
      <w:r w:rsidR="00680FE2" w:rsidRPr="004E20E2">
        <w:rPr>
          <w:rFonts w:ascii="Arial" w:hAnsi="Arial" w:cs="Arial"/>
        </w:rPr>
        <w:t>As per the Conservation Officer’s recommendation - t</w:t>
      </w:r>
      <w:r w:rsidR="0033060F" w:rsidRPr="004E20E2">
        <w:rPr>
          <w:rFonts w:ascii="Arial" w:hAnsi="Arial" w:cs="Arial"/>
        </w:rPr>
        <w:t>he o</w:t>
      </w:r>
      <w:r w:rsidR="00680FE2" w:rsidRPr="004E20E2">
        <w:rPr>
          <w:rFonts w:ascii="Arial" w:hAnsi="Arial" w:cs="Arial"/>
        </w:rPr>
        <w:t>perational use of this building,</w:t>
      </w:r>
      <w:r w:rsidR="0033060F" w:rsidRPr="004E20E2">
        <w:rPr>
          <w:rFonts w:ascii="Arial" w:hAnsi="Arial" w:cs="Arial"/>
        </w:rPr>
        <w:t xml:space="preserve"> and therefore its heritage significance</w:t>
      </w:r>
      <w:r w:rsidR="00680FE2" w:rsidRPr="004E20E2">
        <w:rPr>
          <w:rFonts w:ascii="Arial" w:hAnsi="Arial" w:cs="Arial"/>
        </w:rPr>
        <w:t>,</w:t>
      </w:r>
      <w:r w:rsidR="0033060F" w:rsidRPr="004E20E2">
        <w:rPr>
          <w:rFonts w:ascii="Arial" w:hAnsi="Arial" w:cs="Arial"/>
        </w:rPr>
        <w:t xml:space="preserve"> is unknown; however a central location and the fact that blast walls were constructed in order to protect the personnel working within hints </w:t>
      </w:r>
      <w:r w:rsidR="00680FE2" w:rsidRPr="004E20E2">
        <w:rPr>
          <w:rFonts w:ascii="Arial" w:hAnsi="Arial" w:cs="Arial"/>
        </w:rPr>
        <w:t>at some functional importance. The building i</w:t>
      </w:r>
      <w:r w:rsidR="0033060F" w:rsidRPr="004E20E2">
        <w:rPr>
          <w:rFonts w:ascii="Arial" w:hAnsi="Arial" w:cs="Arial"/>
        </w:rPr>
        <w:t>t</w:t>
      </w:r>
      <w:r w:rsidR="00680FE2" w:rsidRPr="004E20E2">
        <w:rPr>
          <w:rFonts w:ascii="Arial" w:hAnsi="Arial" w:cs="Arial"/>
        </w:rPr>
        <w:t>self has</w:t>
      </w:r>
      <w:r w:rsidR="0033060F" w:rsidRPr="004E20E2">
        <w:rPr>
          <w:rFonts w:ascii="Arial" w:hAnsi="Arial" w:cs="Arial"/>
        </w:rPr>
        <w:t xml:space="preserve"> limited architectural merit</w:t>
      </w:r>
      <w:r w:rsidR="00680FE2" w:rsidRPr="004E20E2">
        <w:rPr>
          <w:rFonts w:ascii="Arial" w:hAnsi="Arial" w:cs="Arial"/>
        </w:rPr>
        <w:t xml:space="preserve"> and, at present, </w:t>
      </w:r>
      <w:r w:rsidR="0033060F" w:rsidRPr="004E20E2">
        <w:rPr>
          <w:rFonts w:ascii="Arial" w:hAnsi="Arial" w:cs="Arial"/>
        </w:rPr>
        <w:t xml:space="preserve">the walls have no </w:t>
      </w:r>
      <w:r w:rsidR="00680FE2" w:rsidRPr="004E20E2">
        <w:rPr>
          <w:rFonts w:ascii="Arial" w:hAnsi="Arial" w:cs="Arial"/>
        </w:rPr>
        <w:t xml:space="preserve">use. </w:t>
      </w:r>
    </w:p>
    <w:p w:rsidR="0033060F" w:rsidRPr="0033060F" w:rsidRDefault="0033060F" w:rsidP="0033060F">
      <w:pPr>
        <w:pStyle w:val="ListParagraph"/>
        <w:ind w:left="567" w:right="-35"/>
        <w:jc w:val="both"/>
        <w:rPr>
          <w:rFonts w:ascii="Arial" w:hAnsi="Arial" w:cs="Arial"/>
        </w:rPr>
      </w:pPr>
    </w:p>
    <w:p w:rsidR="0033060F" w:rsidRPr="00DC6EC4" w:rsidRDefault="0033060F" w:rsidP="0033060F">
      <w:pPr>
        <w:pStyle w:val="ListParagraph"/>
        <w:numPr>
          <w:ilvl w:val="0"/>
          <w:numId w:val="13"/>
        </w:numPr>
        <w:ind w:left="567" w:right="-35" w:hanging="567"/>
        <w:jc w:val="both"/>
        <w:rPr>
          <w:rFonts w:ascii="Arial" w:hAnsi="Arial" w:cs="Arial"/>
        </w:rPr>
      </w:pPr>
      <w:r w:rsidRPr="0033060F">
        <w:rPr>
          <w:rFonts w:ascii="Arial" w:hAnsi="Arial" w:cs="Arial"/>
        </w:rPr>
        <w:t xml:space="preserve">The usability of </w:t>
      </w:r>
      <w:r w:rsidR="00680FE2">
        <w:rPr>
          <w:rFonts w:ascii="Arial" w:hAnsi="Arial" w:cs="Arial"/>
        </w:rPr>
        <w:t>the surrounding b</w:t>
      </w:r>
      <w:r w:rsidRPr="0033060F">
        <w:rPr>
          <w:rFonts w:ascii="Arial" w:hAnsi="Arial" w:cs="Arial"/>
        </w:rPr>
        <w:t>uilding</w:t>
      </w:r>
      <w:r w:rsidR="00680FE2">
        <w:rPr>
          <w:rFonts w:ascii="Arial" w:hAnsi="Arial" w:cs="Arial"/>
        </w:rPr>
        <w:t>s, in particular Building</w:t>
      </w:r>
      <w:r w:rsidRPr="0033060F">
        <w:rPr>
          <w:rFonts w:ascii="Arial" w:hAnsi="Arial" w:cs="Arial"/>
        </w:rPr>
        <w:t xml:space="preserve"> 123</w:t>
      </w:r>
      <w:r w:rsidR="00680FE2">
        <w:rPr>
          <w:rFonts w:ascii="Arial" w:hAnsi="Arial" w:cs="Arial"/>
        </w:rPr>
        <w:t>,</w:t>
      </w:r>
      <w:r w:rsidRPr="0033060F">
        <w:rPr>
          <w:rFonts w:ascii="Arial" w:hAnsi="Arial" w:cs="Arial"/>
        </w:rPr>
        <w:t xml:space="preserve"> will be enha</w:t>
      </w:r>
      <w:r w:rsidR="00680FE2">
        <w:rPr>
          <w:rFonts w:ascii="Arial" w:hAnsi="Arial" w:cs="Arial"/>
        </w:rPr>
        <w:t>nced by the removal of the wall.</w:t>
      </w:r>
    </w:p>
    <w:p w:rsidR="006A7768" w:rsidRDefault="006A7768" w:rsidP="0033060F">
      <w:pPr>
        <w:pStyle w:val="ListParagraph"/>
        <w:ind w:left="567" w:right="-35"/>
        <w:jc w:val="both"/>
        <w:rPr>
          <w:rFonts w:ascii="Arial" w:hAnsi="Arial" w:cs="Arial"/>
        </w:rPr>
      </w:pPr>
    </w:p>
    <w:p w:rsidR="00372437" w:rsidRDefault="00372437" w:rsidP="006A7768">
      <w:pPr>
        <w:pStyle w:val="ListParagraph"/>
        <w:numPr>
          <w:ilvl w:val="0"/>
          <w:numId w:val="13"/>
        </w:numPr>
        <w:ind w:left="567" w:right="-35" w:hanging="567"/>
        <w:jc w:val="both"/>
        <w:rPr>
          <w:rFonts w:ascii="Arial" w:hAnsi="Arial" w:cs="Arial"/>
        </w:rPr>
      </w:pPr>
      <w:r w:rsidRPr="006A7768">
        <w:rPr>
          <w:rFonts w:ascii="Arial" w:hAnsi="Arial" w:cs="Arial"/>
        </w:rPr>
        <w:t xml:space="preserve">It is considered that these works would </w:t>
      </w:r>
      <w:r w:rsidR="00680FE2">
        <w:rPr>
          <w:rFonts w:ascii="Arial" w:hAnsi="Arial" w:cs="Arial"/>
        </w:rPr>
        <w:t>have a</w:t>
      </w:r>
      <w:r w:rsidR="004E20E2">
        <w:rPr>
          <w:rFonts w:ascii="Arial" w:hAnsi="Arial" w:cs="Arial"/>
        </w:rPr>
        <w:t xml:space="preserve"> limited </w:t>
      </w:r>
      <w:r w:rsidRPr="006A7768">
        <w:rPr>
          <w:rFonts w:ascii="Arial" w:hAnsi="Arial" w:cs="Arial"/>
        </w:rPr>
        <w:t xml:space="preserve">impact on the character and appearance of the Conservation Area. Overall, it is </w:t>
      </w:r>
      <w:r w:rsidR="004911A6">
        <w:rPr>
          <w:rFonts w:ascii="Arial" w:hAnsi="Arial" w:cs="Arial"/>
        </w:rPr>
        <w:t>considered</w:t>
      </w:r>
      <w:r w:rsidRPr="006A7768">
        <w:rPr>
          <w:rFonts w:ascii="Arial" w:hAnsi="Arial" w:cs="Arial"/>
        </w:rPr>
        <w:t xml:space="preserve"> that the proposal would </w:t>
      </w:r>
      <w:r w:rsidR="004911A6">
        <w:rPr>
          <w:rFonts w:ascii="Arial" w:hAnsi="Arial" w:cs="Arial"/>
        </w:rPr>
        <w:t>accord</w:t>
      </w:r>
      <w:r w:rsidRPr="006A7768">
        <w:rPr>
          <w:rFonts w:ascii="Arial" w:hAnsi="Arial" w:cs="Arial"/>
        </w:rPr>
        <w:t xml:space="preserve"> with Policy C28 of the CLP 1996, Policies ‘Villages 5-Former RAF Upper Heyford’ and ‘ESD15’ of the CLP 2011-2031 and Government guidance contained within the Framework.</w:t>
      </w:r>
    </w:p>
    <w:p w:rsidR="0033060F" w:rsidRPr="0033060F" w:rsidRDefault="0033060F" w:rsidP="0033060F">
      <w:pPr>
        <w:pStyle w:val="ListParagraph"/>
        <w:rPr>
          <w:rFonts w:ascii="Arial" w:hAnsi="Arial" w:cs="Arial"/>
        </w:rPr>
      </w:pPr>
    </w:p>
    <w:p w:rsidR="00372437" w:rsidRPr="00A25D68" w:rsidRDefault="00372437" w:rsidP="00A25D68">
      <w:pPr>
        <w:numPr>
          <w:ilvl w:val="0"/>
          <w:numId w:val="2"/>
        </w:numPr>
        <w:tabs>
          <w:tab w:val="clear" w:pos="360"/>
          <w:tab w:val="left" w:pos="567"/>
        </w:tabs>
        <w:spacing w:after="240"/>
        <w:ind w:left="709" w:hanging="709"/>
        <w:jc w:val="both"/>
        <w:rPr>
          <w:rFonts w:ascii="Arial" w:hAnsi="Arial" w:cs="Arial"/>
          <w:b/>
        </w:rPr>
      </w:pPr>
      <w:r w:rsidRPr="00A25D68">
        <w:rPr>
          <w:rFonts w:ascii="Arial" w:hAnsi="Arial" w:cs="Arial"/>
          <w:b/>
        </w:rPr>
        <w:t>Engagement</w:t>
      </w:r>
    </w:p>
    <w:p w:rsidR="00372437" w:rsidRPr="00A25D68" w:rsidRDefault="00372437" w:rsidP="00A25D68">
      <w:pPr>
        <w:numPr>
          <w:ilvl w:val="1"/>
          <w:numId w:val="9"/>
        </w:numPr>
        <w:spacing w:after="240"/>
        <w:ind w:left="567" w:hanging="567"/>
        <w:jc w:val="both"/>
        <w:rPr>
          <w:rFonts w:ascii="Arial" w:hAnsi="Arial" w:cs="Arial"/>
        </w:rPr>
      </w:pPr>
      <w:r w:rsidRPr="00A25D68">
        <w:rPr>
          <w:rFonts w:ascii="Arial" w:hAnsi="Arial" w:cs="Arial"/>
        </w:rPr>
        <w:t xml:space="preserve">With regard to the duty set out in paragraphs 186 and 187 of the Framework, no problems or issues have arisen during the application. It is considered that the duty to be positive and proactive has been discharged through the efficient and timely determination of the application.  </w:t>
      </w:r>
    </w:p>
    <w:p w:rsidR="00372437" w:rsidRPr="00A25D68" w:rsidRDefault="00372437" w:rsidP="00A25D68">
      <w:pPr>
        <w:numPr>
          <w:ilvl w:val="0"/>
          <w:numId w:val="2"/>
        </w:numPr>
        <w:tabs>
          <w:tab w:val="clear" w:pos="360"/>
          <w:tab w:val="left" w:pos="567"/>
        </w:tabs>
        <w:spacing w:after="240"/>
        <w:ind w:left="709" w:hanging="709"/>
        <w:jc w:val="both"/>
        <w:rPr>
          <w:rFonts w:ascii="Arial" w:hAnsi="Arial" w:cs="Arial"/>
          <w:b/>
        </w:rPr>
      </w:pPr>
      <w:r w:rsidRPr="00A25D68">
        <w:rPr>
          <w:rFonts w:ascii="Arial" w:hAnsi="Arial" w:cs="Arial"/>
          <w:b/>
        </w:rPr>
        <w:t>Conclusion</w:t>
      </w:r>
    </w:p>
    <w:p w:rsidR="00680FE2" w:rsidRDefault="00EB7F55" w:rsidP="00680FE2">
      <w:pPr>
        <w:pStyle w:val="ListParagraph"/>
        <w:numPr>
          <w:ilvl w:val="1"/>
          <w:numId w:val="2"/>
        </w:numPr>
        <w:tabs>
          <w:tab w:val="num" w:pos="567"/>
        </w:tabs>
        <w:spacing w:after="240"/>
        <w:ind w:left="567" w:hanging="567"/>
        <w:jc w:val="both"/>
        <w:rPr>
          <w:rFonts w:ascii="Arial" w:hAnsi="Arial" w:cs="Arial"/>
        </w:rPr>
      </w:pPr>
      <w:r>
        <w:rPr>
          <w:rFonts w:ascii="Arial" w:hAnsi="Arial" w:cs="Arial"/>
        </w:rPr>
        <w:t>Overall, i</w:t>
      </w:r>
      <w:r w:rsidR="00680FE2" w:rsidRPr="006A7768">
        <w:rPr>
          <w:rFonts w:ascii="Arial" w:hAnsi="Arial" w:cs="Arial"/>
        </w:rPr>
        <w:t xml:space="preserve">t is considered that these works would </w:t>
      </w:r>
      <w:r w:rsidR="00680FE2">
        <w:rPr>
          <w:rFonts w:ascii="Arial" w:hAnsi="Arial" w:cs="Arial"/>
        </w:rPr>
        <w:t xml:space="preserve">have a </w:t>
      </w:r>
      <w:r>
        <w:rPr>
          <w:rFonts w:ascii="Arial" w:hAnsi="Arial" w:cs="Arial"/>
        </w:rPr>
        <w:t xml:space="preserve">limited </w:t>
      </w:r>
      <w:r w:rsidR="00680FE2" w:rsidRPr="006A7768">
        <w:rPr>
          <w:rFonts w:ascii="Arial" w:hAnsi="Arial" w:cs="Arial"/>
        </w:rPr>
        <w:t>impact on the character and appearance of the Conservation Area.</w:t>
      </w:r>
      <w:r>
        <w:rPr>
          <w:rFonts w:ascii="Arial" w:hAnsi="Arial" w:cs="Arial"/>
        </w:rPr>
        <w:t xml:space="preserve"> I</w:t>
      </w:r>
      <w:r w:rsidR="00680FE2" w:rsidRPr="006A7768">
        <w:rPr>
          <w:rFonts w:ascii="Arial" w:hAnsi="Arial" w:cs="Arial"/>
        </w:rPr>
        <w:t>t is felt that the proposal would be in accordance with Policy C28 of the CLP 1996, Policies ‘Villages 5-Former RAF Upper Heyford’ and ‘ESD15’ of the CLP 2011-2031 and Government guidance contained within the Framework.</w:t>
      </w:r>
    </w:p>
    <w:p w:rsidR="00E56EB3" w:rsidRPr="00680FE2" w:rsidRDefault="0032279D" w:rsidP="00680FE2">
      <w:pPr>
        <w:numPr>
          <w:ilvl w:val="0"/>
          <w:numId w:val="2"/>
        </w:numPr>
        <w:tabs>
          <w:tab w:val="clear" w:pos="360"/>
          <w:tab w:val="left" w:pos="567"/>
        </w:tabs>
        <w:spacing w:after="240"/>
        <w:ind w:left="709" w:hanging="709"/>
        <w:jc w:val="both"/>
        <w:rPr>
          <w:rFonts w:ascii="Arial" w:hAnsi="Arial" w:cs="Arial"/>
          <w:b/>
        </w:rPr>
      </w:pPr>
      <w:r w:rsidRPr="00680FE2">
        <w:rPr>
          <w:rFonts w:ascii="Arial" w:hAnsi="Arial" w:cs="Arial"/>
          <w:b/>
        </w:rPr>
        <w:t>Recommendation</w:t>
      </w:r>
    </w:p>
    <w:p w:rsidR="00372437" w:rsidRPr="00A25D68" w:rsidRDefault="00680FE2" w:rsidP="00A25D68">
      <w:pPr>
        <w:tabs>
          <w:tab w:val="left" w:pos="567"/>
        </w:tabs>
        <w:spacing w:after="240"/>
        <w:jc w:val="both"/>
        <w:rPr>
          <w:rFonts w:ascii="Arial" w:hAnsi="Arial" w:cs="Arial"/>
        </w:rPr>
      </w:pPr>
      <w:r>
        <w:rPr>
          <w:rFonts w:ascii="Arial" w:hAnsi="Arial" w:cs="Arial"/>
        </w:rPr>
        <w:tab/>
      </w:r>
      <w:r w:rsidR="00372437" w:rsidRPr="00A25D68">
        <w:rPr>
          <w:rFonts w:ascii="Arial" w:hAnsi="Arial" w:cs="Arial"/>
        </w:rPr>
        <w:t>Approval, subject to the following conditions:</w:t>
      </w:r>
    </w:p>
    <w:p w:rsidR="00372437" w:rsidRPr="00A25D68" w:rsidRDefault="00372437" w:rsidP="00A25D68">
      <w:pPr>
        <w:framePr w:hSpace="180" w:wrap="around" w:vAnchor="text" w:hAnchor="text" w:xAlign="right" w:y="1"/>
        <w:ind w:right="-35"/>
        <w:suppressOverlap/>
        <w:jc w:val="both"/>
        <w:rPr>
          <w:rFonts w:ascii="Arial" w:hAnsi="Arial" w:cs="Arial"/>
        </w:rPr>
      </w:pPr>
    </w:p>
    <w:p w:rsidR="00372437" w:rsidRPr="00A25D68" w:rsidRDefault="00372437" w:rsidP="00A25D68">
      <w:pPr>
        <w:pStyle w:val="ListParagraph"/>
        <w:numPr>
          <w:ilvl w:val="0"/>
          <w:numId w:val="14"/>
        </w:numPr>
        <w:tabs>
          <w:tab w:val="left" w:pos="709"/>
        </w:tabs>
        <w:ind w:left="720"/>
        <w:jc w:val="both"/>
        <w:rPr>
          <w:rFonts w:ascii="Arial" w:hAnsi="Arial" w:cs="Arial"/>
        </w:rPr>
      </w:pPr>
      <w:r w:rsidRPr="00A25D68">
        <w:rPr>
          <w:rFonts w:ascii="Arial" w:hAnsi="Arial" w:cs="Arial"/>
        </w:rPr>
        <w:tab/>
        <w:t>The development to which this permission relates shall be begun not later than the expiration of three years beginning with the date of this permission.</w:t>
      </w:r>
    </w:p>
    <w:p w:rsidR="00372437" w:rsidRPr="00A25D68" w:rsidRDefault="00372437" w:rsidP="00A25D68">
      <w:pPr>
        <w:tabs>
          <w:tab w:val="left" w:pos="709"/>
        </w:tabs>
        <w:jc w:val="both"/>
        <w:rPr>
          <w:rFonts w:ascii="Arial" w:hAnsi="Arial" w:cs="Arial"/>
        </w:rPr>
      </w:pPr>
    </w:p>
    <w:p w:rsidR="00372437" w:rsidRDefault="00372437" w:rsidP="00A25D68">
      <w:pPr>
        <w:tabs>
          <w:tab w:val="left" w:pos="709"/>
        </w:tabs>
        <w:ind w:left="709"/>
        <w:jc w:val="both"/>
        <w:rPr>
          <w:rFonts w:ascii="Arial" w:hAnsi="Arial" w:cs="Arial"/>
        </w:rPr>
      </w:pPr>
      <w:r w:rsidRPr="00A25D68">
        <w:rPr>
          <w:rFonts w:ascii="Arial" w:hAnsi="Arial" w:cs="Arial"/>
        </w:rPr>
        <w:t>Reason - To comply with the provisions of Section 91 of the Town and Country Planning Act 1990, as amended by Section 51 of the Planning and Compulsory Purchase Act 2004.</w:t>
      </w:r>
    </w:p>
    <w:p w:rsidR="00590DB6" w:rsidRPr="00A25D68" w:rsidRDefault="00590DB6" w:rsidP="00A25D68">
      <w:pPr>
        <w:tabs>
          <w:tab w:val="left" w:pos="709"/>
        </w:tabs>
        <w:ind w:left="709"/>
        <w:jc w:val="both"/>
        <w:rPr>
          <w:rFonts w:ascii="Arial" w:hAnsi="Arial" w:cs="Arial"/>
        </w:rPr>
      </w:pPr>
    </w:p>
    <w:p w:rsidR="00372437" w:rsidRDefault="00DF7EE2" w:rsidP="00DF7EE2">
      <w:pPr>
        <w:pStyle w:val="ListParagraph"/>
        <w:numPr>
          <w:ilvl w:val="0"/>
          <w:numId w:val="14"/>
        </w:numPr>
        <w:tabs>
          <w:tab w:val="left" w:pos="709"/>
        </w:tabs>
        <w:ind w:left="720"/>
        <w:jc w:val="both"/>
        <w:rPr>
          <w:rFonts w:ascii="Arial" w:hAnsi="Arial" w:cs="Arial"/>
        </w:rPr>
      </w:pPr>
      <w:r w:rsidRPr="00DF7EE2">
        <w:rPr>
          <w:rFonts w:ascii="Arial" w:hAnsi="Arial" w:cs="Arial"/>
        </w:rPr>
        <w:t xml:space="preserve">Except where otherwise stipulated by condition, the application shall be carried out strictly in accordance with the following plans and documents: </w:t>
      </w:r>
      <w:r w:rsidRPr="00DF7EE2">
        <w:rPr>
          <w:rFonts w:ascii="Arial" w:hAnsi="Arial" w:cs="Arial"/>
        </w:rPr>
        <w:lastRenderedPageBreak/>
        <w:t xml:space="preserve">Application </w:t>
      </w:r>
      <w:r>
        <w:rPr>
          <w:rFonts w:ascii="Arial" w:hAnsi="Arial" w:cs="Arial"/>
        </w:rPr>
        <w:t>form</w:t>
      </w:r>
      <w:r w:rsidRPr="00DF7EE2">
        <w:rPr>
          <w:rFonts w:ascii="Arial" w:hAnsi="Arial" w:cs="Arial"/>
        </w:rPr>
        <w:t xml:space="preserve">, </w:t>
      </w:r>
      <w:r>
        <w:rPr>
          <w:rFonts w:ascii="Arial" w:hAnsi="Arial" w:cs="Arial"/>
        </w:rPr>
        <w:t xml:space="preserve">Heritage Statement AST CIR.D.0341 (dated 22 February 2016) </w:t>
      </w:r>
      <w:r w:rsidRPr="00DF7EE2">
        <w:rPr>
          <w:rFonts w:ascii="Arial" w:hAnsi="Arial" w:cs="Arial"/>
        </w:rPr>
        <w:t>and drawing numbered:</w:t>
      </w:r>
      <w:r>
        <w:rPr>
          <w:rFonts w:ascii="Arial" w:hAnsi="Arial" w:cs="Arial"/>
        </w:rPr>
        <w:t xml:space="preserve"> D0341_69. </w:t>
      </w:r>
    </w:p>
    <w:p w:rsidR="00DF7EE2" w:rsidRDefault="00DF7EE2" w:rsidP="00DF7EE2">
      <w:pPr>
        <w:tabs>
          <w:tab w:val="left" w:pos="709"/>
        </w:tabs>
        <w:jc w:val="both"/>
        <w:rPr>
          <w:rFonts w:ascii="Arial" w:hAnsi="Arial" w:cs="Arial"/>
        </w:rPr>
      </w:pPr>
    </w:p>
    <w:p w:rsidR="00DF7EE2" w:rsidRPr="00DF7EE2" w:rsidRDefault="00DF7EE2" w:rsidP="00DF7EE2">
      <w:pPr>
        <w:tabs>
          <w:tab w:val="left" w:pos="709"/>
        </w:tabs>
        <w:ind w:left="709"/>
        <w:jc w:val="both"/>
        <w:rPr>
          <w:rFonts w:ascii="Arial" w:hAnsi="Arial" w:cs="Arial"/>
        </w:rPr>
      </w:pPr>
      <w:r w:rsidRPr="00DF7EE2">
        <w:rPr>
          <w:rFonts w:ascii="Arial" w:hAnsi="Arial" w:cs="Arial"/>
        </w:rPr>
        <w:t>Reason - For the avoidance of doubt, to ensure that the development is carried out only as approved by the Local Planning Authority and to comply with Government guidance contained within the National Planning Policy Framework.</w:t>
      </w:r>
    </w:p>
    <w:p w:rsidR="00DF7EE2" w:rsidRDefault="00DF7EE2" w:rsidP="00DF7EE2">
      <w:pPr>
        <w:tabs>
          <w:tab w:val="left" w:pos="709"/>
        </w:tabs>
        <w:jc w:val="both"/>
        <w:rPr>
          <w:rFonts w:ascii="Arial" w:hAnsi="Arial" w:cs="Arial"/>
        </w:rPr>
      </w:pPr>
    </w:p>
    <w:p w:rsidR="00590DB6" w:rsidRDefault="00590DB6" w:rsidP="00590DB6">
      <w:pPr>
        <w:pStyle w:val="ListParagraph"/>
        <w:numPr>
          <w:ilvl w:val="0"/>
          <w:numId w:val="14"/>
        </w:numPr>
        <w:tabs>
          <w:tab w:val="left" w:pos="709"/>
        </w:tabs>
        <w:ind w:left="720"/>
        <w:jc w:val="both"/>
        <w:rPr>
          <w:rFonts w:ascii="Arial" w:hAnsi="Arial" w:cs="Arial"/>
        </w:rPr>
      </w:pPr>
      <w:r w:rsidRPr="00A25D68">
        <w:rPr>
          <w:rFonts w:ascii="Arial" w:hAnsi="Arial" w:cs="Arial"/>
        </w:rPr>
        <w:tab/>
      </w:r>
      <w:r w:rsidR="004911A6">
        <w:rPr>
          <w:rFonts w:ascii="Arial" w:hAnsi="Arial" w:cs="Arial"/>
        </w:rPr>
        <w:t>D</w:t>
      </w:r>
      <w:r>
        <w:rPr>
          <w:rFonts w:ascii="Arial" w:hAnsi="Arial" w:cs="Arial"/>
        </w:rPr>
        <w:t xml:space="preserve">ebris associated with the demolition of the building </w:t>
      </w:r>
      <w:r w:rsidR="004911A6">
        <w:rPr>
          <w:rFonts w:ascii="Arial" w:hAnsi="Arial" w:cs="Arial"/>
        </w:rPr>
        <w:t xml:space="preserve">must </w:t>
      </w:r>
      <w:r>
        <w:rPr>
          <w:rFonts w:ascii="Arial" w:hAnsi="Arial" w:cs="Arial"/>
        </w:rPr>
        <w:t xml:space="preserve">be removed from the site immediately and </w:t>
      </w:r>
      <w:r w:rsidR="004911A6">
        <w:rPr>
          <w:rFonts w:ascii="Arial" w:hAnsi="Arial" w:cs="Arial"/>
        </w:rPr>
        <w:t xml:space="preserve">must </w:t>
      </w:r>
      <w:r>
        <w:rPr>
          <w:rFonts w:ascii="Arial" w:hAnsi="Arial" w:cs="Arial"/>
        </w:rPr>
        <w:t xml:space="preserve">not be stored anywhere on the base without the </w:t>
      </w:r>
      <w:r w:rsidR="004911A6">
        <w:rPr>
          <w:rFonts w:ascii="Arial" w:hAnsi="Arial" w:cs="Arial"/>
        </w:rPr>
        <w:t>grant of further specific planning permission from</w:t>
      </w:r>
      <w:r>
        <w:rPr>
          <w:rFonts w:ascii="Arial" w:hAnsi="Arial" w:cs="Arial"/>
        </w:rPr>
        <w:t xml:space="preserve"> the Local Planning Authority.</w:t>
      </w:r>
    </w:p>
    <w:p w:rsidR="00590DB6" w:rsidRDefault="00590DB6" w:rsidP="00590DB6">
      <w:pPr>
        <w:pStyle w:val="ListParagraph"/>
        <w:tabs>
          <w:tab w:val="left" w:pos="709"/>
        </w:tabs>
        <w:jc w:val="both"/>
        <w:rPr>
          <w:rFonts w:ascii="Arial" w:hAnsi="Arial" w:cs="Arial"/>
        </w:rPr>
      </w:pPr>
    </w:p>
    <w:p w:rsidR="00590DB6" w:rsidRDefault="00590DB6" w:rsidP="00590DB6">
      <w:pPr>
        <w:tabs>
          <w:tab w:val="left" w:pos="709"/>
        </w:tabs>
        <w:ind w:left="709"/>
        <w:jc w:val="both"/>
        <w:rPr>
          <w:rFonts w:ascii="Arial" w:hAnsi="Arial" w:cs="Arial"/>
        </w:rPr>
      </w:pPr>
      <w:r w:rsidRPr="00A25D68">
        <w:rPr>
          <w:rFonts w:ascii="Arial" w:hAnsi="Arial" w:cs="Arial"/>
        </w:rPr>
        <w:t xml:space="preserve">Reason </w:t>
      </w:r>
      <w:r>
        <w:rPr>
          <w:rFonts w:ascii="Arial" w:hAnsi="Arial" w:cs="Arial"/>
        </w:rPr>
        <w:t>–</w:t>
      </w:r>
      <w:r w:rsidRPr="00A25D68">
        <w:rPr>
          <w:rFonts w:ascii="Arial" w:hAnsi="Arial" w:cs="Arial"/>
        </w:rPr>
        <w:t xml:space="preserve"> </w:t>
      </w:r>
      <w:r>
        <w:rPr>
          <w:rFonts w:ascii="Arial" w:hAnsi="Arial" w:cs="Arial"/>
        </w:rPr>
        <w:t xml:space="preserve">To safeguard the appearance of the Conservation Area, to comply with Government advice contained in the </w:t>
      </w:r>
      <w:r w:rsidR="004911A6" w:rsidRPr="00DF7EE2">
        <w:rPr>
          <w:rFonts w:ascii="Arial" w:hAnsi="Arial" w:cs="Arial"/>
        </w:rPr>
        <w:t>National Planning Policy Framework</w:t>
      </w:r>
      <w:r w:rsidR="004911A6">
        <w:rPr>
          <w:rFonts w:ascii="Arial" w:hAnsi="Arial" w:cs="Arial"/>
        </w:rPr>
        <w:t xml:space="preserve"> </w:t>
      </w:r>
      <w:r>
        <w:rPr>
          <w:rFonts w:ascii="Arial" w:hAnsi="Arial" w:cs="Arial"/>
        </w:rPr>
        <w:t>on Conserving and Enhancing the Historic Environment</w:t>
      </w:r>
      <w:r w:rsidRPr="00A25D68">
        <w:rPr>
          <w:rFonts w:ascii="Arial" w:hAnsi="Arial" w:cs="Arial"/>
        </w:rPr>
        <w:t>.</w:t>
      </w:r>
    </w:p>
    <w:p w:rsidR="00590DB6" w:rsidRPr="00A25D68" w:rsidRDefault="00590DB6" w:rsidP="00590DB6">
      <w:pPr>
        <w:pStyle w:val="ListParagraph"/>
        <w:tabs>
          <w:tab w:val="left" w:pos="709"/>
        </w:tabs>
        <w:jc w:val="both"/>
        <w:rPr>
          <w:rFonts w:ascii="Arial" w:hAnsi="Arial" w:cs="Arial"/>
        </w:rPr>
      </w:pPr>
    </w:p>
    <w:p w:rsidR="00372437" w:rsidRPr="00A25D68" w:rsidRDefault="00372437" w:rsidP="00A25D68">
      <w:pPr>
        <w:jc w:val="both"/>
        <w:rPr>
          <w:rFonts w:ascii="Arial" w:hAnsi="Arial" w:cs="Arial"/>
        </w:rPr>
      </w:pPr>
    </w:p>
    <w:p w:rsidR="00372437" w:rsidRPr="00A25D68" w:rsidRDefault="00372437" w:rsidP="00A25D68">
      <w:pPr>
        <w:jc w:val="both"/>
        <w:rPr>
          <w:rFonts w:ascii="Arial" w:hAnsi="Arial" w:cs="Arial"/>
          <w:b/>
        </w:rPr>
      </w:pPr>
      <w:r w:rsidRPr="00A25D68">
        <w:rPr>
          <w:rFonts w:ascii="Arial" w:hAnsi="Arial" w:cs="Arial"/>
          <w:b/>
        </w:rPr>
        <w:t>STATEMENT OF ENGAGEMENT</w:t>
      </w:r>
    </w:p>
    <w:p w:rsidR="00372437" w:rsidRPr="00A25D68" w:rsidRDefault="00372437" w:rsidP="00A25D68">
      <w:pPr>
        <w:jc w:val="both"/>
        <w:rPr>
          <w:rFonts w:ascii="Arial" w:hAnsi="Arial" w:cs="Arial"/>
          <w:b/>
        </w:rPr>
      </w:pPr>
    </w:p>
    <w:p w:rsidR="00372437" w:rsidRPr="00A25D68" w:rsidRDefault="00372437" w:rsidP="00A25D68">
      <w:pPr>
        <w:jc w:val="both"/>
        <w:rPr>
          <w:rFonts w:ascii="Arial" w:hAnsi="Arial" w:cs="Arial"/>
        </w:rPr>
      </w:pPr>
      <w:r w:rsidRPr="00A25D68">
        <w:rPr>
          <w:rFonts w:ascii="Arial" w:hAnsi="Arial" w:cs="Arial"/>
        </w:rPr>
        <w:t>In accordance with the Town and Country Planning (Development Management Procedure) (England) Order 2015 and paragraphs 186 and 187 of the National Planning Policy Framework (March 2012), this decision has been taken by the Council having worked with the applicant/agent in a positive and proactive way as set out in the application report.</w:t>
      </w:r>
    </w:p>
    <w:p w:rsidR="00372437" w:rsidRPr="00A25D68" w:rsidRDefault="00372437" w:rsidP="00A25D68">
      <w:pPr>
        <w:jc w:val="both"/>
        <w:rPr>
          <w:rFonts w:ascii="Arial" w:hAnsi="Arial" w:cs="Arial"/>
        </w:rPr>
      </w:pPr>
    </w:p>
    <w:p w:rsidR="00E34DE8" w:rsidRPr="00A25D68" w:rsidRDefault="00E34DE8" w:rsidP="00A25D68">
      <w:pPr>
        <w:tabs>
          <w:tab w:val="center" w:pos="4680"/>
          <w:tab w:val="right" w:pos="9360"/>
        </w:tabs>
        <w:jc w:val="both"/>
        <w:rPr>
          <w:rFonts w:ascii="Arial" w:hAnsi="Arial" w:cs="Arial"/>
          <w:b/>
          <w:bCs/>
          <w:lang w:eastAsia="en-US"/>
        </w:rPr>
      </w:pPr>
    </w:p>
    <w:p w:rsidR="00E34DE8" w:rsidRPr="00A25D68" w:rsidRDefault="00E34DE8" w:rsidP="00A25D68">
      <w:pPr>
        <w:tabs>
          <w:tab w:val="center" w:pos="4680"/>
          <w:tab w:val="right" w:pos="9360"/>
        </w:tabs>
        <w:jc w:val="both"/>
        <w:rPr>
          <w:rFonts w:ascii="Arial" w:hAnsi="Arial" w:cs="Arial"/>
          <w:b/>
          <w:bCs/>
          <w:lang w:eastAsia="en-US"/>
        </w:rPr>
      </w:pPr>
    </w:p>
    <w:p w:rsidR="0019459F" w:rsidRDefault="00EF5F71" w:rsidP="00D37228">
      <w:pPr>
        <w:jc w:val="center"/>
        <w:rPr>
          <w:rFonts w:ascii="Arial" w:hAnsi="Arial" w:cs="Arial"/>
        </w:rPr>
      </w:pPr>
      <w:r w:rsidRPr="00A25D68">
        <w:rPr>
          <w:rFonts w:ascii="Arial" w:hAnsi="Arial" w:cs="Arial"/>
        </w:rPr>
        <w:t>Case Officer: Matthew Coyne</w:t>
      </w:r>
      <w:r w:rsidR="0019459F" w:rsidRPr="00A25D68">
        <w:rPr>
          <w:rFonts w:ascii="Arial" w:hAnsi="Arial" w:cs="Arial"/>
        </w:rPr>
        <w:tab/>
      </w:r>
      <w:r w:rsidR="0019459F" w:rsidRPr="00A25D68">
        <w:rPr>
          <w:rFonts w:ascii="Arial" w:hAnsi="Arial" w:cs="Arial"/>
        </w:rPr>
        <w:tab/>
      </w:r>
      <w:r w:rsidR="00D37228">
        <w:rPr>
          <w:rFonts w:ascii="Arial" w:hAnsi="Arial" w:cs="Arial"/>
        </w:rPr>
        <w:tab/>
      </w:r>
      <w:r w:rsidR="00D37228">
        <w:rPr>
          <w:rFonts w:ascii="Arial" w:hAnsi="Arial" w:cs="Arial"/>
        </w:rPr>
        <w:tab/>
      </w:r>
      <w:r w:rsidR="0019459F" w:rsidRPr="00A25D68">
        <w:rPr>
          <w:rFonts w:ascii="Arial" w:hAnsi="Arial" w:cs="Arial"/>
        </w:rPr>
        <w:t>DATED: 12 April 2016</w:t>
      </w:r>
    </w:p>
    <w:p w:rsidR="004911A6" w:rsidRDefault="004911A6" w:rsidP="00D37228">
      <w:pPr>
        <w:jc w:val="center"/>
        <w:rPr>
          <w:rFonts w:ascii="Arial" w:hAnsi="Arial" w:cs="Arial"/>
        </w:rPr>
      </w:pPr>
    </w:p>
    <w:p w:rsidR="004911A6" w:rsidRPr="00A25D68" w:rsidRDefault="004911A6" w:rsidP="004911A6">
      <w:pPr>
        <w:rPr>
          <w:rFonts w:ascii="Arial" w:hAnsi="Arial" w:cs="Arial"/>
        </w:rPr>
      </w:pPr>
      <w:bookmarkStart w:id="0" w:name="_GoBack"/>
      <w:bookmarkEnd w:id="0"/>
    </w:p>
    <w:sectPr w:rsidR="004911A6" w:rsidRPr="00A25D68" w:rsidSect="007A3BF0">
      <w:headerReference w:type="default" r:id="rId8"/>
      <w:headerReference w:type="first" r:id="rId9"/>
      <w:pgSz w:w="11906" w:h="16838"/>
      <w:pgMar w:top="1079" w:right="1700" w:bottom="125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119" w:rsidRDefault="003A0119" w:rsidP="00213EE1">
      <w:r>
        <w:separator/>
      </w:r>
    </w:p>
  </w:endnote>
  <w:endnote w:type="continuationSeparator" w:id="0">
    <w:p w:rsidR="003A0119" w:rsidRDefault="003A0119" w:rsidP="0021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119" w:rsidRDefault="003A0119" w:rsidP="00213EE1">
      <w:r>
        <w:separator/>
      </w:r>
    </w:p>
  </w:footnote>
  <w:footnote w:type="continuationSeparator" w:id="0">
    <w:p w:rsidR="003A0119" w:rsidRDefault="003A0119" w:rsidP="00213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EE1" w:rsidRDefault="00213EE1" w:rsidP="005D5FAA">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F0" w:rsidRPr="00B555CC" w:rsidRDefault="00D5285A" w:rsidP="00B555CC">
    <w:pPr>
      <w:tabs>
        <w:tab w:val="left" w:pos="5103"/>
        <w:tab w:val="left" w:pos="6120"/>
      </w:tabs>
      <w:spacing w:after="120"/>
      <w:rPr>
        <w:rFonts w:ascii="Arial" w:hAnsi="Arial" w:cs="Arial"/>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4624070</wp:posOffset>
              </wp:positionH>
              <wp:positionV relativeFrom="paragraph">
                <wp:posOffset>-48260</wp:posOffset>
              </wp:positionV>
              <wp:extent cx="1494155" cy="287020"/>
              <wp:effectExtent l="444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BF0" w:rsidRDefault="007A3BF0" w:rsidP="007A3B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4.1pt;margin-top:-3.8pt;width:117.6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" stroked="f">
              <v:textbox>
                <w:txbxContent>
                  <w:p w:rsidR="007A3BF0" w:rsidRDefault="007A3BF0" w:rsidP="007A3BF0"/>
                </w:txbxContent>
              </v:textbox>
            </v:shape>
          </w:pict>
        </mc:Fallback>
      </mc:AlternateContent>
    </w:r>
    <w:r w:rsidR="007A3BF0" w:rsidRPr="0026422C">
      <w:rPr>
        <w:rFonts w:ascii="Arial" w:hAnsi="Arial" w:cs="Arial"/>
        <w:b/>
        <w:sz w:val="28"/>
        <w:szCs w:val="28"/>
      </w:rPr>
      <w:t xml:space="preserve">            </w:t>
    </w:r>
    <w:r w:rsidR="00B555CC">
      <w:rPr>
        <w:rFonts w:ascii="Arial" w:hAnsi="Arial" w:cs="Arial"/>
        <w:b/>
        <w:sz w:val="28"/>
        <w:szCs w:val="28"/>
      </w:rPr>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2551"/>
      <w:gridCol w:w="1971"/>
      <w:gridCol w:w="2814"/>
    </w:tblGrid>
    <w:tr w:rsidR="008A6B7C" w:rsidRPr="001C244E" w:rsidTr="004A1E35">
      <w:trPr>
        <w:trHeight w:val="567"/>
      </w:trPr>
      <w:tc>
        <w:tcPr>
          <w:tcW w:w="6190" w:type="dxa"/>
          <w:gridSpan w:val="3"/>
        </w:tcPr>
        <w:p w:rsidR="008A6B7C" w:rsidRPr="00BB5D30" w:rsidRDefault="008A6B7C" w:rsidP="00001C4A">
          <w:pPr>
            <w:spacing w:after="0"/>
            <w:jc w:val="both"/>
            <w:rPr>
              <w:rFonts w:ascii="Arial" w:hAnsi="Arial" w:cs="Arial"/>
              <w:sz w:val="22"/>
              <w:szCs w:val="22"/>
            </w:rPr>
          </w:pPr>
          <w:r w:rsidRPr="00BB5D30">
            <w:rPr>
              <w:rFonts w:ascii="Arial" w:hAnsi="Arial" w:cs="Arial"/>
              <w:sz w:val="22"/>
              <w:szCs w:val="22"/>
            </w:rPr>
            <w:t>Heyford Commercial</w:t>
          </w:r>
          <w:r w:rsidR="004911A6">
            <w:rPr>
              <w:rFonts w:ascii="Arial" w:hAnsi="Arial" w:cs="Arial"/>
              <w:sz w:val="22"/>
              <w:szCs w:val="22"/>
            </w:rPr>
            <w:t xml:space="preserve">, </w:t>
          </w:r>
          <w:r w:rsidRPr="00BB5D30">
            <w:rPr>
              <w:rFonts w:ascii="Arial" w:hAnsi="Arial" w:cs="Arial"/>
              <w:sz w:val="22"/>
              <w:szCs w:val="22"/>
            </w:rPr>
            <w:t>123 Heyford Park</w:t>
          </w:r>
          <w:r w:rsidR="004911A6">
            <w:rPr>
              <w:rFonts w:ascii="Arial" w:hAnsi="Arial" w:cs="Arial"/>
              <w:sz w:val="22"/>
              <w:szCs w:val="22"/>
            </w:rPr>
            <w:t xml:space="preserve">, </w:t>
          </w:r>
          <w:r w:rsidRPr="00BB5D30">
            <w:rPr>
              <w:rFonts w:ascii="Arial" w:hAnsi="Arial" w:cs="Arial"/>
              <w:sz w:val="22"/>
              <w:szCs w:val="22"/>
            </w:rPr>
            <w:t>Camp Road</w:t>
          </w:r>
        </w:p>
        <w:p w:rsidR="00A25D68" w:rsidRDefault="008A6B7C" w:rsidP="00A25D68">
          <w:pPr>
            <w:spacing w:after="0"/>
            <w:jc w:val="both"/>
            <w:rPr>
              <w:rFonts w:ascii="Arial" w:hAnsi="Arial" w:cs="Arial"/>
              <w:sz w:val="22"/>
              <w:szCs w:val="22"/>
            </w:rPr>
          </w:pPr>
          <w:r w:rsidRPr="00BB5D30">
            <w:rPr>
              <w:rFonts w:ascii="Arial" w:hAnsi="Arial" w:cs="Arial"/>
              <w:sz w:val="22"/>
              <w:szCs w:val="22"/>
            </w:rPr>
            <w:t>Upper Heyford</w:t>
          </w:r>
          <w:r w:rsidR="004911A6">
            <w:rPr>
              <w:rFonts w:ascii="Arial" w:hAnsi="Arial" w:cs="Arial"/>
              <w:sz w:val="22"/>
              <w:szCs w:val="22"/>
            </w:rPr>
            <w:t xml:space="preserve">, </w:t>
          </w:r>
          <w:r w:rsidRPr="00BB5D30">
            <w:rPr>
              <w:rFonts w:ascii="Arial" w:hAnsi="Arial" w:cs="Arial"/>
              <w:sz w:val="22"/>
              <w:szCs w:val="22"/>
            </w:rPr>
            <w:t>Bicester</w:t>
          </w:r>
          <w:r w:rsidR="004911A6">
            <w:rPr>
              <w:rFonts w:ascii="Arial" w:hAnsi="Arial" w:cs="Arial"/>
              <w:sz w:val="22"/>
              <w:szCs w:val="22"/>
            </w:rPr>
            <w:t xml:space="preserve">, </w:t>
          </w:r>
          <w:r w:rsidRPr="00BB5D30">
            <w:rPr>
              <w:rFonts w:ascii="Arial" w:hAnsi="Arial" w:cs="Arial"/>
              <w:sz w:val="22"/>
              <w:szCs w:val="22"/>
            </w:rPr>
            <w:t>OX25 5LX</w:t>
          </w:r>
        </w:p>
        <w:p w:rsidR="003025FB" w:rsidRPr="00A25D68" w:rsidRDefault="003025FB" w:rsidP="00A25D68">
          <w:pPr>
            <w:spacing w:after="0"/>
            <w:jc w:val="both"/>
            <w:rPr>
              <w:rFonts w:ascii="Arial" w:hAnsi="Arial" w:cs="Arial"/>
              <w:sz w:val="22"/>
              <w:szCs w:val="22"/>
            </w:rPr>
          </w:pPr>
        </w:p>
      </w:tc>
      <w:tc>
        <w:tcPr>
          <w:tcW w:w="2814" w:type="dxa"/>
        </w:tcPr>
        <w:p w:rsidR="008A6B7C" w:rsidRPr="001C244E" w:rsidRDefault="008A6B7C" w:rsidP="00001C4A">
          <w:pPr>
            <w:spacing w:after="0"/>
            <w:jc w:val="right"/>
            <w:rPr>
              <w:rFonts w:ascii="Arial" w:hAnsi="Arial" w:cs="Arial"/>
              <w:b/>
              <w:sz w:val="26"/>
              <w:szCs w:val="26"/>
            </w:rPr>
          </w:pPr>
          <w:r w:rsidRPr="001C244E">
            <w:rPr>
              <w:rFonts w:ascii="Arial" w:hAnsi="Arial" w:cs="Arial"/>
              <w:b/>
              <w:sz w:val="26"/>
              <w:szCs w:val="26"/>
            </w:rPr>
            <w:t>16/00341/F</w:t>
          </w:r>
        </w:p>
      </w:tc>
    </w:tr>
    <w:tr w:rsidR="00346878" w:rsidRPr="001C244E" w:rsidTr="004A1E35">
      <w:trPr>
        <w:trHeight w:val="567"/>
      </w:trPr>
      <w:tc>
        <w:tcPr>
          <w:tcW w:w="1668" w:type="dxa"/>
        </w:tcPr>
        <w:p w:rsidR="00346878" w:rsidRPr="00E34DE8" w:rsidRDefault="00346878" w:rsidP="00346878">
          <w:pPr>
            <w:tabs>
              <w:tab w:val="left" w:pos="6480"/>
            </w:tabs>
            <w:rPr>
              <w:rFonts w:ascii="Arial" w:hAnsi="Arial" w:cs="Arial"/>
              <w:b/>
              <w:sz w:val="22"/>
              <w:szCs w:val="22"/>
            </w:rPr>
          </w:pPr>
          <w:r w:rsidRPr="00E34DE8">
            <w:rPr>
              <w:rFonts w:ascii="Arial" w:hAnsi="Arial" w:cs="Arial"/>
              <w:b/>
              <w:sz w:val="22"/>
              <w:szCs w:val="22"/>
            </w:rPr>
            <w:t>Case Officer:</w:t>
          </w:r>
          <w:r>
            <w:rPr>
              <w:rFonts w:ascii="Arial" w:hAnsi="Arial" w:cs="Arial"/>
              <w:b/>
              <w:sz w:val="22"/>
              <w:szCs w:val="22"/>
            </w:rPr>
            <w:t xml:space="preserve"> </w:t>
          </w:r>
        </w:p>
      </w:tc>
      <w:tc>
        <w:tcPr>
          <w:tcW w:w="2551" w:type="dxa"/>
        </w:tcPr>
        <w:p w:rsidR="00346878" w:rsidRPr="00E34DE8" w:rsidRDefault="00346878" w:rsidP="00F4438B">
          <w:pPr>
            <w:tabs>
              <w:tab w:val="left" w:pos="6480"/>
            </w:tabs>
            <w:spacing w:after="0"/>
            <w:rPr>
              <w:rFonts w:ascii="Arial" w:hAnsi="Arial" w:cs="Arial"/>
              <w:b/>
              <w:sz w:val="22"/>
              <w:szCs w:val="22"/>
            </w:rPr>
          </w:pPr>
          <w:r w:rsidRPr="00BB5D30">
            <w:rPr>
              <w:rFonts w:ascii="Arial" w:hAnsi="Arial" w:cs="Arial"/>
              <w:sz w:val="22"/>
              <w:szCs w:val="22"/>
            </w:rPr>
            <w:t>Matthew Coyne</w:t>
          </w:r>
        </w:p>
      </w:tc>
      <w:tc>
        <w:tcPr>
          <w:tcW w:w="4785" w:type="dxa"/>
          <w:gridSpan w:val="2"/>
        </w:tcPr>
        <w:p w:rsidR="00346878" w:rsidRPr="001C244E" w:rsidRDefault="00346878" w:rsidP="0001345F">
          <w:pPr>
            <w:spacing w:after="0"/>
            <w:rPr>
              <w:rFonts w:ascii="Arial" w:hAnsi="Arial" w:cs="Arial"/>
              <w:b/>
              <w:sz w:val="26"/>
              <w:szCs w:val="26"/>
            </w:rPr>
          </w:pPr>
          <w:r w:rsidRPr="00E34DE8">
            <w:rPr>
              <w:rFonts w:ascii="Arial" w:hAnsi="Arial" w:cs="Arial"/>
              <w:b/>
              <w:sz w:val="22"/>
              <w:szCs w:val="22"/>
            </w:rPr>
            <w:t>Recommendation:</w:t>
          </w:r>
          <w:r>
            <w:rPr>
              <w:rFonts w:ascii="Arial" w:hAnsi="Arial" w:cs="Arial"/>
              <w:b/>
              <w:sz w:val="22"/>
              <w:szCs w:val="22"/>
            </w:rPr>
            <w:t xml:space="preserve"> </w:t>
          </w:r>
          <w:r w:rsidR="0001345F">
            <w:rPr>
              <w:rFonts w:ascii="Arial" w:hAnsi="Arial" w:cs="Arial"/>
              <w:sz w:val="22"/>
              <w:szCs w:val="22"/>
            </w:rPr>
            <w:t>Approve</w:t>
          </w:r>
        </w:p>
      </w:tc>
    </w:tr>
    <w:tr w:rsidR="008A6B7C" w:rsidTr="004A1E35">
      <w:trPr>
        <w:trHeight w:val="567"/>
      </w:trPr>
      <w:tc>
        <w:tcPr>
          <w:tcW w:w="1668" w:type="dxa"/>
        </w:tcPr>
        <w:p w:rsidR="008A6B7C" w:rsidRPr="00E34DE8" w:rsidRDefault="008A6B7C" w:rsidP="00F4438B">
          <w:pPr>
            <w:tabs>
              <w:tab w:val="left" w:pos="6480"/>
            </w:tabs>
            <w:spacing w:after="0"/>
            <w:rPr>
              <w:rFonts w:ascii="Arial" w:hAnsi="Arial" w:cs="Arial"/>
              <w:b/>
              <w:sz w:val="22"/>
              <w:szCs w:val="22"/>
            </w:rPr>
          </w:pPr>
          <w:r w:rsidRPr="00E34DE8">
            <w:rPr>
              <w:rFonts w:ascii="Arial" w:hAnsi="Arial" w:cs="Arial"/>
              <w:b/>
              <w:sz w:val="22"/>
              <w:szCs w:val="22"/>
            </w:rPr>
            <w:t xml:space="preserve">Applicant: </w:t>
          </w:r>
        </w:p>
      </w:tc>
      <w:tc>
        <w:tcPr>
          <w:tcW w:w="7336" w:type="dxa"/>
          <w:gridSpan w:val="3"/>
        </w:tcPr>
        <w:p w:rsidR="008A6B7C" w:rsidRPr="00E34DE8" w:rsidRDefault="008A6B7C" w:rsidP="00F4438B">
          <w:pPr>
            <w:tabs>
              <w:tab w:val="left" w:pos="6480"/>
            </w:tabs>
            <w:spacing w:after="0"/>
            <w:rPr>
              <w:rFonts w:ascii="Arial" w:hAnsi="Arial" w:cs="Arial"/>
              <w:b/>
              <w:sz w:val="22"/>
              <w:szCs w:val="22"/>
            </w:rPr>
          </w:pPr>
          <w:r w:rsidRPr="00BB5D30">
            <w:rPr>
              <w:rFonts w:ascii="Arial" w:hAnsi="Arial" w:cs="Arial"/>
              <w:sz w:val="22"/>
              <w:szCs w:val="22"/>
            </w:rPr>
            <w:t>Heyford Commercial Limited</w:t>
          </w:r>
        </w:p>
      </w:tc>
    </w:tr>
    <w:tr w:rsidR="001C244E" w:rsidTr="004A1E35">
      <w:trPr>
        <w:trHeight w:val="567"/>
      </w:trPr>
      <w:tc>
        <w:tcPr>
          <w:tcW w:w="1668" w:type="dxa"/>
        </w:tcPr>
        <w:p w:rsidR="001C244E" w:rsidRDefault="001C244E" w:rsidP="00F4438B">
          <w:pPr>
            <w:tabs>
              <w:tab w:val="left" w:pos="6480"/>
            </w:tabs>
            <w:spacing w:after="0"/>
            <w:rPr>
              <w:rFonts w:ascii="Arial" w:hAnsi="Arial" w:cs="Arial"/>
              <w:sz w:val="22"/>
              <w:szCs w:val="22"/>
            </w:rPr>
          </w:pPr>
          <w:r>
            <w:rPr>
              <w:rFonts w:ascii="Arial" w:hAnsi="Arial" w:cs="Arial"/>
              <w:b/>
              <w:sz w:val="22"/>
              <w:szCs w:val="22"/>
            </w:rPr>
            <w:t>Proposal</w:t>
          </w:r>
          <w:r w:rsidRPr="00E34DE8">
            <w:rPr>
              <w:rFonts w:ascii="Arial" w:hAnsi="Arial" w:cs="Arial"/>
              <w:b/>
              <w:sz w:val="22"/>
              <w:szCs w:val="22"/>
            </w:rPr>
            <w:t>:</w:t>
          </w:r>
          <w:r w:rsidRPr="004052A3">
            <w:rPr>
              <w:rFonts w:ascii="Arial" w:hAnsi="Arial" w:cs="Arial"/>
              <w:sz w:val="22"/>
              <w:szCs w:val="22"/>
            </w:rPr>
            <w:t xml:space="preserve"> </w:t>
          </w:r>
        </w:p>
      </w:tc>
      <w:tc>
        <w:tcPr>
          <w:tcW w:w="7336" w:type="dxa"/>
          <w:gridSpan w:val="3"/>
        </w:tcPr>
        <w:p w:rsidR="001C244E" w:rsidRDefault="001C244E" w:rsidP="00F4438B">
          <w:pPr>
            <w:tabs>
              <w:tab w:val="left" w:pos="6480"/>
            </w:tabs>
            <w:spacing w:after="0"/>
            <w:rPr>
              <w:rFonts w:ascii="Arial" w:hAnsi="Arial" w:cs="Arial"/>
              <w:sz w:val="22"/>
              <w:szCs w:val="22"/>
            </w:rPr>
          </w:pPr>
          <w:r w:rsidRPr="004052A3">
            <w:rPr>
              <w:rFonts w:ascii="Arial" w:hAnsi="Arial" w:cs="Arial"/>
              <w:sz w:val="22"/>
              <w:szCs w:val="22"/>
            </w:rPr>
            <w:t>Demolition of wall adjacent to Building 123</w:t>
          </w:r>
        </w:p>
      </w:tc>
    </w:tr>
    <w:tr w:rsidR="008A6B7C" w:rsidTr="00B67EFD">
      <w:trPr>
        <w:trHeight w:val="567"/>
      </w:trPr>
      <w:tc>
        <w:tcPr>
          <w:tcW w:w="1668" w:type="dxa"/>
          <w:tcBorders>
            <w:bottom w:val="single" w:sz="4" w:space="0" w:color="auto"/>
          </w:tcBorders>
          <w:vAlign w:val="center"/>
        </w:tcPr>
        <w:p w:rsidR="008A6B7C" w:rsidRDefault="008A6B7C" w:rsidP="00B67EFD">
          <w:pPr>
            <w:tabs>
              <w:tab w:val="left" w:pos="6480"/>
            </w:tabs>
            <w:spacing w:after="0"/>
            <w:rPr>
              <w:rFonts w:ascii="Arial" w:hAnsi="Arial" w:cs="Arial"/>
              <w:b/>
              <w:sz w:val="22"/>
              <w:szCs w:val="22"/>
            </w:rPr>
          </w:pPr>
          <w:r w:rsidRPr="00E34DE8">
            <w:rPr>
              <w:rFonts w:ascii="Arial" w:hAnsi="Arial" w:cs="Arial"/>
              <w:b/>
              <w:sz w:val="22"/>
              <w:szCs w:val="22"/>
            </w:rPr>
            <w:t xml:space="preserve">Report </w:t>
          </w:r>
          <w:r>
            <w:rPr>
              <w:rFonts w:ascii="Arial" w:hAnsi="Arial" w:cs="Arial"/>
              <w:b/>
              <w:sz w:val="22"/>
              <w:szCs w:val="22"/>
            </w:rPr>
            <w:t>t</w:t>
          </w:r>
          <w:r w:rsidRPr="00E34DE8">
            <w:rPr>
              <w:rFonts w:ascii="Arial" w:hAnsi="Arial" w:cs="Arial"/>
              <w:b/>
              <w:sz w:val="22"/>
              <w:szCs w:val="22"/>
            </w:rPr>
            <w:t>ype:</w:t>
          </w:r>
        </w:p>
      </w:tc>
      <w:tc>
        <w:tcPr>
          <w:tcW w:w="7336" w:type="dxa"/>
          <w:gridSpan w:val="3"/>
          <w:tcBorders>
            <w:bottom w:val="single" w:sz="4" w:space="0" w:color="auto"/>
          </w:tcBorders>
          <w:vAlign w:val="center"/>
        </w:tcPr>
        <w:p w:rsidR="008A6B7C" w:rsidRPr="004052A3" w:rsidRDefault="008A6B7C" w:rsidP="00B67EFD">
          <w:pPr>
            <w:tabs>
              <w:tab w:val="left" w:pos="6480"/>
            </w:tabs>
            <w:spacing w:after="0"/>
            <w:rPr>
              <w:rFonts w:ascii="Arial" w:hAnsi="Arial" w:cs="Arial"/>
              <w:sz w:val="22"/>
              <w:szCs w:val="22"/>
            </w:rPr>
          </w:pPr>
          <w:r w:rsidRPr="00B555CC">
            <w:rPr>
              <w:rFonts w:ascii="Arial" w:hAnsi="Arial" w:cs="Arial"/>
              <w:sz w:val="22"/>
              <w:szCs w:val="22"/>
            </w:rPr>
            <w:t>Delegated</w:t>
          </w:r>
        </w:p>
      </w:tc>
    </w:tr>
  </w:tbl>
  <w:p w:rsidR="007A3BF0" w:rsidRPr="00E34DE8" w:rsidRDefault="007A3BF0" w:rsidP="00462D5F">
    <w:pPr>
      <w:tabs>
        <w:tab w:val="left" w:pos="6480"/>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23081011"/>
    <w:multiLevelType w:val="multilevel"/>
    <w:tmpl w:val="6504A1E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8"/>
        </w:tabs>
        <w:ind w:left="858"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
    <w:nsid w:val="243536E1"/>
    <w:multiLevelType w:val="multilevel"/>
    <w:tmpl w:val="B380AB20"/>
    <w:lvl w:ilvl="0">
      <w:start w:val="5"/>
      <w:numFmt w:val="decimal"/>
      <w:lvlText w:val="%1"/>
      <w:lvlJc w:val="left"/>
      <w:pPr>
        <w:ind w:left="360" w:hanging="360"/>
      </w:pPr>
      <w:rPr>
        <w:rFonts w:cs="Times New Roman" w:hint="default"/>
        <w:b w:val="0"/>
        <w:u w:val="single"/>
      </w:rPr>
    </w:lvl>
    <w:lvl w:ilvl="1">
      <w:start w:val="1"/>
      <w:numFmt w:val="decimal"/>
      <w:lvlText w:val="%1.%2"/>
      <w:lvlJc w:val="left"/>
      <w:pPr>
        <w:ind w:left="1800" w:hanging="360"/>
      </w:pPr>
      <w:rPr>
        <w:rFonts w:cs="Times New Roman" w:hint="default"/>
        <w:b w:val="0"/>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3">
    <w:nsid w:val="2F145507"/>
    <w:multiLevelType w:val="multilevel"/>
    <w:tmpl w:val="D0C2234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36965D0F"/>
    <w:multiLevelType w:val="multilevel"/>
    <w:tmpl w:val="5AB434B8"/>
    <w:lvl w:ilvl="0">
      <w:start w:val="4"/>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b w:val="0"/>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5">
    <w:nsid w:val="36C0136E"/>
    <w:multiLevelType w:val="hybridMultilevel"/>
    <w:tmpl w:val="103C37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3D7D31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A7C21E9"/>
    <w:multiLevelType w:val="multilevel"/>
    <w:tmpl w:val="5A2469D6"/>
    <w:lvl w:ilvl="0">
      <w:start w:val="2"/>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nsid w:val="5AD7349B"/>
    <w:multiLevelType w:val="multilevel"/>
    <w:tmpl w:val="2EBA004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nsid w:val="5E5A7041"/>
    <w:multiLevelType w:val="hybridMultilevel"/>
    <w:tmpl w:val="E188BC70"/>
    <w:lvl w:ilvl="0" w:tplc="A924496A">
      <w:start w:val="1"/>
      <w:numFmt w:val="decimal"/>
      <w:lvlText w:val="%1)"/>
      <w:lvlJc w:val="left"/>
      <w:pPr>
        <w:ind w:left="2062"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0">
    <w:nsid w:val="6E272CA8"/>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737A6C20"/>
    <w:multiLevelType w:val="multilevel"/>
    <w:tmpl w:val="416ACB0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3">
    <w:nsid w:val="73E451AB"/>
    <w:multiLevelType w:val="hybridMultilevel"/>
    <w:tmpl w:val="BBB6E1C8"/>
    <w:lvl w:ilvl="0" w:tplc="061E2634">
      <w:start w:val="1"/>
      <w:numFmt w:val="decimal"/>
      <w:lvlText w:val="7.%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0"/>
  </w:num>
  <w:num w:numId="4">
    <w:abstractNumId w:val="3"/>
  </w:num>
  <w:num w:numId="5">
    <w:abstractNumId w:val="7"/>
  </w:num>
  <w:num w:numId="6">
    <w:abstractNumId w:val="4"/>
  </w:num>
  <w:num w:numId="7">
    <w:abstractNumId w:val="2"/>
  </w:num>
  <w:num w:numId="8">
    <w:abstractNumId w:val="8"/>
  </w:num>
  <w:num w:numId="9">
    <w:abstractNumId w:val="11"/>
  </w:num>
  <w:num w:numId="10">
    <w:abstractNumId w:val="10"/>
  </w:num>
  <w:num w:numId="11">
    <w:abstractNumId w:val="6"/>
  </w:num>
  <w:num w:numId="12">
    <w:abstractNumId w:val="5"/>
  </w:num>
  <w:num w:numId="13">
    <w:abstractNumId w:val="13"/>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6F"/>
    <w:rsid w:val="00001C4A"/>
    <w:rsid w:val="000052C9"/>
    <w:rsid w:val="0000572B"/>
    <w:rsid w:val="0001345F"/>
    <w:rsid w:val="00025638"/>
    <w:rsid w:val="00030184"/>
    <w:rsid w:val="00032411"/>
    <w:rsid w:val="00032735"/>
    <w:rsid w:val="00033FAF"/>
    <w:rsid w:val="000356CA"/>
    <w:rsid w:val="00044F69"/>
    <w:rsid w:val="00055B98"/>
    <w:rsid w:val="0005605C"/>
    <w:rsid w:val="00062BF5"/>
    <w:rsid w:val="00066471"/>
    <w:rsid w:val="0007584A"/>
    <w:rsid w:val="00082A60"/>
    <w:rsid w:val="00084780"/>
    <w:rsid w:val="00093A2E"/>
    <w:rsid w:val="00097D4A"/>
    <w:rsid w:val="000A169E"/>
    <w:rsid w:val="000B5CDD"/>
    <w:rsid w:val="000B7A1C"/>
    <w:rsid w:val="000C23E4"/>
    <w:rsid w:val="000C6638"/>
    <w:rsid w:val="000D01B8"/>
    <w:rsid w:val="000D61D1"/>
    <w:rsid w:val="000E2076"/>
    <w:rsid w:val="001024F4"/>
    <w:rsid w:val="0011000E"/>
    <w:rsid w:val="0011096D"/>
    <w:rsid w:val="00111F86"/>
    <w:rsid w:val="001253D0"/>
    <w:rsid w:val="0013551E"/>
    <w:rsid w:val="001463A1"/>
    <w:rsid w:val="00147948"/>
    <w:rsid w:val="00150D66"/>
    <w:rsid w:val="00152728"/>
    <w:rsid w:val="00152AC0"/>
    <w:rsid w:val="0016656E"/>
    <w:rsid w:val="001675B9"/>
    <w:rsid w:val="00167904"/>
    <w:rsid w:val="00175CAE"/>
    <w:rsid w:val="0018308A"/>
    <w:rsid w:val="0018664C"/>
    <w:rsid w:val="0019459F"/>
    <w:rsid w:val="00196591"/>
    <w:rsid w:val="001A6174"/>
    <w:rsid w:val="001A67DC"/>
    <w:rsid w:val="001B3666"/>
    <w:rsid w:val="001C244E"/>
    <w:rsid w:val="001C274C"/>
    <w:rsid w:val="001C544A"/>
    <w:rsid w:val="001C7B03"/>
    <w:rsid w:val="001D44D6"/>
    <w:rsid w:val="001D4CF0"/>
    <w:rsid w:val="001F658B"/>
    <w:rsid w:val="00203755"/>
    <w:rsid w:val="00207FFC"/>
    <w:rsid w:val="00213ACA"/>
    <w:rsid w:val="00213EE1"/>
    <w:rsid w:val="00222A79"/>
    <w:rsid w:val="002325EF"/>
    <w:rsid w:val="00233023"/>
    <w:rsid w:val="00243141"/>
    <w:rsid w:val="00243FFC"/>
    <w:rsid w:val="0024539F"/>
    <w:rsid w:val="002459B7"/>
    <w:rsid w:val="0026422C"/>
    <w:rsid w:val="00265354"/>
    <w:rsid w:val="00277BBF"/>
    <w:rsid w:val="002867C2"/>
    <w:rsid w:val="00291B98"/>
    <w:rsid w:val="002A378A"/>
    <w:rsid w:val="002B132E"/>
    <w:rsid w:val="002B2596"/>
    <w:rsid w:val="002D5911"/>
    <w:rsid w:val="002E35F7"/>
    <w:rsid w:val="002F2C57"/>
    <w:rsid w:val="00301E60"/>
    <w:rsid w:val="003025FB"/>
    <w:rsid w:val="00310ABF"/>
    <w:rsid w:val="0032279D"/>
    <w:rsid w:val="0032789C"/>
    <w:rsid w:val="0033060F"/>
    <w:rsid w:val="0034682D"/>
    <w:rsid w:val="00346878"/>
    <w:rsid w:val="0035130D"/>
    <w:rsid w:val="00372437"/>
    <w:rsid w:val="0037252B"/>
    <w:rsid w:val="003744D6"/>
    <w:rsid w:val="003806D3"/>
    <w:rsid w:val="00381F5A"/>
    <w:rsid w:val="00384125"/>
    <w:rsid w:val="003858CB"/>
    <w:rsid w:val="00385F21"/>
    <w:rsid w:val="00387013"/>
    <w:rsid w:val="00394D26"/>
    <w:rsid w:val="003A0119"/>
    <w:rsid w:val="003B1A64"/>
    <w:rsid w:val="003E42E1"/>
    <w:rsid w:val="003E49FB"/>
    <w:rsid w:val="003E5C0C"/>
    <w:rsid w:val="003F01B9"/>
    <w:rsid w:val="003F0A89"/>
    <w:rsid w:val="003F1F09"/>
    <w:rsid w:val="003F21AD"/>
    <w:rsid w:val="004052A3"/>
    <w:rsid w:val="004071ED"/>
    <w:rsid w:val="00414486"/>
    <w:rsid w:val="004451EB"/>
    <w:rsid w:val="00446635"/>
    <w:rsid w:val="00454F50"/>
    <w:rsid w:val="0045780D"/>
    <w:rsid w:val="00462D5F"/>
    <w:rsid w:val="00467D08"/>
    <w:rsid w:val="00472D4D"/>
    <w:rsid w:val="00482FFD"/>
    <w:rsid w:val="004853D7"/>
    <w:rsid w:val="004911A6"/>
    <w:rsid w:val="00493932"/>
    <w:rsid w:val="004A1791"/>
    <w:rsid w:val="004A1E35"/>
    <w:rsid w:val="004B179F"/>
    <w:rsid w:val="004C3324"/>
    <w:rsid w:val="004D51E6"/>
    <w:rsid w:val="004D72E1"/>
    <w:rsid w:val="004E20E2"/>
    <w:rsid w:val="004E240E"/>
    <w:rsid w:val="004E2BD7"/>
    <w:rsid w:val="004F056A"/>
    <w:rsid w:val="004F7F94"/>
    <w:rsid w:val="00505A95"/>
    <w:rsid w:val="00513F2F"/>
    <w:rsid w:val="00514714"/>
    <w:rsid w:val="00531430"/>
    <w:rsid w:val="00531FEA"/>
    <w:rsid w:val="00541ED2"/>
    <w:rsid w:val="0056684C"/>
    <w:rsid w:val="00584710"/>
    <w:rsid w:val="00586288"/>
    <w:rsid w:val="00590DB6"/>
    <w:rsid w:val="005B79C5"/>
    <w:rsid w:val="005D5FAA"/>
    <w:rsid w:val="005E2902"/>
    <w:rsid w:val="005E3F6B"/>
    <w:rsid w:val="005F14DB"/>
    <w:rsid w:val="005F7FE9"/>
    <w:rsid w:val="00602D56"/>
    <w:rsid w:val="00604F13"/>
    <w:rsid w:val="0060704F"/>
    <w:rsid w:val="00611273"/>
    <w:rsid w:val="00613865"/>
    <w:rsid w:val="006219A9"/>
    <w:rsid w:val="006245C1"/>
    <w:rsid w:val="006418EE"/>
    <w:rsid w:val="00644822"/>
    <w:rsid w:val="00657A35"/>
    <w:rsid w:val="00661314"/>
    <w:rsid w:val="00665479"/>
    <w:rsid w:val="00680FE2"/>
    <w:rsid w:val="00687F20"/>
    <w:rsid w:val="00691748"/>
    <w:rsid w:val="006A1485"/>
    <w:rsid w:val="006A25DF"/>
    <w:rsid w:val="006A294B"/>
    <w:rsid w:val="006A3A26"/>
    <w:rsid w:val="006A48C5"/>
    <w:rsid w:val="006A6B28"/>
    <w:rsid w:val="006A7768"/>
    <w:rsid w:val="006D633C"/>
    <w:rsid w:val="006E45A5"/>
    <w:rsid w:val="006E516B"/>
    <w:rsid w:val="006F385C"/>
    <w:rsid w:val="0070431F"/>
    <w:rsid w:val="00707C44"/>
    <w:rsid w:val="007141CD"/>
    <w:rsid w:val="00714B66"/>
    <w:rsid w:val="00717B1C"/>
    <w:rsid w:val="0072345B"/>
    <w:rsid w:val="00727A61"/>
    <w:rsid w:val="00733D56"/>
    <w:rsid w:val="007360ED"/>
    <w:rsid w:val="00740F91"/>
    <w:rsid w:val="007534A2"/>
    <w:rsid w:val="0077204A"/>
    <w:rsid w:val="0078118A"/>
    <w:rsid w:val="0078747C"/>
    <w:rsid w:val="00792257"/>
    <w:rsid w:val="007A1BF0"/>
    <w:rsid w:val="007A3BF0"/>
    <w:rsid w:val="007B08A5"/>
    <w:rsid w:val="007B384B"/>
    <w:rsid w:val="007D1510"/>
    <w:rsid w:val="007D3AF4"/>
    <w:rsid w:val="007E0634"/>
    <w:rsid w:val="007E64C1"/>
    <w:rsid w:val="007F36F0"/>
    <w:rsid w:val="007F7305"/>
    <w:rsid w:val="00801E4B"/>
    <w:rsid w:val="00802129"/>
    <w:rsid w:val="00804583"/>
    <w:rsid w:val="00805C40"/>
    <w:rsid w:val="008172E8"/>
    <w:rsid w:val="00822127"/>
    <w:rsid w:val="00824EDB"/>
    <w:rsid w:val="008314A6"/>
    <w:rsid w:val="00840B59"/>
    <w:rsid w:val="00841F58"/>
    <w:rsid w:val="00844477"/>
    <w:rsid w:val="00845A0F"/>
    <w:rsid w:val="00847257"/>
    <w:rsid w:val="008474B6"/>
    <w:rsid w:val="008504D2"/>
    <w:rsid w:val="008520ED"/>
    <w:rsid w:val="00854E99"/>
    <w:rsid w:val="00856C5C"/>
    <w:rsid w:val="008631D2"/>
    <w:rsid w:val="00865452"/>
    <w:rsid w:val="008767F3"/>
    <w:rsid w:val="0087696B"/>
    <w:rsid w:val="0088092D"/>
    <w:rsid w:val="0088116F"/>
    <w:rsid w:val="00882F4B"/>
    <w:rsid w:val="008841C0"/>
    <w:rsid w:val="00886567"/>
    <w:rsid w:val="0089310B"/>
    <w:rsid w:val="008A2CB0"/>
    <w:rsid w:val="008A5253"/>
    <w:rsid w:val="008A6B7C"/>
    <w:rsid w:val="008B1D03"/>
    <w:rsid w:val="008B1EC2"/>
    <w:rsid w:val="008B4BC9"/>
    <w:rsid w:val="008B68B4"/>
    <w:rsid w:val="008B79DD"/>
    <w:rsid w:val="008D7438"/>
    <w:rsid w:val="008E031B"/>
    <w:rsid w:val="008E56BB"/>
    <w:rsid w:val="00902BB3"/>
    <w:rsid w:val="0091063B"/>
    <w:rsid w:val="00911451"/>
    <w:rsid w:val="009156BF"/>
    <w:rsid w:val="0091615F"/>
    <w:rsid w:val="009315CF"/>
    <w:rsid w:val="0094060E"/>
    <w:rsid w:val="00941226"/>
    <w:rsid w:val="0094249F"/>
    <w:rsid w:val="00945D9D"/>
    <w:rsid w:val="00947495"/>
    <w:rsid w:val="0095585F"/>
    <w:rsid w:val="00971164"/>
    <w:rsid w:val="00984781"/>
    <w:rsid w:val="00992101"/>
    <w:rsid w:val="00996461"/>
    <w:rsid w:val="009A0EAA"/>
    <w:rsid w:val="009A5D55"/>
    <w:rsid w:val="009B05DD"/>
    <w:rsid w:val="009B58ED"/>
    <w:rsid w:val="009C4400"/>
    <w:rsid w:val="009E1109"/>
    <w:rsid w:val="009E4D0B"/>
    <w:rsid w:val="009E5DBE"/>
    <w:rsid w:val="009E774D"/>
    <w:rsid w:val="009E7FA9"/>
    <w:rsid w:val="009F2A36"/>
    <w:rsid w:val="00A04DD9"/>
    <w:rsid w:val="00A05300"/>
    <w:rsid w:val="00A10205"/>
    <w:rsid w:val="00A25D68"/>
    <w:rsid w:val="00A41752"/>
    <w:rsid w:val="00A4183C"/>
    <w:rsid w:val="00A42715"/>
    <w:rsid w:val="00A43FB5"/>
    <w:rsid w:val="00A46562"/>
    <w:rsid w:val="00A47884"/>
    <w:rsid w:val="00A51AAE"/>
    <w:rsid w:val="00A51D19"/>
    <w:rsid w:val="00A5293B"/>
    <w:rsid w:val="00A63B22"/>
    <w:rsid w:val="00A64752"/>
    <w:rsid w:val="00A74B28"/>
    <w:rsid w:val="00A76D1F"/>
    <w:rsid w:val="00A77888"/>
    <w:rsid w:val="00A9003C"/>
    <w:rsid w:val="00A913FC"/>
    <w:rsid w:val="00A94792"/>
    <w:rsid w:val="00AA1A6D"/>
    <w:rsid w:val="00AB0984"/>
    <w:rsid w:val="00AB1820"/>
    <w:rsid w:val="00AB2C56"/>
    <w:rsid w:val="00AD206D"/>
    <w:rsid w:val="00AD615D"/>
    <w:rsid w:val="00AE05E7"/>
    <w:rsid w:val="00AE207C"/>
    <w:rsid w:val="00B0322B"/>
    <w:rsid w:val="00B06F36"/>
    <w:rsid w:val="00B10309"/>
    <w:rsid w:val="00B22919"/>
    <w:rsid w:val="00B23A05"/>
    <w:rsid w:val="00B37337"/>
    <w:rsid w:val="00B43AC4"/>
    <w:rsid w:val="00B4437C"/>
    <w:rsid w:val="00B45567"/>
    <w:rsid w:val="00B501B1"/>
    <w:rsid w:val="00B539D5"/>
    <w:rsid w:val="00B5552A"/>
    <w:rsid w:val="00B555CC"/>
    <w:rsid w:val="00B61005"/>
    <w:rsid w:val="00B666E8"/>
    <w:rsid w:val="00B67EFD"/>
    <w:rsid w:val="00B86C50"/>
    <w:rsid w:val="00BA4C0C"/>
    <w:rsid w:val="00BB028D"/>
    <w:rsid w:val="00BB59BC"/>
    <w:rsid w:val="00BB5D30"/>
    <w:rsid w:val="00BC6BB9"/>
    <w:rsid w:val="00BD0F67"/>
    <w:rsid w:val="00BD4C20"/>
    <w:rsid w:val="00BD58BD"/>
    <w:rsid w:val="00BD6C89"/>
    <w:rsid w:val="00BE065A"/>
    <w:rsid w:val="00BE6312"/>
    <w:rsid w:val="00BF270D"/>
    <w:rsid w:val="00BF5517"/>
    <w:rsid w:val="00BF6FE5"/>
    <w:rsid w:val="00C02A79"/>
    <w:rsid w:val="00C0601F"/>
    <w:rsid w:val="00C2425F"/>
    <w:rsid w:val="00C31A61"/>
    <w:rsid w:val="00C3289F"/>
    <w:rsid w:val="00C40478"/>
    <w:rsid w:val="00C41387"/>
    <w:rsid w:val="00C42178"/>
    <w:rsid w:val="00C43A8B"/>
    <w:rsid w:val="00C45C72"/>
    <w:rsid w:val="00C64BA8"/>
    <w:rsid w:val="00C7162C"/>
    <w:rsid w:val="00C745FB"/>
    <w:rsid w:val="00C774E3"/>
    <w:rsid w:val="00C90DB1"/>
    <w:rsid w:val="00C91378"/>
    <w:rsid w:val="00C927AF"/>
    <w:rsid w:val="00C94E8C"/>
    <w:rsid w:val="00C95AB2"/>
    <w:rsid w:val="00C976BC"/>
    <w:rsid w:val="00CA399E"/>
    <w:rsid w:val="00CB01DB"/>
    <w:rsid w:val="00CC06DE"/>
    <w:rsid w:val="00CC62BA"/>
    <w:rsid w:val="00CC7465"/>
    <w:rsid w:val="00CD0754"/>
    <w:rsid w:val="00CF18FD"/>
    <w:rsid w:val="00D01F6F"/>
    <w:rsid w:val="00D14ADE"/>
    <w:rsid w:val="00D20B12"/>
    <w:rsid w:val="00D271DB"/>
    <w:rsid w:val="00D3040C"/>
    <w:rsid w:val="00D37228"/>
    <w:rsid w:val="00D41A65"/>
    <w:rsid w:val="00D4712E"/>
    <w:rsid w:val="00D51EA0"/>
    <w:rsid w:val="00D5285A"/>
    <w:rsid w:val="00D56DAE"/>
    <w:rsid w:val="00D63346"/>
    <w:rsid w:val="00D649CF"/>
    <w:rsid w:val="00D65BB5"/>
    <w:rsid w:val="00D762EE"/>
    <w:rsid w:val="00D96E9D"/>
    <w:rsid w:val="00DA0A06"/>
    <w:rsid w:val="00DB1DAA"/>
    <w:rsid w:val="00DB7700"/>
    <w:rsid w:val="00DC5906"/>
    <w:rsid w:val="00DC6EC4"/>
    <w:rsid w:val="00DD0DA3"/>
    <w:rsid w:val="00DF74F7"/>
    <w:rsid w:val="00DF7EE2"/>
    <w:rsid w:val="00E109BB"/>
    <w:rsid w:val="00E2356A"/>
    <w:rsid w:val="00E24462"/>
    <w:rsid w:val="00E33344"/>
    <w:rsid w:val="00E34DE8"/>
    <w:rsid w:val="00E40337"/>
    <w:rsid w:val="00E51C4D"/>
    <w:rsid w:val="00E56EB3"/>
    <w:rsid w:val="00E717B8"/>
    <w:rsid w:val="00E8399D"/>
    <w:rsid w:val="00E8522C"/>
    <w:rsid w:val="00E8654C"/>
    <w:rsid w:val="00E92B0A"/>
    <w:rsid w:val="00E944EA"/>
    <w:rsid w:val="00E97C9A"/>
    <w:rsid w:val="00EB6BB6"/>
    <w:rsid w:val="00EB7F55"/>
    <w:rsid w:val="00EC1328"/>
    <w:rsid w:val="00ED6DEF"/>
    <w:rsid w:val="00EE17D2"/>
    <w:rsid w:val="00EE5573"/>
    <w:rsid w:val="00EF2EBC"/>
    <w:rsid w:val="00EF3861"/>
    <w:rsid w:val="00EF41E7"/>
    <w:rsid w:val="00EF5F71"/>
    <w:rsid w:val="00EF7E28"/>
    <w:rsid w:val="00F045C0"/>
    <w:rsid w:val="00F10A2B"/>
    <w:rsid w:val="00F12730"/>
    <w:rsid w:val="00F21B1C"/>
    <w:rsid w:val="00F31E21"/>
    <w:rsid w:val="00F33AC2"/>
    <w:rsid w:val="00F4438B"/>
    <w:rsid w:val="00F510D9"/>
    <w:rsid w:val="00F52726"/>
    <w:rsid w:val="00F623D8"/>
    <w:rsid w:val="00F63553"/>
    <w:rsid w:val="00F66625"/>
    <w:rsid w:val="00F7207C"/>
    <w:rsid w:val="00FB174F"/>
    <w:rsid w:val="00FB5094"/>
    <w:rsid w:val="00FB5C8F"/>
    <w:rsid w:val="00FB75DE"/>
    <w:rsid w:val="00FE376C"/>
    <w:rsid w:val="00FE4086"/>
    <w:rsid w:val="00FE5151"/>
    <w:rsid w:val="00FE7C86"/>
    <w:rsid w:val="00FF109E"/>
    <w:rsid w:val="00FF2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47C"/>
    <w:rPr>
      <w:sz w:val="24"/>
      <w:szCs w:val="24"/>
    </w:rPr>
  </w:style>
  <w:style w:type="paragraph" w:styleId="Heading1">
    <w:name w:val="heading 1"/>
    <w:basedOn w:val="Normal"/>
    <w:next w:val="Normal"/>
    <w:link w:val="Heading1Char"/>
    <w:uiPriority w:val="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7A1BF0"/>
    <w:pPr>
      <w:numPr>
        <w:ilvl w:val="6"/>
        <w:numId w:val="1"/>
      </w:numPr>
      <w:spacing w:before="240" w:after="60"/>
      <w:outlineLvl w:val="6"/>
    </w:pPr>
  </w:style>
  <w:style w:type="paragraph" w:styleId="Heading8">
    <w:name w:val="heading 8"/>
    <w:basedOn w:val="Normal"/>
    <w:next w:val="Normal"/>
    <w:link w:val="Heading8Char"/>
    <w:uiPriority w:val="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59"/>
    <w:rsid w:val="0077204A"/>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uiPriority w:val="99"/>
    <w:rsid w:val="001F658B"/>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rsid w:val="00BB028D"/>
    <w:pPr>
      <w:ind w:left="720"/>
    </w:pPr>
  </w:style>
  <w:style w:type="numbering" w:styleId="111111">
    <w:name w:val="Outline List 2"/>
    <w:basedOn w:val="NoList"/>
    <w:uiPriority w:val="99"/>
    <w:semiHidden/>
    <w:unhideWhenUs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47C"/>
    <w:rPr>
      <w:sz w:val="24"/>
      <w:szCs w:val="24"/>
    </w:rPr>
  </w:style>
  <w:style w:type="paragraph" w:styleId="Heading1">
    <w:name w:val="heading 1"/>
    <w:basedOn w:val="Normal"/>
    <w:next w:val="Normal"/>
    <w:link w:val="Heading1Char"/>
    <w:uiPriority w:val="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7A1BF0"/>
    <w:pPr>
      <w:numPr>
        <w:ilvl w:val="6"/>
        <w:numId w:val="1"/>
      </w:numPr>
      <w:spacing w:before="240" w:after="60"/>
      <w:outlineLvl w:val="6"/>
    </w:pPr>
  </w:style>
  <w:style w:type="paragraph" w:styleId="Heading8">
    <w:name w:val="heading 8"/>
    <w:basedOn w:val="Normal"/>
    <w:next w:val="Normal"/>
    <w:link w:val="Heading8Char"/>
    <w:uiPriority w:val="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59"/>
    <w:rsid w:val="0077204A"/>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uiPriority w:val="99"/>
    <w:rsid w:val="001F658B"/>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rsid w:val="00BB028D"/>
    <w:pPr>
      <w:ind w:left="720"/>
    </w:pPr>
  </w:style>
  <w:style w:type="numbering" w:styleId="111111">
    <w:name w:val="Outline List 2"/>
    <w:basedOn w:val="NoList"/>
    <w:uiPriority w:val="99"/>
    <w:semiHidden/>
    <w:unhideWhenUs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27401">
      <w:marLeft w:val="0"/>
      <w:marRight w:val="0"/>
      <w:marTop w:val="0"/>
      <w:marBottom w:val="0"/>
      <w:divBdr>
        <w:top w:val="none" w:sz="0" w:space="0" w:color="auto"/>
        <w:left w:val="none" w:sz="0" w:space="0" w:color="auto"/>
        <w:bottom w:val="none" w:sz="0" w:space="0" w:color="auto"/>
        <w:right w:val="none" w:sz="0" w:space="0" w:color="auto"/>
      </w:divBdr>
    </w:div>
    <w:div w:id="658727402">
      <w:marLeft w:val="0"/>
      <w:marRight w:val="0"/>
      <w:marTop w:val="0"/>
      <w:marBottom w:val="0"/>
      <w:divBdr>
        <w:top w:val="none" w:sz="0" w:space="0" w:color="auto"/>
        <w:left w:val="none" w:sz="0" w:space="0" w:color="auto"/>
        <w:bottom w:val="none" w:sz="0" w:space="0" w:color="auto"/>
        <w:right w:val="none" w:sz="0" w:space="0" w:color="auto"/>
      </w:divBdr>
    </w:div>
    <w:div w:id="658727403">
      <w:marLeft w:val="0"/>
      <w:marRight w:val="0"/>
      <w:marTop w:val="0"/>
      <w:marBottom w:val="0"/>
      <w:divBdr>
        <w:top w:val="none" w:sz="0" w:space="0" w:color="auto"/>
        <w:left w:val="none" w:sz="0" w:space="0" w:color="auto"/>
        <w:bottom w:val="none" w:sz="0" w:space="0" w:color="auto"/>
        <w:right w:val="none" w:sz="0" w:space="0" w:color="auto"/>
      </w:divBdr>
    </w:div>
    <w:div w:id="658727404">
      <w:marLeft w:val="0"/>
      <w:marRight w:val="0"/>
      <w:marTop w:val="0"/>
      <w:marBottom w:val="0"/>
      <w:divBdr>
        <w:top w:val="none" w:sz="0" w:space="0" w:color="auto"/>
        <w:left w:val="none" w:sz="0" w:space="0" w:color="auto"/>
        <w:bottom w:val="none" w:sz="0" w:space="0" w:color="auto"/>
        <w:right w:val="none" w:sz="0" w:space="0" w:color="auto"/>
      </w:divBdr>
    </w:div>
    <w:div w:id="658727405">
      <w:marLeft w:val="0"/>
      <w:marRight w:val="0"/>
      <w:marTop w:val="0"/>
      <w:marBottom w:val="0"/>
      <w:divBdr>
        <w:top w:val="none" w:sz="0" w:space="0" w:color="auto"/>
        <w:left w:val="none" w:sz="0" w:space="0" w:color="auto"/>
        <w:bottom w:val="none" w:sz="0" w:space="0" w:color="auto"/>
        <w:right w:val="none" w:sz="0" w:space="0" w:color="auto"/>
      </w:divBdr>
    </w:div>
    <w:div w:id="658727406">
      <w:marLeft w:val="0"/>
      <w:marRight w:val="0"/>
      <w:marTop w:val="0"/>
      <w:marBottom w:val="0"/>
      <w:divBdr>
        <w:top w:val="none" w:sz="0" w:space="0" w:color="auto"/>
        <w:left w:val="none" w:sz="0" w:space="0" w:color="auto"/>
        <w:bottom w:val="none" w:sz="0" w:space="0" w:color="auto"/>
        <w:right w:val="none" w:sz="0" w:space="0" w:color="auto"/>
      </w:divBdr>
    </w:div>
    <w:div w:id="658727407">
      <w:marLeft w:val="0"/>
      <w:marRight w:val="0"/>
      <w:marTop w:val="0"/>
      <w:marBottom w:val="0"/>
      <w:divBdr>
        <w:top w:val="none" w:sz="0" w:space="0" w:color="auto"/>
        <w:left w:val="none" w:sz="0" w:space="0" w:color="auto"/>
        <w:bottom w:val="none" w:sz="0" w:space="0" w:color="auto"/>
        <w:right w:val="none" w:sz="0" w:space="0" w:color="auto"/>
      </w:divBdr>
    </w:div>
    <w:div w:id="89215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1511</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Rebecca Horley</dc:creator>
  <cp:lastModifiedBy>Matthew Swinford</cp:lastModifiedBy>
  <cp:revision>2</cp:revision>
  <cp:lastPrinted>2012-07-19T09:56:00Z</cp:lastPrinted>
  <dcterms:created xsi:type="dcterms:W3CDTF">2016-04-19T14:10:00Z</dcterms:created>
  <dcterms:modified xsi:type="dcterms:W3CDTF">2016-04-19T14:10:00Z</dcterms:modified>
</cp:coreProperties>
</file>