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2D" w:rsidRDefault="00AE6A2D" w:rsidP="00AE6A2D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White, Joy - E&amp;E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mailto:Joy.White@Oxfordshire.gov.uk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03 October 2016 17:27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Coyne;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E&amp;E; Barrett, Adam - E&amp;E; Richardson, Julian - E&amp;E; Kirkwood, Anthony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16/00422 DISC - Land NE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Lane, Bicester</w:t>
      </w:r>
    </w:p>
    <w:p w:rsidR="00AE6A2D" w:rsidRDefault="00AE6A2D" w:rsidP="00AE6A2D"/>
    <w:p w:rsidR="00AE6A2D" w:rsidRDefault="00AE6A2D" w:rsidP="00A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Matt</w:t>
      </w:r>
    </w:p>
    <w:p w:rsidR="00AE6A2D" w:rsidRDefault="00AE6A2D" w:rsidP="00AE6A2D">
      <w:pPr>
        <w:rPr>
          <w:rFonts w:ascii="Arial" w:hAnsi="Arial" w:cs="Arial"/>
          <w:sz w:val="24"/>
          <w:szCs w:val="24"/>
          <w:u w:val="single"/>
        </w:rPr>
      </w:pPr>
    </w:p>
    <w:p w:rsidR="00AE6A2D" w:rsidRDefault="00AE6A2D" w:rsidP="00AE6A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Re: Conditions 2, 10 and 13 of 15/01012/OUT</w:t>
      </w:r>
    </w:p>
    <w:p w:rsidR="00AE6A2D" w:rsidRDefault="00AE6A2D" w:rsidP="00AE6A2D">
      <w:pPr>
        <w:rPr>
          <w:rFonts w:ascii="Arial" w:hAnsi="Arial" w:cs="Arial"/>
          <w:sz w:val="24"/>
          <w:szCs w:val="24"/>
          <w:u w:val="single"/>
        </w:rPr>
      </w:pP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2 relates to a phasing plan.  I have the following comments:</w:t>
      </w:r>
    </w:p>
    <w:p w:rsidR="00AE6A2D" w:rsidRDefault="00AE6A2D" w:rsidP="00AE6A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Phase 1 Highway Works do not cover the full extent of the off-site highway works agreed in S106.  It should include the footway/cycleway along </w:t>
      </w:r>
      <w:proofErr w:type="spellStart"/>
      <w:r>
        <w:rPr>
          <w:rFonts w:ascii="Arial" w:hAnsi="Arial" w:cs="Arial"/>
          <w:sz w:val="24"/>
          <w:szCs w:val="24"/>
        </w:rPr>
        <w:t>Skimmingdish</w:t>
      </w:r>
      <w:proofErr w:type="spellEnd"/>
      <w:r>
        <w:rPr>
          <w:rFonts w:ascii="Arial" w:hAnsi="Arial" w:cs="Arial"/>
          <w:sz w:val="24"/>
          <w:szCs w:val="24"/>
        </w:rPr>
        <w:t xml:space="preserve"> Lane and the Toucan Crossing.  These are all required to be complete prior to first occupation.  Also it does not cover the carriageway widening on the SE arm of the </w:t>
      </w:r>
      <w:proofErr w:type="spellStart"/>
      <w:r>
        <w:rPr>
          <w:rFonts w:ascii="Arial" w:hAnsi="Arial" w:cs="Arial"/>
          <w:sz w:val="24"/>
          <w:szCs w:val="24"/>
        </w:rPr>
        <w:t>Launton</w:t>
      </w:r>
      <w:proofErr w:type="spellEnd"/>
      <w:r>
        <w:rPr>
          <w:rFonts w:ascii="Arial" w:hAnsi="Arial" w:cs="Arial"/>
          <w:sz w:val="24"/>
          <w:szCs w:val="24"/>
        </w:rPr>
        <w:t xml:space="preserve"> Road Roundabout.</w:t>
      </w:r>
    </w:p>
    <w:p w:rsidR="00AE6A2D" w:rsidRDefault="00AE6A2D" w:rsidP="00AE6A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diverted footpath does not appear to be included with any of the phases – this requires clarification.</w:t>
      </w:r>
    </w:p>
    <w:p w:rsidR="00AE6A2D" w:rsidRDefault="00AE6A2D" w:rsidP="00AE6A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Until these details are sorted out, the </w:t>
      </w:r>
      <w:r>
        <w:rPr>
          <w:rFonts w:ascii="Arial" w:hAnsi="Arial" w:cs="Arial"/>
          <w:sz w:val="24"/>
          <w:szCs w:val="24"/>
          <w:u w:val="single"/>
        </w:rPr>
        <w:t>Highway Authority objects to the discharge of this condition</w:t>
      </w: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</w:p>
    <w:p w:rsidR="00AE6A2D" w:rsidRDefault="00AE6A2D" w:rsidP="00AE6A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Plans submitted for conditions 10 and 13 appear to be in accordance with indicative drawings agreed at outline planning stage.  It is understood that a S278 application has been made and the detail will be subject to technical approval as part of that process.  Therefore, </w:t>
      </w:r>
      <w:r>
        <w:rPr>
          <w:rFonts w:ascii="Arial" w:hAnsi="Arial" w:cs="Arial"/>
          <w:sz w:val="24"/>
          <w:szCs w:val="24"/>
          <w:u w:val="single"/>
        </w:rPr>
        <w:t xml:space="preserve">the Highway Authority has no objection to the discharge of these conditions, subject to technical approval and compliance.  </w:t>
      </w:r>
    </w:p>
    <w:p w:rsidR="00AE6A2D" w:rsidRDefault="00AE6A2D" w:rsidP="00AE6A2D">
      <w:pPr>
        <w:rPr>
          <w:rFonts w:ascii="Arial" w:hAnsi="Arial" w:cs="Arial"/>
          <w:sz w:val="24"/>
          <w:szCs w:val="24"/>
          <w:u w:val="single"/>
        </w:rPr>
      </w:pP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 have the following queries, which I would expect to be addressed during technical approval:</w:t>
      </w:r>
    </w:p>
    <w:p w:rsidR="00AE6A2D" w:rsidRDefault="00AE6A2D" w:rsidP="00AE6A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Drainage on the A4421 SE of the roundabout is marked to discharge into Langford Brook.  The acceptability of this will need to be confirmed.</w:t>
      </w:r>
    </w:p>
    <w:p w:rsidR="00AE6A2D" w:rsidRDefault="00AE6A2D" w:rsidP="00AE6A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Trees within the highway boundary between the roundabout and the new Toucan crossing are marked to be protected, but might have to be removed to maximise forward visibility.</w:t>
      </w: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information, fees to cover the cost of formal consultation required for the bus stop clearways and toucan</w:t>
      </w:r>
      <w:proofErr w:type="gramStart"/>
      <w:r>
        <w:rPr>
          <w:rFonts w:ascii="Arial" w:hAnsi="Arial" w:cs="Arial"/>
          <w:sz w:val="24"/>
          <w:szCs w:val="24"/>
        </w:rPr>
        <w:t>  crossing</w:t>
      </w:r>
      <w:proofErr w:type="gramEnd"/>
      <w:r>
        <w:rPr>
          <w:rFonts w:ascii="Arial" w:hAnsi="Arial" w:cs="Arial"/>
          <w:sz w:val="24"/>
          <w:szCs w:val="24"/>
        </w:rPr>
        <w:t xml:space="preserve"> will be charged as part of the S278 process.</w:t>
      </w: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to note:</w:t>
      </w:r>
    </w:p>
    <w:p w:rsidR="00AE6A2D" w:rsidRDefault="00AE6A2D" w:rsidP="00AE6A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details of the bus shelter proposed will need to be approved by Bicester Town Council.</w:t>
      </w:r>
    </w:p>
    <w:p w:rsidR="00AE6A2D" w:rsidRDefault="00AE6A2D" w:rsidP="00AE6A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may be opportunities to dovetail works with the access works for the residential site opposite (</w:t>
      </w:r>
      <w:proofErr w:type="spellStart"/>
      <w:r>
        <w:rPr>
          <w:rFonts w:ascii="Arial" w:hAnsi="Arial" w:cs="Arial"/>
          <w:sz w:val="24"/>
          <w:szCs w:val="24"/>
        </w:rPr>
        <w:t>bellmouth</w:t>
      </w:r>
      <w:proofErr w:type="spellEnd"/>
      <w:r>
        <w:rPr>
          <w:rFonts w:ascii="Arial" w:hAnsi="Arial" w:cs="Arial"/>
          <w:sz w:val="24"/>
          <w:szCs w:val="24"/>
        </w:rPr>
        <w:t xml:space="preserve"> shown dotted on the plans for this application)</w:t>
      </w: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</w:t>
      </w: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</w:p>
    <w:p w:rsidR="00AE6A2D" w:rsidRDefault="00AE6A2D" w:rsidP="00AE6A2D">
      <w:pPr>
        <w:rPr>
          <w:rFonts w:ascii="Arial" w:hAnsi="Arial" w:cs="Arial"/>
          <w:sz w:val="24"/>
          <w:szCs w:val="24"/>
        </w:rPr>
      </w:pPr>
    </w:p>
    <w:p w:rsidR="00AE6A2D" w:rsidRDefault="00AE6A2D" w:rsidP="00AE6A2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Joy White</w:t>
      </w:r>
    </w:p>
    <w:p w:rsidR="00AE6A2D" w:rsidRDefault="00AE6A2D" w:rsidP="00AE6A2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Principal Transport Planner, Transport Development Control</w:t>
      </w:r>
    </w:p>
    <w:p w:rsidR="00AE6A2D" w:rsidRDefault="00AE6A2D" w:rsidP="00AE6A2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(Cherwell and West Oxfordshire) </w:t>
      </w:r>
    </w:p>
    <w:p w:rsidR="00AE6A2D" w:rsidRDefault="00AE6A2D" w:rsidP="00AE6A2D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Oxfordshire County Council</w:t>
      </w:r>
    </w:p>
    <w:p w:rsidR="00AE6A2D" w:rsidRDefault="00AE6A2D" w:rsidP="00AE6A2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Mobile 07554103522</w:t>
      </w:r>
    </w:p>
    <w:p w:rsidR="00C92C9F" w:rsidRDefault="00C92C9F">
      <w:bookmarkStart w:id="0" w:name="_GoBack"/>
      <w:bookmarkEnd w:id="0"/>
    </w:p>
    <w:sectPr w:rsidR="00C92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11B"/>
    <w:multiLevelType w:val="hybridMultilevel"/>
    <w:tmpl w:val="4830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389F"/>
    <w:multiLevelType w:val="hybridMultilevel"/>
    <w:tmpl w:val="E5BE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349"/>
    <w:multiLevelType w:val="hybridMultilevel"/>
    <w:tmpl w:val="8740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D"/>
    <w:rsid w:val="00AE6A2D"/>
    <w:rsid w:val="00C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A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A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.White@Oxford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>Cherwell District Council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2016-10-04T08:16:00Z</dcterms:created>
  <dcterms:modified xsi:type="dcterms:W3CDTF">2016-10-04T08:17:00Z</dcterms:modified>
</cp:coreProperties>
</file>