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60" w:rsidRPr="00D62C75" w:rsidRDefault="00F07560" w:rsidP="00F07560">
      <w:pPr>
        <w:numPr>
          <w:ilvl w:val="0"/>
          <w:numId w:val="2"/>
        </w:numPr>
        <w:tabs>
          <w:tab w:val="clear" w:pos="360"/>
        </w:tabs>
        <w:ind w:left="567" w:hanging="567"/>
        <w:jc w:val="both"/>
        <w:rPr>
          <w:rFonts w:ascii="Arial" w:hAnsi="Arial" w:cs="Arial"/>
          <w:b/>
        </w:rPr>
      </w:pPr>
      <w:r w:rsidRPr="00D62C75">
        <w:rPr>
          <w:rFonts w:ascii="Arial" w:hAnsi="Arial" w:cs="Arial"/>
          <w:b/>
        </w:rPr>
        <w:t xml:space="preserve">Application Site and Locality </w:t>
      </w:r>
    </w:p>
    <w:p w:rsidR="00F07560" w:rsidRPr="00D62C75" w:rsidRDefault="00F07560" w:rsidP="00F07560">
      <w:pPr>
        <w:ind w:left="567"/>
        <w:jc w:val="both"/>
        <w:rPr>
          <w:rFonts w:ascii="Arial" w:hAnsi="Arial" w:cs="Arial"/>
        </w:rPr>
      </w:pPr>
    </w:p>
    <w:p w:rsidR="00F07560" w:rsidRPr="00D62C75" w:rsidRDefault="00F07560" w:rsidP="00F07560">
      <w:pPr>
        <w:numPr>
          <w:ilvl w:val="1"/>
          <w:numId w:val="4"/>
        </w:numPr>
        <w:spacing w:after="240"/>
        <w:ind w:left="567" w:hanging="567"/>
        <w:jc w:val="both"/>
        <w:rPr>
          <w:rFonts w:ascii="Arial" w:hAnsi="Arial" w:cs="Arial"/>
        </w:rPr>
      </w:pPr>
      <w:r w:rsidRPr="00D62C75">
        <w:rPr>
          <w:rFonts w:ascii="Arial" w:hAnsi="Arial" w:cs="Arial"/>
        </w:rPr>
        <w:t xml:space="preserve">The application relates to Land </w:t>
      </w:r>
      <w:r w:rsidR="00AE0406" w:rsidRPr="00D62C75">
        <w:rPr>
          <w:rFonts w:ascii="Arial" w:hAnsi="Arial" w:cs="Arial"/>
        </w:rPr>
        <w:t xml:space="preserve">located on the northern edge of Bicester. The site is approximately 14.45 hectares in size and lies on the north side of </w:t>
      </w:r>
      <w:proofErr w:type="spellStart"/>
      <w:r w:rsidR="00AE0406" w:rsidRPr="00D62C75">
        <w:rPr>
          <w:rFonts w:ascii="Arial" w:hAnsi="Arial" w:cs="Arial"/>
        </w:rPr>
        <w:t>Skimmingdish</w:t>
      </w:r>
      <w:proofErr w:type="spellEnd"/>
      <w:r w:rsidR="00AE0406" w:rsidRPr="00D62C75">
        <w:rPr>
          <w:rFonts w:ascii="Arial" w:hAnsi="Arial" w:cs="Arial"/>
        </w:rPr>
        <w:t xml:space="preserve"> Lane (A4421), the north circular road around Bicester. </w:t>
      </w:r>
      <w:r w:rsidRPr="00D62C75">
        <w:rPr>
          <w:rFonts w:ascii="Arial" w:hAnsi="Arial" w:cs="Arial"/>
        </w:rPr>
        <w:t xml:space="preserve">Outline permission has been granted for up to </w:t>
      </w:r>
      <w:r w:rsidR="00AE0406" w:rsidRPr="00D62C75">
        <w:rPr>
          <w:rFonts w:ascii="Arial" w:hAnsi="Arial" w:cs="Arial"/>
        </w:rPr>
        <w:t xml:space="preserve">48,308sqm of employment </w:t>
      </w:r>
      <w:proofErr w:type="spellStart"/>
      <w:r w:rsidR="00AE0406" w:rsidRPr="00D62C75">
        <w:rPr>
          <w:rFonts w:ascii="Arial" w:hAnsi="Arial" w:cs="Arial"/>
        </w:rPr>
        <w:t>floorspace</w:t>
      </w:r>
      <w:proofErr w:type="spellEnd"/>
      <w:r w:rsidR="00AE0406" w:rsidRPr="00D62C75">
        <w:rPr>
          <w:rFonts w:ascii="Arial" w:hAnsi="Arial" w:cs="Arial"/>
        </w:rPr>
        <w:t xml:space="preserve"> (Class B1c, B2, B8 and ancillary B1a uses), the siting of buildings to the south of the site, servicing and circulation areas, vehicular and pedestrian access from </w:t>
      </w:r>
      <w:proofErr w:type="spellStart"/>
      <w:r w:rsidR="00AE0406" w:rsidRPr="00D62C75">
        <w:rPr>
          <w:rFonts w:ascii="Arial" w:hAnsi="Arial" w:cs="Arial"/>
        </w:rPr>
        <w:t>Skimmingdish</w:t>
      </w:r>
      <w:proofErr w:type="spellEnd"/>
      <w:r w:rsidR="00AE0406" w:rsidRPr="00D62C75">
        <w:rPr>
          <w:rFonts w:ascii="Arial" w:hAnsi="Arial" w:cs="Arial"/>
        </w:rPr>
        <w:t xml:space="preserve"> Lane and landscaping (application 15/01012/OUT refers)</w:t>
      </w:r>
      <w:r w:rsidRPr="00D62C75">
        <w:rPr>
          <w:rFonts w:ascii="Arial" w:hAnsi="Arial" w:cs="Arial"/>
        </w:rPr>
        <w:t xml:space="preserve">. </w:t>
      </w:r>
    </w:p>
    <w:p w:rsidR="00F07560" w:rsidRPr="00D62C75" w:rsidRDefault="00F07560" w:rsidP="00AE0406">
      <w:pPr>
        <w:numPr>
          <w:ilvl w:val="0"/>
          <w:numId w:val="2"/>
        </w:numPr>
        <w:tabs>
          <w:tab w:val="clear" w:pos="360"/>
        </w:tabs>
        <w:ind w:left="567" w:hanging="567"/>
        <w:jc w:val="both"/>
        <w:rPr>
          <w:rFonts w:ascii="Arial" w:hAnsi="Arial" w:cs="Arial"/>
          <w:b/>
        </w:rPr>
      </w:pPr>
      <w:r w:rsidRPr="00D62C75">
        <w:rPr>
          <w:rFonts w:ascii="Arial" w:hAnsi="Arial" w:cs="Arial"/>
          <w:b/>
        </w:rPr>
        <w:t>Description of Proposed Development</w:t>
      </w:r>
    </w:p>
    <w:p w:rsidR="00AE0406" w:rsidRPr="00D62C75" w:rsidRDefault="00AE0406" w:rsidP="00AE0406">
      <w:pPr>
        <w:ind w:left="567"/>
        <w:jc w:val="both"/>
        <w:rPr>
          <w:rFonts w:ascii="Arial" w:hAnsi="Arial" w:cs="Arial"/>
          <w:b/>
        </w:rPr>
      </w:pPr>
    </w:p>
    <w:p w:rsidR="00F07560" w:rsidRPr="00D62C75" w:rsidRDefault="00F07560" w:rsidP="00AE0406">
      <w:pPr>
        <w:pStyle w:val="ListParagraph"/>
        <w:numPr>
          <w:ilvl w:val="0"/>
          <w:numId w:val="12"/>
        </w:numPr>
        <w:spacing w:after="240"/>
        <w:ind w:left="567" w:hanging="567"/>
        <w:jc w:val="both"/>
        <w:rPr>
          <w:rFonts w:ascii="Arial" w:hAnsi="Arial" w:cs="Arial"/>
        </w:rPr>
      </w:pPr>
      <w:r w:rsidRPr="00D62C75">
        <w:rPr>
          <w:rFonts w:ascii="Arial" w:hAnsi="Arial" w:cs="Arial"/>
        </w:rPr>
        <w:t xml:space="preserve">The current application seeks to discharge </w:t>
      </w:r>
      <w:r w:rsidR="00AE0406" w:rsidRPr="00D62C75">
        <w:rPr>
          <w:rFonts w:ascii="Arial" w:hAnsi="Arial" w:cs="Arial"/>
        </w:rPr>
        <w:t>Conditions 2 (Phasing plan), 10 (Details of off-site highway works), 13 (Means of Access), 15 (Written scheme of investigation), 16 (Archaeological investigation), 17 (CEMP), 20 (Badger mitigation) and 21 (Reptile mitigation) of application 15/01012/OUT</w:t>
      </w:r>
      <w:r w:rsidRPr="00D62C75">
        <w:rPr>
          <w:rFonts w:ascii="Arial" w:hAnsi="Arial" w:cs="Arial"/>
        </w:rPr>
        <w:t xml:space="preserve">. </w:t>
      </w:r>
    </w:p>
    <w:p w:rsidR="00F07560" w:rsidRPr="00D62C75" w:rsidRDefault="00F07560" w:rsidP="00925315">
      <w:pPr>
        <w:numPr>
          <w:ilvl w:val="0"/>
          <w:numId w:val="2"/>
        </w:numPr>
        <w:tabs>
          <w:tab w:val="clear" w:pos="360"/>
        </w:tabs>
        <w:ind w:left="567" w:hanging="567"/>
        <w:jc w:val="both"/>
        <w:rPr>
          <w:rFonts w:ascii="Arial" w:hAnsi="Arial" w:cs="Arial"/>
          <w:b/>
        </w:rPr>
      </w:pPr>
      <w:r w:rsidRPr="00D62C75">
        <w:rPr>
          <w:rFonts w:ascii="Arial" w:hAnsi="Arial" w:cs="Arial"/>
          <w:b/>
        </w:rPr>
        <w:t>Appraisal</w:t>
      </w:r>
    </w:p>
    <w:p w:rsidR="00925315" w:rsidRPr="00D62C75" w:rsidRDefault="00925315" w:rsidP="00925315">
      <w:pPr>
        <w:ind w:left="567"/>
        <w:jc w:val="both"/>
        <w:rPr>
          <w:rFonts w:ascii="Arial" w:hAnsi="Arial" w:cs="Arial"/>
          <w:b/>
        </w:rPr>
      </w:pPr>
    </w:p>
    <w:p w:rsidR="00925315" w:rsidRPr="00D62C75" w:rsidRDefault="00925315" w:rsidP="00925315">
      <w:pPr>
        <w:pStyle w:val="ListParagraph"/>
        <w:numPr>
          <w:ilvl w:val="0"/>
          <w:numId w:val="13"/>
        </w:numPr>
        <w:spacing w:after="240"/>
        <w:ind w:left="567" w:hanging="567"/>
        <w:jc w:val="both"/>
        <w:rPr>
          <w:rFonts w:ascii="Arial" w:hAnsi="Arial" w:cs="Arial"/>
        </w:rPr>
      </w:pPr>
      <w:r w:rsidRPr="00D62C75">
        <w:rPr>
          <w:rFonts w:ascii="Arial" w:hAnsi="Arial" w:cs="Arial"/>
          <w:u w:val="single"/>
        </w:rPr>
        <w:t xml:space="preserve">Condition </w:t>
      </w:r>
      <w:r w:rsidR="00F07560" w:rsidRPr="00D62C75">
        <w:rPr>
          <w:rFonts w:ascii="Arial" w:hAnsi="Arial" w:cs="Arial"/>
          <w:u w:val="single"/>
        </w:rPr>
        <w:t>2</w:t>
      </w:r>
      <w:r w:rsidRPr="00D62C75">
        <w:rPr>
          <w:rFonts w:ascii="Arial" w:hAnsi="Arial" w:cs="Arial"/>
        </w:rPr>
        <w:t xml:space="preserve"> required a phasing plan covering the entire site to be submitted to and approved in writing by the Local Planning Authority. This information was provided in the amended drawing </w:t>
      </w:r>
      <w:r w:rsidR="008206F1" w:rsidRPr="00D62C75">
        <w:rPr>
          <w:rFonts w:ascii="Arial" w:hAnsi="Arial" w:cs="Arial"/>
        </w:rPr>
        <w:t>‘</w:t>
      </w:r>
      <w:r w:rsidRPr="00D62C75">
        <w:rPr>
          <w:rFonts w:ascii="Arial" w:hAnsi="Arial" w:cs="Arial"/>
        </w:rPr>
        <w:t>3830-22-03 – Nov 2016</w:t>
      </w:r>
      <w:r w:rsidR="008206F1" w:rsidRPr="00D62C75">
        <w:rPr>
          <w:rFonts w:ascii="Arial" w:hAnsi="Arial" w:cs="Arial"/>
        </w:rPr>
        <w:t>’</w:t>
      </w:r>
      <w:r w:rsidRPr="00D62C75">
        <w:rPr>
          <w:rFonts w:ascii="Arial" w:hAnsi="Arial" w:cs="Arial"/>
        </w:rPr>
        <w:t xml:space="preserve"> and was submitted following comments received from Oxfordshire County Council </w:t>
      </w:r>
      <w:r w:rsidR="008206F1" w:rsidRPr="00D62C75">
        <w:rPr>
          <w:rFonts w:ascii="Arial" w:hAnsi="Arial" w:cs="Arial"/>
        </w:rPr>
        <w:t>(</w:t>
      </w:r>
      <w:r w:rsidRPr="00D62C75">
        <w:rPr>
          <w:rFonts w:ascii="Arial" w:hAnsi="Arial" w:cs="Arial"/>
        </w:rPr>
        <w:t>regarding the inclusion of the full extent of the off-site highway works</w:t>
      </w:r>
      <w:r w:rsidR="008206F1" w:rsidRPr="00D62C75">
        <w:rPr>
          <w:rFonts w:ascii="Arial" w:hAnsi="Arial" w:cs="Arial"/>
        </w:rPr>
        <w:t>)</w:t>
      </w:r>
      <w:r w:rsidRPr="00D62C75">
        <w:rPr>
          <w:rFonts w:ascii="Arial" w:hAnsi="Arial" w:cs="Arial"/>
        </w:rPr>
        <w:t xml:space="preserve">. Following the submission of </w:t>
      </w:r>
      <w:r w:rsidR="0030752A">
        <w:rPr>
          <w:rFonts w:ascii="Arial" w:hAnsi="Arial" w:cs="Arial"/>
        </w:rPr>
        <w:t>the</w:t>
      </w:r>
      <w:r w:rsidRPr="00D62C75">
        <w:rPr>
          <w:rFonts w:ascii="Arial" w:hAnsi="Arial" w:cs="Arial"/>
        </w:rPr>
        <w:t xml:space="preserve"> amended plan, OCC removed their objection to the discharge of this condition. It is therefore considered that the plan provided is sufficient to be able to discharge this condition.  </w:t>
      </w:r>
    </w:p>
    <w:p w:rsidR="00925315" w:rsidRPr="00D62C75" w:rsidRDefault="00925315" w:rsidP="00726043">
      <w:pPr>
        <w:pStyle w:val="ListParagraph"/>
        <w:numPr>
          <w:ilvl w:val="0"/>
          <w:numId w:val="13"/>
        </w:numPr>
        <w:spacing w:after="240"/>
        <w:ind w:left="567" w:hanging="567"/>
        <w:jc w:val="both"/>
        <w:rPr>
          <w:rFonts w:ascii="Arial" w:hAnsi="Arial" w:cs="Arial"/>
        </w:rPr>
      </w:pPr>
      <w:r w:rsidRPr="00D62C75">
        <w:rPr>
          <w:rFonts w:ascii="Arial" w:hAnsi="Arial" w:cs="Arial"/>
          <w:u w:val="single"/>
        </w:rPr>
        <w:t>Condition 10</w:t>
      </w:r>
      <w:r w:rsidRPr="00D62C75">
        <w:rPr>
          <w:rFonts w:ascii="Arial" w:hAnsi="Arial" w:cs="Arial"/>
        </w:rPr>
        <w:t xml:space="preserve"> required details of the highway improvement works, including a new signalised pedestrian crossing on </w:t>
      </w:r>
      <w:proofErr w:type="spellStart"/>
      <w:r w:rsidRPr="00D62C75">
        <w:rPr>
          <w:rFonts w:ascii="Arial" w:hAnsi="Arial" w:cs="Arial"/>
        </w:rPr>
        <w:t>Skimmingdish</w:t>
      </w:r>
      <w:proofErr w:type="spellEnd"/>
      <w:r w:rsidRPr="00D62C75">
        <w:rPr>
          <w:rFonts w:ascii="Arial" w:hAnsi="Arial" w:cs="Arial"/>
        </w:rPr>
        <w:t xml:space="preserve"> Lane; footway widening along </w:t>
      </w:r>
      <w:proofErr w:type="spellStart"/>
      <w:r w:rsidRPr="00D62C75">
        <w:rPr>
          <w:rFonts w:ascii="Arial" w:hAnsi="Arial" w:cs="Arial"/>
        </w:rPr>
        <w:t>Skimmingdish</w:t>
      </w:r>
      <w:proofErr w:type="spellEnd"/>
      <w:r w:rsidRPr="00D62C75">
        <w:rPr>
          <w:rFonts w:ascii="Arial" w:hAnsi="Arial" w:cs="Arial"/>
        </w:rPr>
        <w:t xml:space="preserve"> Lane; provision of Bus stop laybys on </w:t>
      </w:r>
      <w:proofErr w:type="spellStart"/>
      <w:r w:rsidRPr="00D62C75">
        <w:rPr>
          <w:rFonts w:ascii="Arial" w:hAnsi="Arial" w:cs="Arial"/>
        </w:rPr>
        <w:t>Skimmingdish</w:t>
      </w:r>
      <w:proofErr w:type="spellEnd"/>
      <w:r w:rsidRPr="00D62C75">
        <w:rPr>
          <w:rFonts w:ascii="Arial" w:hAnsi="Arial" w:cs="Arial"/>
        </w:rPr>
        <w:t xml:space="preserve"> Lane between the site access and the adjacent roundabout to the south east; and works to the </w:t>
      </w:r>
      <w:proofErr w:type="spellStart"/>
      <w:r w:rsidRPr="00D62C75">
        <w:rPr>
          <w:rFonts w:ascii="Arial" w:hAnsi="Arial" w:cs="Arial"/>
        </w:rPr>
        <w:t>Skimmingdish</w:t>
      </w:r>
      <w:proofErr w:type="spellEnd"/>
      <w:r w:rsidR="00726043" w:rsidRPr="00D62C75">
        <w:rPr>
          <w:rFonts w:ascii="Arial" w:hAnsi="Arial" w:cs="Arial"/>
        </w:rPr>
        <w:t xml:space="preserve"> Lane/</w:t>
      </w:r>
      <w:proofErr w:type="spellStart"/>
      <w:r w:rsidRPr="00D62C75">
        <w:rPr>
          <w:rFonts w:ascii="Arial" w:hAnsi="Arial" w:cs="Arial"/>
        </w:rPr>
        <w:t>La</w:t>
      </w:r>
      <w:r w:rsidR="00726043" w:rsidRPr="00D62C75">
        <w:rPr>
          <w:rFonts w:ascii="Arial" w:hAnsi="Arial" w:cs="Arial"/>
        </w:rPr>
        <w:t>unton</w:t>
      </w:r>
      <w:proofErr w:type="spellEnd"/>
      <w:r w:rsidR="00726043" w:rsidRPr="00D62C75">
        <w:rPr>
          <w:rFonts w:ascii="Arial" w:hAnsi="Arial" w:cs="Arial"/>
        </w:rPr>
        <w:t xml:space="preserve"> Road Roundabout to be </w:t>
      </w:r>
      <w:r w:rsidRPr="00D62C75">
        <w:rPr>
          <w:rFonts w:ascii="Arial" w:hAnsi="Arial" w:cs="Arial"/>
        </w:rPr>
        <w:t xml:space="preserve">submitted to and approved in writing by the Local Planning Authority </w:t>
      </w:r>
      <w:r w:rsidR="00726043" w:rsidRPr="00D62C75">
        <w:rPr>
          <w:rFonts w:ascii="Arial" w:hAnsi="Arial" w:cs="Arial"/>
        </w:rPr>
        <w:t>(</w:t>
      </w:r>
      <w:r w:rsidRPr="00D62C75">
        <w:rPr>
          <w:rFonts w:ascii="Arial" w:hAnsi="Arial" w:cs="Arial"/>
        </w:rPr>
        <w:t>in consultation with the Highway Authority</w:t>
      </w:r>
      <w:r w:rsidR="00726043" w:rsidRPr="00D62C75">
        <w:rPr>
          <w:rFonts w:ascii="Arial" w:hAnsi="Arial" w:cs="Arial"/>
        </w:rPr>
        <w:t>).</w:t>
      </w:r>
      <w:r w:rsidRPr="00D62C75">
        <w:rPr>
          <w:rFonts w:ascii="Arial" w:hAnsi="Arial" w:cs="Arial"/>
        </w:rPr>
        <w:t xml:space="preserve"> </w:t>
      </w:r>
      <w:r w:rsidR="00726043" w:rsidRPr="00D62C75">
        <w:rPr>
          <w:rFonts w:ascii="Arial" w:hAnsi="Arial" w:cs="Arial"/>
        </w:rPr>
        <w:t>OCC agreed to the discharge of this condition as the detail appeared to be in accordance with the indicative drawings provided during the outline planning application.</w:t>
      </w:r>
      <w:r w:rsidR="008206F1" w:rsidRPr="00D62C75">
        <w:rPr>
          <w:rFonts w:ascii="Arial" w:hAnsi="Arial" w:cs="Arial"/>
        </w:rPr>
        <w:t xml:space="preserve"> OCC did, however, </w:t>
      </w:r>
      <w:r w:rsidR="008206F1" w:rsidRPr="00D62C75">
        <w:rPr>
          <w:rFonts w:ascii="Arial" w:hAnsi="Arial" w:cs="Arial"/>
        </w:rPr>
        <w:lastRenderedPageBreak/>
        <w:t>advise that the</w:t>
      </w:r>
      <w:r w:rsidR="00726043" w:rsidRPr="00D62C75">
        <w:rPr>
          <w:rFonts w:ascii="Arial" w:hAnsi="Arial" w:cs="Arial"/>
        </w:rPr>
        <w:t xml:space="preserve"> information will be subject to technical approval during the consideration of the S278 application. </w:t>
      </w:r>
    </w:p>
    <w:p w:rsidR="003A1645" w:rsidRPr="00D62C75" w:rsidRDefault="003A1645" w:rsidP="003A1645">
      <w:pPr>
        <w:pStyle w:val="ListParagraph"/>
        <w:numPr>
          <w:ilvl w:val="0"/>
          <w:numId w:val="13"/>
        </w:numPr>
        <w:spacing w:after="240"/>
        <w:ind w:left="567" w:hanging="567"/>
        <w:jc w:val="both"/>
        <w:rPr>
          <w:rFonts w:ascii="Arial" w:hAnsi="Arial" w:cs="Arial"/>
        </w:rPr>
      </w:pPr>
      <w:r w:rsidRPr="00D62C75">
        <w:rPr>
          <w:rFonts w:ascii="Arial" w:hAnsi="Arial" w:cs="Arial"/>
          <w:u w:val="single"/>
        </w:rPr>
        <w:t>Condition 13</w:t>
      </w:r>
      <w:r w:rsidRPr="00D62C75">
        <w:rPr>
          <w:rFonts w:ascii="Arial" w:hAnsi="Arial" w:cs="Arial"/>
        </w:rPr>
        <w:t xml:space="preserve"> required full details of the means of access between the land and the highway and associated pedestrian and cycle access improvements including; position, layout, construction, drainage and vision splays to be submitted to and approved in writing by the Local Planning Authority. OCC agreed to the discharge of this condition as the detail appeared to be in accordance with the indicative drawings provided during the outline planning application. </w:t>
      </w:r>
      <w:r w:rsidR="007A6E3C" w:rsidRPr="00D62C75">
        <w:rPr>
          <w:rFonts w:ascii="Arial" w:hAnsi="Arial" w:cs="Arial"/>
        </w:rPr>
        <w:t>OCC did, however, advise that t</w:t>
      </w:r>
      <w:r w:rsidRPr="00D62C75">
        <w:rPr>
          <w:rFonts w:ascii="Arial" w:hAnsi="Arial" w:cs="Arial"/>
        </w:rPr>
        <w:t xml:space="preserve">he information will be subject to technical approval during the consideration of the S278 application. </w:t>
      </w:r>
    </w:p>
    <w:p w:rsidR="00925315" w:rsidRPr="00D62C75" w:rsidRDefault="00925315" w:rsidP="007A6E3C">
      <w:pPr>
        <w:pStyle w:val="ListParagraph"/>
        <w:numPr>
          <w:ilvl w:val="0"/>
          <w:numId w:val="13"/>
        </w:numPr>
        <w:spacing w:after="240"/>
        <w:ind w:left="567" w:hanging="567"/>
        <w:jc w:val="both"/>
        <w:rPr>
          <w:rFonts w:ascii="Arial" w:hAnsi="Arial" w:cs="Arial"/>
        </w:rPr>
      </w:pPr>
      <w:r w:rsidRPr="00D62C75">
        <w:rPr>
          <w:rFonts w:ascii="Arial" w:hAnsi="Arial" w:cs="Arial"/>
          <w:u w:val="single"/>
        </w:rPr>
        <w:t>Condition 15</w:t>
      </w:r>
      <w:r w:rsidR="00153BCB" w:rsidRPr="00D62C75">
        <w:rPr>
          <w:rFonts w:ascii="Arial" w:hAnsi="Arial" w:cs="Arial"/>
        </w:rPr>
        <w:t xml:space="preserve"> </w:t>
      </w:r>
      <w:r w:rsidR="009350E4" w:rsidRPr="00D62C75">
        <w:rPr>
          <w:rFonts w:ascii="Arial" w:hAnsi="Arial" w:cs="Arial"/>
        </w:rPr>
        <w:t xml:space="preserve">required </w:t>
      </w:r>
      <w:r w:rsidR="00153BCB" w:rsidRPr="00D62C75">
        <w:rPr>
          <w:rFonts w:ascii="Arial" w:hAnsi="Arial" w:cs="Arial"/>
        </w:rPr>
        <w:t xml:space="preserve">a professional archaeological organisation </w:t>
      </w:r>
      <w:r w:rsidR="009350E4" w:rsidRPr="00D62C75">
        <w:rPr>
          <w:rFonts w:ascii="Arial" w:hAnsi="Arial" w:cs="Arial"/>
        </w:rPr>
        <w:t>(</w:t>
      </w:r>
      <w:r w:rsidR="00153BCB" w:rsidRPr="00D62C75">
        <w:rPr>
          <w:rFonts w:ascii="Arial" w:hAnsi="Arial" w:cs="Arial"/>
        </w:rPr>
        <w:t>acceptable to the Local Planning Authority</w:t>
      </w:r>
      <w:r w:rsidR="009350E4" w:rsidRPr="00D62C75">
        <w:rPr>
          <w:rFonts w:ascii="Arial" w:hAnsi="Arial" w:cs="Arial"/>
        </w:rPr>
        <w:t>)</w:t>
      </w:r>
      <w:r w:rsidR="00153BCB" w:rsidRPr="00D62C75">
        <w:rPr>
          <w:rFonts w:ascii="Arial" w:hAnsi="Arial" w:cs="Arial"/>
        </w:rPr>
        <w:t xml:space="preserve"> </w:t>
      </w:r>
      <w:r w:rsidR="0072182C" w:rsidRPr="00D62C75">
        <w:rPr>
          <w:rFonts w:ascii="Arial" w:hAnsi="Arial" w:cs="Arial"/>
        </w:rPr>
        <w:t xml:space="preserve">to </w:t>
      </w:r>
      <w:r w:rsidR="00153BCB" w:rsidRPr="00D62C75">
        <w:rPr>
          <w:rFonts w:ascii="Arial" w:hAnsi="Arial" w:cs="Arial"/>
        </w:rPr>
        <w:t xml:space="preserve">prepare an Archaeological Written Scheme of Investigation, relating to the application site area, </w:t>
      </w:r>
      <w:r w:rsidR="009350E4" w:rsidRPr="00D62C75">
        <w:rPr>
          <w:rFonts w:ascii="Arial" w:hAnsi="Arial" w:cs="Arial"/>
        </w:rPr>
        <w:t xml:space="preserve">and </w:t>
      </w:r>
      <w:r w:rsidR="0072182C" w:rsidRPr="00D62C75">
        <w:rPr>
          <w:rFonts w:ascii="Arial" w:hAnsi="Arial" w:cs="Arial"/>
        </w:rPr>
        <w:t>submit</w:t>
      </w:r>
      <w:r w:rsidR="00153BCB" w:rsidRPr="00D62C75">
        <w:rPr>
          <w:rFonts w:ascii="Arial" w:hAnsi="Arial" w:cs="Arial"/>
        </w:rPr>
        <w:t xml:space="preserve"> </w:t>
      </w:r>
      <w:r w:rsidR="0072182C" w:rsidRPr="00D62C75">
        <w:rPr>
          <w:rFonts w:ascii="Arial" w:hAnsi="Arial" w:cs="Arial"/>
        </w:rPr>
        <w:t xml:space="preserve">it </w:t>
      </w:r>
      <w:r w:rsidR="00153BCB" w:rsidRPr="00D62C75">
        <w:rPr>
          <w:rFonts w:ascii="Arial" w:hAnsi="Arial" w:cs="Arial"/>
        </w:rPr>
        <w:t>to the Local Planning Authority</w:t>
      </w:r>
      <w:r w:rsidR="0072182C" w:rsidRPr="00D62C75">
        <w:rPr>
          <w:rFonts w:ascii="Arial" w:hAnsi="Arial" w:cs="Arial"/>
        </w:rPr>
        <w:t xml:space="preserve"> for approval</w:t>
      </w:r>
      <w:r w:rsidR="00153BCB" w:rsidRPr="00D62C75">
        <w:rPr>
          <w:rFonts w:ascii="Arial" w:hAnsi="Arial" w:cs="Arial"/>
        </w:rPr>
        <w:t xml:space="preserve">. </w:t>
      </w:r>
      <w:r w:rsidR="00D908A9" w:rsidRPr="00D62C75">
        <w:rPr>
          <w:rFonts w:ascii="Arial" w:hAnsi="Arial" w:cs="Arial"/>
        </w:rPr>
        <w:t>OCC Archaeology stated that the WSI meets the requirements of</w:t>
      </w:r>
      <w:r w:rsidR="0072182C" w:rsidRPr="00D62C75">
        <w:rPr>
          <w:rFonts w:ascii="Arial" w:hAnsi="Arial" w:cs="Arial"/>
        </w:rPr>
        <w:t xml:space="preserve"> Condition 15 and therefore </w:t>
      </w:r>
      <w:r w:rsidR="00D908A9" w:rsidRPr="00D62C75">
        <w:rPr>
          <w:rFonts w:ascii="Arial" w:hAnsi="Arial" w:cs="Arial"/>
        </w:rPr>
        <w:t>this condition has been satisfied.</w:t>
      </w:r>
    </w:p>
    <w:p w:rsidR="00D908A9" w:rsidRPr="00D62C75" w:rsidRDefault="00925315" w:rsidP="00D908A9">
      <w:pPr>
        <w:pStyle w:val="ListParagraph"/>
        <w:numPr>
          <w:ilvl w:val="0"/>
          <w:numId w:val="13"/>
        </w:numPr>
        <w:spacing w:after="240"/>
        <w:ind w:left="567" w:hanging="567"/>
        <w:jc w:val="both"/>
        <w:rPr>
          <w:rFonts w:ascii="Arial" w:hAnsi="Arial" w:cs="Arial"/>
        </w:rPr>
      </w:pPr>
      <w:r w:rsidRPr="00D62C75">
        <w:rPr>
          <w:rFonts w:ascii="Arial" w:hAnsi="Arial" w:cs="Arial"/>
          <w:u w:val="single"/>
        </w:rPr>
        <w:t>Condition 16</w:t>
      </w:r>
      <w:r w:rsidR="00153BCB" w:rsidRPr="00D62C75">
        <w:rPr>
          <w:rFonts w:ascii="Arial" w:hAnsi="Arial" w:cs="Arial"/>
        </w:rPr>
        <w:t xml:space="preserve"> </w:t>
      </w:r>
      <w:r w:rsidR="00D908A9" w:rsidRPr="00D62C75">
        <w:rPr>
          <w:rFonts w:ascii="Arial" w:hAnsi="Arial" w:cs="Arial"/>
        </w:rPr>
        <w:t>required that, f</w:t>
      </w:r>
      <w:r w:rsidR="00153BCB" w:rsidRPr="00D62C75">
        <w:rPr>
          <w:rFonts w:ascii="Arial" w:hAnsi="Arial" w:cs="Arial"/>
        </w:rPr>
        <w:t xml:space="preserve">ollowing the approval of the Written Scheme of Investigation and prior to the commencement of the development (other than in accordance with the agreed Written Scheme of Investigation), a staged programme of archaeological evaluation and mitigation be carried out by the commissioned archaeological organisation in accordance with the approved Written Scheme of Investigation. </w:t>
      </w:r>
      <w:r w:rsidR="00D908A9" w:rsidRPr="00D62C75">
        <w:rPr>
          <w:rFonts w:ascii="Arial" w:hAnsi="Arial" w:cs="Arial"/>
        </w:rPr>
        <w:t>“</w:t>
      </w:r>
      <w:r w:rsidR="00153BCB" w:rsidRPr="00D62C75">
        <w:rPr>
          <w:rFonts w:ascii="Arial" w:hAnsi="Arial" w:cs="Arial"/>
        </w:rPr>
        <w:t>The programme of work shall include all processing, research and analysis necessary to produce an accessible and useable archive and a full report for publication which shall be submitted to the Local Planning Authority</w:t>
      </w:r>
      <w:r w:rsidR="00D908A9" w:rsidRPr="00D62C75">
        <w:rPr>
          <w:rFonts w:ascii="Arial" w:hAnsi="Arial" w:cs="Arial"/>
        </w:rPr>
        <w:t>”</w:t>
      </w:r>
      <w:r w:rsidR="00153BCB" w:rsidRPr="00D62C75">
        <w:rPr>
          <w:rFonts w:ascii="Arial" w:hAnsi="Arial" w:cs="Arial"/>
        </w:rPr>
        <w:t>.</w:t>
      </w:r>
      <w:r w:rsidR="00D908A9" w:rsidRPr="00D62C75">
        <w:rPr>
          <w:rFonts w:ascii="Arial" w:hAnsi="Arial" w:cs="Arial"/>
        </w:rPr>
        <w:t xml:space="preserve"> OCC Archaeology </w:t>
      </w:r>
      <w:r w:rsidR="00D04841" w:rsidRPr="00D62C75">
        <w:rPr>
          <w:rFonts w:ascii="Arial" w:hAnsi="Arial" w:cs="Arial"/>
        </w:rPr>
        <w:t xml:space="preserve">had </w:t>
      </w:r>
      <w:r w:rsidR="00D908A9" w:rsidRPr="00D62C75">
        <w:rPr>
          <w:rFonts w:ascii="Arial" w:hAnsi="Arial" w:cs="Arial"/>
        </w:rPr>
        <w:t>originally objected to the discharge of thi</w:t>
      </w:r>
      <w:r w:rsidR="00D04841" w:rsidRPr="00D62C75">
        <w:rPr>
          <w:rFonts w:ascii="Arial" w:hAnsi="Arial" w:cs="Arial"/>
        </w:rPr>
        <w:t xml:space="preserve">s condition and requested minor changes to the report. Following the submission of the amended information, OCC Archaeology stated that the report is now acceptable. </w:t>
      </w:r>
      <w:r w:rsidR="00D908A9" w:rsidRPr="00D62C75">
        <w:rPr>
          <w:rFonts w:ascii="Arial" w:hAnsi="Arial" w:cs="Arial"/>
        </w:rPr>
        <w:t xml:space="preserve"> </w:t>
      </w:r>
    </w:p>
    <w:p w:rsidR="00153BCB" w:rsidRPr="00D62C75" w:rsidRDefault="00925315" w:rsidP="00D908A9">
      <w:pPr>
        <w:pStyle w:val="ListParagraph"/>
        <w:numPr>
          <w:ilvl w:val="0"/>
          <w:numId w:val="13"/>
        </w:numPr>
        <w:spacing w:after="240"/>
        <w:ind w:left="567" w:hanging="567"/>
        <w:jc w:val="both"/>
        <w:rPr>
          <w:rFonts w:ascii="Arial" w:hAnsi="Arial" w:cs="Arial"/>
          <w:u w:val="single"/>
        </w:rPr>
      </w:pPr>
      <w:r w:rsidRPr="00D62C75">
        <w:rPr>
          <w:rFonts w:ascii="Arial" w:hAnsi="Arial" w:cs="Arial"/>
          <w:u w:val="single"/>
        </w:rPr>
        <w:t>Condition 17</w:t>
      </w:r>
      <w:r w:rsidR="00153BCB" w:rsidRPr="00D62C75">
        <w:rPr>
          <w:rFonts w:ascii="Arial" w:hAnsi="Arial" w:cs="Arial"/>
        </w:rPr>
        <w:t xml:space="preserve"> </w:t>
      </w:r>
      <w:r w:rsidR="00D04841" w:rsidRPr="00D62C75">
        <w:rPr>
          <w:rFonts w:ascii="Arial" w:hAnsi="Arial" w:cs="Arial"/>
        </w:rPr>
        <w:t>required a</w:t>
      </w:r>
      <w:r w:rsidR="00153BCB" w:rsidRPr="00D62C75">
        <w:rPr>
          <w:rFonts w:ascii="Arial" w:hAnsi="Arial" w:cs="Arial"/>
        </w:rPr>
        <w:t xml:space="preserve"> Construction Enviro</w:t>
      </w:r>
      <w:r w:rsidR="00D04841" w:rsidRPr="00D62C75">
        <w:rPr>
          <w:rFonts w:ascii="Arial" w:hAnsi="Arial" w:cs="Arial"/>
        </w:rPr>
        <w:t>nmental Management Plan (CEMP)</w:t>
      </w:r>
      <w:r w:rsidR="00100E33">
        <w:rPr>
          <w:rFonts w:ascii="Arial" w:hAnsi="Arial" w:cs="Arial"/>
        </w:rPr>
        <w:t>,</w:t>
      </w:r>
      <w:r w:rsidR="00D04841" w:rsidRPr="00D62C75">
        <w:rPr>
          <w:rFonts w:ascii="Arial" w:hAnsi="Arial" w:cs="Arial"/>
        </w:rPr>
        <w:t xml:space="preserve"> including </w:t>
      </w:r>
      <w:r w:rsidR="00153BCB" w:rsidRPr="00D62C75">
        <w:rPr>
          <w:rFonts w:ascii="Arial" w:hAnsi="Arial" w:cs="Arial"/>
        </w:rPr>
        <w:t xml:space="preserve">details of the measures to be taken to ensure that construction works do not adversely affect biodiversity, </w:t>
      </w:r>
      <w:r w:rsidR="00D04841" w:rsidRPr="00D62C75">
        <w:rPr>
          <w:rFonts w:ascii="Arial" w:hAnsi="Arial" w:cs="Arial"/>
        </w:rPr>
        <w:t xml:space="preserve">to be </w:t>
      </w:r>
      <w:r w:rsidR="00153BCB" w:rsidRPr="00D62C75">
        <w:rPr>
          <w:rFonts w:ascii="Arial" w:hAnsi="Arial" w:cs="Arial"/>
        </w:rPr>
        <w:t xml:space="preserve">submitted to and approved in writing by the Local Planning Authority. </w:t>
      </w:r>
      <w:r w:rsidR="00D04841" w:rsidRPr="00D62C75">
        <w:rPr>
          <w:rFonts w:ascii="Arial" w:hAnsi="Arial" w:cs="Arial"/>
        </w:rPr>
        <w:t>The Ecologist confirmed that the details contained within the CEMP were acceptable.</w:t>
      </w:r>
      <w:r w:rsidR="00D04841" w:rsidRPr="00D62C75">
        <w:rPr>
          <w:rFonts w:ascii="Arial" w:hAnsi="Arial" w:cs="Arial"/>
          <w:u w:val="single"/>
        </w:rPr>
        <w:t xml:space="preserve"> </w:t>
      </w:r>
    </w:p>
    <w:p w:rsidR="00153BCB" w:rsidRPr="00D62C75" w:rsidRDefault="00925315" w:rsidP="00D908A9">
      <w:pPr>
        <w:pStyle w:val="ListParagraph"/>
        <w:numPr>
          <w:ilvl w:val="0"/>
          <w:numId w:val="13"/>
        </w:numPr>
        <w:spacing w:after="240"/>
        <w:ind w:left="567" w:hanging="567"/>
        <w:jc w:val="both"/>
        <w:rPr>
          <w:rFonts w:ascii="Arial" w:hAnsi="Arial" w:cs="Arial"/>
        </w:rPr>
      </w:pPr>
      <w:r w:rsidRPr="00D62C75">
        <w:rPr>
          <w:rFonts w:ascii="Arial" w:hAnsi="Arial" w:cs="Arial"/>
          <w:u w:val="single"/>
        </w:rPr>
        <w:t>Condition 20</w:t>
      </w:r>
      <w:r w:rsidR="00153BCB" w:rsidRPr="00D62C75">
        <w:rPr>
          <w:rFonts w:ascii="Arial" w:hAnsi="Arial" w:cs="Arial"/>
        </w:rPr>
        <w:t xml:space="preserve"> </w:t>
      </w:r>
      <w:r w:rsidR="007246A0" w:rsidRPr="00D62C75">
        <w:rPr>
          <w:rFonts w:ascii="Arial" w:hAnsi="Arial" w:cs="Arial"/>
        </w:rPr>
        <w:t xml:space="preserve">required </w:t>
      </w:r>
      <w:r w:rsidR="00153BCB" w:rsidRPr="00D62C75">
        <w:rPr>
          <w:rFonts w:ascii="Arial" w:hAnsi="Arial" w:cs="Arial"/>
        </w:rPr>
        <w:t xml:space="preserve">a mitigation strategy for badgers, </w:t>
      </w:r>
      <w:r w:rsidR="007246A0" w:rsidRPr="00D62C75">
        <w:rPr>
          <w:rFonts w:ascii="Arial" w:hAnsi="Arial" w:cs="Arial"/>
        </w:rPr>
        <w:t>i</w:t>
      </w:r>
      <w:r w:rsidR="00153BCB" w:rsidRPr="00D62C75">
        <w:rPr>
          <w:rFonts w:ascii="Arial" w:hAnsi="Arial" w:cs="Arial"/>
        </w:rPr>
        <w:t>nclud</w:t>
      </w:r>
      <w:r w:rsidR="007246A0" w:rsidRPr="00D62C75">
        <w:rPr>
          <w:rFonts w:ascii="Arial" w:hAnsi="Arial" w:cs="Arial"/>
        </w:rPr>
        <w:t>ing</w:t>
      </w:r>
      <w:r w:rsidR="00153BCB" w:rsidRPr="00D62C75">
        <w:rPr>
          <w:rFonts w:ascii="Arial" w:hAnsi="Arial" w:cs="Arial"/>
        </w:rPr>
        <w:t xml:space="preserve"> details of a recent survey (no older than six months), whether a development licence is required and the location and timing of the provision of any protective fencing around setts/commuting routes, </w:t>
      </w:r>
      <w:r w:rsidR="007246A0" w:rsidRPr="00D62C75">
        <w:rPr>
          <w:rFonts w:ascii="Arial" w:hAnsi="Arial" w:cs="Arial"/>
        </w:rPr>
        <w:t>to</w:t>
      </w:r>
      <w:r w:rsidR="00153BCB" w:rsidRPr="00D62C75">
        <w:rPr>
          <w:rFonts w:ascii="Arial" w:hAnsi="Arial" w:cs="Arial"/>
        </w:rPr>
        <w:t xml:space="preserve"> be submitted to and approved in writing by the Local Planning Authority. </w:t>
      </w:r>
      <w:r w:rsidR="007246A0" w:rsidRPr="00D62C75">
        <w:rPr>
          <w:rFonts w:ascii="Arial" w:hAnsi="Arial" w:cs="Arial"/>
        </w:rPr>
        <w:t xml:space="preserve">The Ecologist confirmed that the details contained within the </w:t>
      </w:r>
      <w:r w:rsidR="007246A0" w:rsidRPr="00D62C75">
        <w:rPr>
          <w:rFonts w:ascii="Arial" w:hAnsi="Arial" w:cs="Arial"/>
        </w:rPr>
        <w:t>mitigation strategy</w:t>
      </w:r>
      <w:r w:rsidR="007246A0" w:rsidRPr="00D62C75">
        <w:rPr>
          <w:rFonts w:ascii="Arial" w:hAnsi="Arial" w:cs="Arial"/>
        </w:rPr>
        <w:t xml:space="preserve"> were acceptable.</w:t>
      </w:r>
    </w:p>
    <w:p w:rsidR="00153BCB" w:rsidRPr="00D62C75" w:rsidRDefault="007246A0" w:rsidP="007246A0">
      <w:pPr>
        <w:pStyle w:val="ListParagraph"/>
        <w:numPr>
          <w:ilvl w:val="0"/>
          <w:numId w:val="13"/>
        </w:numPr>
        <w:spacing w:after="240"/>
        <w:ind w:left="567" w:hanging="567"/>
        <w:jc w:val="both"/>
        <w:rPr>
          <w:rFonts w:ascii="Arial" w:hAnsi="Arial" w:cs="Arial"/>
        </w:rPr>
      </w:pPr>
      <w:r w:rsidRPr="00D62C75">
        <w:rPr>
          <w:rFonts w:ascii="Arial" w:hAnsi="Arial" w:cs="Arial"/>
          <w:u w:val="single"/>
        </w:rPr>
        <w:t>C</w:t>
      </w:r>
      <w:r w:rsidR="00925315" w:rsidRPr="00D62C75">
        <w:rPr>
          <w:rFonts w:ascii="Arial" w:hAnsi="Arial" w:cs="Arial"/>
          <w:u w:val="single"/>
        </w:rPr>
        <w:t>ondition 21</w:t>
      </w:r>
      <w:r w:rsidR="00153BCB" w:rsidRPr="00D62C75">
        <w:rPr>
          <w:rFonts w:ascii="Arial" w:hAnsi="Arial" w:cs="Arial"/>
        </w:rPr>
        <w:t xml:space="preserve"> </w:t>
      </w:r>
      <w:r w:rsidRPr="00D62C75">
        <w:rPr>
          <w:rFonts w:ascii="Arial" w:hAnsi="Arial" w:cs="Arial"/>
        </w:rPr>
        <w:t xml:space="preserve">required </w:t>
      </w:r>
      <w:r w:rsidR="00153BCB" w:rsidRPr="00D62C75">
        <w:rPr>
          <w:rFonts w:ascii="Arial" w:hAnsi="Arial" w:cs="Arial"/>
        </w:rPr>
        <w:t xml:space="preserve">a reptile survey (which shall be in accordance with best practice guidelines) </w:t>
      </w:r>
      <w:r w:rsidRPr="00D62C75">
        <w:rPr>
          <w:rFonts w:ascii="Arial" w:hAnsi="Arial" w:cs="Arial"/>
        </w:rPr>
        <w:t>to</w:t>
      </w:r>
      <w:r w:rsidR="00153BCB" w:rsidRPr="00D62C75">
        <w:rPr>
          <w:rFonts w:ascii="Arial" w:hAnsi="Arial" w:cs="Arial"/>
        </w:rPr>
        <w:t xml:space="preserve"> be carried out, and the findings, including a mitigation strategy if required, </w:t>
      </w:r>
      <w:r w:rsidRPr="00D62C75">
        <w:rPr>
          <w:rFonts w:ascii="Arial" w:hAnsi="Arial" w:cs="Arial"/>
        </w:rPr>
        <w:t>to</w:t>
      </w:r>
      <w:r w:rsidR="00153BCB" w:rsidRPr="00D62C75">
        <w:rPr>
          <w:rFonts w:ascii="Arial" w:hAnsi="Arial" w:cs="Arial"/>
        </w:rPr>
        <w:t xml:space="preserve"> be submitted to and approved in writing by the Local Planning Authority. </w:t>
      </w:r>
      <w:r w:rsidRPr="00D62C75">
        <w:rPr>
          <w:rFonts w:ascii="Arial" w:hAnsi="Arial" w:cs="Arial"/>
        </w:rPr>
        <w:t>The Ecologist confirmed that the details contained within the mitigation strategy</w:t>
      </w:r>
      <w:r w:rsidRPr="00D62C75">
        <w:rPr>
          <w:rFonts w:ascii="Arial" w:hAnsi="Arial" w:cs="Arial"/>
        </w:rPr>
        <w:t xml:space="preserve"> were acceptable so long as measures in sections 14-18 are adhered to. </w:t>
      </w:r>
    </w:p>
    <w:p w:rsidR="007246A0" w:rsidRPr="00D62C75" w:rsidRDefault="007246A0" w:rsidP="007246A0">
      <w:pPr>
        <w:tabs>
          <w:tab w:val="left" w:pos="6480"/>
        </w:tabs>
        <w:ind w:left="567"/>
        <w:jc w:val="both"/>
        <w:rPr>
          <w:rFonts w:ascii="Arial" w:hAnsi="Arial" w:cs="Arial"/>
          <w:b/>
        </w:rPr>
      </w:pPr>
    </w:p>
    <w:p w:rsidR="00F07560" w:rsidRPr="00D62C75" w:rsidRDefault="00F07560" w:rsidP="006A3616">
      <w:pPr>
        <w:numPr>
          <w:ilvl w:val="0"/>
          <w:numId w:val="2"/>
        </w:numPr>
        <w:tabs>
          <w:tab w:val="clear" w:pos="360"/>
          <w:tab w:val="num" w:pos="567"/>
          <w:tab w:val="left" w:pos="6480"/>
        </w:tabs>
        <w:spacing w:after="240"/>
        <w:ind w:left="567" w:hanging="567"/>
        <w:jc w:val="both"/>
        <w:rPr>
          <w:rFonts w:ascii="Arial" w:hAnsi="Arial" w:cs="Arial"/>
          <w:b/>
        </w:rPr>
      </w:pPr>
      <w:r w:rsidRPr="00D62C75">
        <w:rPr>
          <w:rFonts w:ascii="Arial" w:hAnsi="Arial" w:cs="Arial"/>
          <w:b/>
        </w:rPr>
        <w:lastRenderedPageBreak/>
        <w:t>Recommendation</w:t>
      </w:r>
    </w:p>
    <w:p w:rsidR="00F07560" w:rsidRPr="00D62C75" w:rsidRDefault="00F07560" w:rsidP="00F07560">
      <w:pPr>
        <w:ind w:firstLine="567"/>
        <w:jc w:val="both"/>
        <w:rPr>
          <w:rFonts w:ascii="Arial" w:hAnsi="Arial" w:cs="Arial"/>
          <w:b/>
        </w:rPr>
      </w:pPr>
      <w:r w:rsidRPr="00D62C75">
        <w:rPr>
          <w:rFonts w:ascii="Arial" w:hAnsi="Arial" w:cs="Arial"/>
          <w:b/>
        </w:rPr>
        <w:t>Approval, in accordance with the following details:</w:t>
      </w:r>
    </w:p>
    <w:p w:rsidR="00F07560" w:rsidRPr="00D62C75" w:rsidRDefault="00F07560" w:rsidP="00F07560">
      <w:pPr>
        <w:keepLines/>
        <w:ind w:left="567"/>
        <w:jc w:val="both"/>
        <w:rPr>
          <w:rFonts w:ascii="Arial" w:hAnsi="Arial" w:cs="Arial"/>
          <w:b/>
          <w:u w:val="single"/>
        </w:rPr>
      </w:pPr>
    </w:p>
    <w:p w:rsidR="00F07560" w:rsidRPr="00D62C75" w:rsidRDefault="00F07560" w:rsidP="00F07560">
      <w:pPr>
        <w:keepLines/>
        <w:ind w:left="567"/>
        <w:jc w:val="both"/>
        <w:rPr>
          <w:rFonts w:ascii="Arial" w:hAnsi="Arial" w:cs="Arial"/>
          <w:u w:val="single"/>
        </w:rPr>
      </w:pPr>
      <w:r w:rsidRPr="00D62C75">
        <w:rPr>
          <w:rFonts w:ascii="Arial" w:hAnsi="Arial" w:cs="Arial"/>
          <w:u w:val="single"/>
        </w:rPr>
        <w:t xml:space="preserve">Condition </w:t>
      </w:r>
      <w:r w:rsidR="007246A0" w:rsidRPr="00D62C75">
        <w:rPr>
          <w:rFonts w:ascii="Arial" w:hAnsi="Arial" w:cs="Arial"/>
          <w:u w:val="single"/>
        </w:rPr>
        <w:t>2</w:t>
      </w:r>
    </w:p>
    <w:p w:rsidR="00F07560" w:rsidRPr="00D62C75" w:rsidRDefault="00F07560" w:rsidP="006A3616">
      <w:pPr>
        <w:keepLines/>
        <w:ind w:left="567"/>
        <w:jc w:val="both"/>
        <w:rPr>
          <w:rFonts w:ascii="Arial" w:hAnsi="Arial" w:cs="Arial"/>
        </w:rPr>
      </w:pPr>
      <w:r w:rsidRPr="00D62C75">
        <w:rPr>
          <w:rFonts w:ascii="Arial" w:hAnsi="Arial" w:cs="Arial"/>
        </w:rPr>
        <w:t xml:space="preserve">Approval is given for the </w:t>
      </w:r>
      <w:r w:rsidR="007246A0" w:rsidRPr="00D62C75">
        <w:rPr>
          <w:rFonts w:ascii="Arial" w:hAnsi="Arial" w:cs="Arial"/>
        </w:rPr>
        <w:t>Phasing Plan</w:t>
      </w:r>
      <w:r w:rsidR="001D6A47" w:rsidRPr="00D62C75">
        <w:rPr>
          <w:rFonts w:ascii="Arial" w:hAnsi="Arial" w:cs="Arial"/>
        </w:rPr>
        <w:t xml:space="preserve"> of the development</w:t>
      </w:r>
      <w:r w:rsidR="006A3616" w:rsidRPr="00D62C75">
        <w:rPr>
          <w:rFonts w:ascii="Arial" w:hAnsi="Arial" w:cs="Arial"/>
        </w:rPr>
        <w:t>, i</w:t>
      </w:r>
      <w:r w:rsidRPr="00D62C75">
        <w:rPr>
          <w:rFonts w:ascii="Arial" w:hAnsi="Arial" w:cs="Arial"/>
        </w:rPr>
        <w:t xml:space="preserve">n accordance with </w:t>
      </w:r>
      <w:r w:rsidR="007246A0" w:rsidRPr="00D62C75">
        <w:rPr>
          <w:rFonts w:ascii="Arial" w:hAnsi="Arial" w:cs="Arial"/>
        </w:rPr>
        <w:t>drawing</w:t>
      </w:r>
      <w:r w:rsidRPr="00D62C75">
        <w:rPr>
          <w:rFonts w:ascii="Arial" w:hAnsi="Arial" w:cs="Arial"/>
        </w:rPr>
        <w:t xml:space="preserve"> ‘</w:t>
      </w:r>
      <w:r w:rsidR="007246A0" w:rsidRPr="00D62C75">
        <w:rPr>
          <w:rFonts w:ascii="Arial" w:hAnsi="Arial" w:cs="Arial"/>
        </w:rPr>
        <w:t xml:space="preserve">Parameters Plan – Phasing Plan </w:t>
      </w:r>
      <w:r w:rsidR="00AD49FB">
        <w:rPr>
          <w:rFonts w:ascii="Arial" w:hAnsi="Arial" w:cs="Arial"/>
        </w:rPr>
        <w:t>(</w:t>
      </w:r>
      <w:r w:rsidR="007246A0" w:rsidRPr="00D62C75">
        <w:rPr>
          <w:rFonts w:ascii="Arial" w:hAnsi="Arial" w:cs="Arial"/>
        </w:rPr>
        <w:t>3830-22-03 – Nov 2016</w:t>
      </w:r>
      <w:r w:rsidR="00AD49FB">
        <w:rPr>
          <w:rFonts w:ascii="Arial" w:hAnsi="Arial" w:cs="Arial"/>
        </w:rPr>
        <w:t>)</w:t>
      </w:r>
      <w:r w:rsidRPr="00D62C75">
        <w:rPr>
          <w:rFonts w:ascii="Arial" w:hAnsi="Arial" w:cs="Arial"/>
        </w:rPr>
        <w:t>’</w:t>
      </w:r>
      <w:r w:rsidR="006A3616" w:rsidRPr="00D62C75">
        <w:rPr>
          <w:rFonts w:ascii="Arial" w:hAnsi="Arial" w:cs="Arial"/>
        </w:rPr>
        <w:t xml:space="preserve">. </w:t>
      </w:r>
      <w:r w:rsidR="007246A0" w:rsidRPr="00D62C75">
        <w:rPr>
          <w:rFonts w:ascii="Arial" w:hAnsi="Arial" w:cs="Arial"/>
        </w:rPr>
        <w:t>E</w:t>
      </w:r>
      <w:r w:rsidR="007246A0" w:rsidRPr="00D62C75">
        <w:rPr>
          <w:rFonts w:ascii="Arial" w:hAnsi="Arial" w:cs="Arial"/>
        </w:rPr>
        <w:t xml:space="preserve">ach reserved matters application shall refer to a phase, phases, or part thereof identified in the </w:t>
      </w:r>
      <w:r w:rsidR="007246A0" w:rsidRPr="00D62C75">
        <w:rPr>
          <w:rFonts w:ascii="Arial" w:hAnsi="Arial" w:cs="Arial"/>
        </w:rPr>
        <w:t xml:space="preserve">approved </w:t>
      </w:r>
      <w:r w:rsidR="007246A0" w:rsidRPr="00D62C75">
        <w:rPr>
          <w:rFonts w:ascii="Arial" w:hAnsi="Arial" w:cs="Arial"/>
        </w:rPr>
        <w:t>phasing plan</w:t>
      </w:r>
      <w:r w:rsidR="006A3616" w:rsidRPr="00D62C75">
        <w:rPr>
          <w:rFonts w:ascii="Arial" w:hAnsi="Arial" w:cs="Arial"/>
        </w:rPr>
        <w:t>.</w:t>
      </w:r>
    </w:p>
    <w:p w:rsidR="00F07560" w:rsidRPr="00D62C75" w:rsidRDefault="00F07560" w:rsidP="00F07560">
      <w:pPr>
        <w:keepLines/>
        <w:ind w:left="567"/>
        <w:jc w:val="both"/>
        <w:rPr>
          <w:rFonts w:ascii="Arial" w:hAnsi="Arial" w:cs="Arial"/>
          <w:color w:val="FF0000"/>
        </w:rPr>
      </w:pPr>
    </w:p>
    <w:p w:rsidR="007246A0" w:rsidRPr="00D62C75" w:rsidRDefault="007246A0" w:rsidP="0030436D">
      <w:pPr>
        <w:pStyle w:val="ListParagraph"/>
        <w:ind w:left="567"/>
        <w:jc w:val="both"/>
        <w:rPr>
          <w:rFonts w:ascii="Arial" w:hAnsi="Arial" w:cs="Arial"/>
        </w:rPr>
      </w:pPr>
      <w:r w:rsidRPr="00D62C75">
        <w:rPr>
          <w:rFonts w:ascii="Arial" w:hAnsi="Arial" w:cs="Arial"/>
          <w:u w:val="single"/>
        </w:rPr>
        <w:t>Condition 10</w:t>
      </w:r>
      <w:r w:rsidRPr="00D62C75">
        <w:rPr>
          <w:rFonts w:ascii="Arial" w:hAnsi="Arial" w:cs="Arial"/>
        </w:rPr>
        <w:t xml:space="preserve"> </w:t>
      </w:r>
    </w:p>
    <w:p w:rsidR="007246A0" w:rsidRPr="00D62C75" w:rsidRDefault="007246A0" w:rsidP="0030436D">
      <w:pPr>
        <w:keepLines/>
        <w:ind w:left="567"/>
        <w:jc w:val="both"/>
        <w:rPr>
          <w:rFonts w:ascii="Arial" w:hAnsi="Arial" w:cs="Arial"/>
        </w:rPr>
      </w:pPr>
      <w:r w:rsidRPr="00D62C75">
        <w:rPr>
          <w:rFonts w:ascii="Arial" w:hAnsi="Arial" w:cs="Arial"/>
        </w:rPr>
        <w:t>Approval is given for highway improvement works in accordance with drawings numbered:</w:t>
      </w:r>
    </w:p>
    <w:p w:rsidR="0030436D" w:rsidRPr="00D62C75" w:rsidRDefault="0030436D" w:rsidP="0030436D">
      <w:pPr>
        <w:keepLines/>
        <w:ind w:left="567"/>
        <w:jc w:val="both"/>
        <w:rPr>
          <w:rFonts w:ascii="Arial" w:hAnsi="Arial" w:cs="Arial"/>
        </w:rPr>
      </w:pPr>
    </w:p>
    <w:p w:rsidR="007246A0" w:rsidRPr="00D62C75" w:rsidRDefault="0030436D" w:rsidP="007246A0">
      <w:pPr>
        <w:pStyle w:val="ListParagraph"/>
        <w:spacing w:after="240"/>
        <w:ind w:left="567"/>
        <w:jc w:val="both"/>
        <w:rPr>
          <w:rFonts w:ascii="Arial" w:hAnsi="Arial" w:cs="Arial"/>
        </w:rPr>
      </w:pPr>
      <w:r w:rsidRPr="00D62C75">
        <w:rPr>
          <w:rFonts w:ascii="Arial" w:hAnsi="Arial" w:cs="Arial"/>
        </w:rPr>
        <w:t>S1230-S278-0</w:t>
      </w:r>
      <w:r w:rsidRPr="00D62C75">
        <w:rPr>
          <w:rFonts w:ascii="Arial" w:hAnsi="Arial" w:cs="Arial"/>
        </w:rPr>
        <w:t xml:space="preserve">1B; </w:t>
      </w:r>
      <w:r w:rsidR="007246A0" w:rsidRPr="00D62C75">
        <w:rPr>
          <w:rFonts w:ascii="Arial" w:hAnsi="Arial" w:cs="Arial"/>
        </w:rPr>
        <w:t>S1230-S278-02C; S1230-S278-03B; S1230-S278-04</w:t>
      </w:r>
      <w:r w:rsidR="007246A0" w:rsidRPr="00D62C75">
        <w:rPr>
          <w:rFonts w:ascii="Arial" w:hAnsi="Arial" w:cs="Arial"/>
        </w:rPr>
        <w:t>C</w:t>
      </w:r>
      <w:r w:rsidR="007246A0" w:rsidRPr="00D62C75">
        <w:rPr>
          <w:rFonts w:ascii="Arial" w:hAnsi="Arial" w:cs="Arial"/>
        </w:rPr>
        <w:t>; S1230-S278-05B; S1230-S278-06</w:t>
      </w:r>
      <w:r w:rsidR="007246A0" w:rsidRPr="00D62C75">
        <w:rPr>
          <w:rFonts w:ascii="Arial" w:hAnsi="Arial" w:cs="Arial"/>
        </w:rPr>
        <w:t>C</w:t>
      </w:r>
      <w:r w:rsidR="007246A0" w:rsidRPr="00D62C75">
        <w:rPr>
          <w:rFonts w:ascii="Arial" w:hAnsi="Arial" w:cs="Arial"/>
        </w:rPr>
        <w:t xml:space="preserve">; </w:t>
      </w:r>
      <w:r w:rsidR="007246A0" w:rsidRPr="00D62C75">
        <w:rPr>
          <w:rFonts w:ascii="Arial" w:hAnsi="Arial" w:cs="Arial"/>
        </w:rPr>
        <w:t>S1230-S278-0</w:t>
      </w:r>
      <w:r w:rsidR="007246A0" w:rsidRPr="00D62C75">
        <w:rPr>
          <w:rFonts w:ascii="Arial" w:hAnsi="Arial" w:cs="Arial"/>
        </w:rPr>
        <w:t>7</w:t>
      </w:r>
      <w:r w:rsidR="007246A0" w:rsidRPr="00D62C75">
        <w:rPr>
          <w:rFonts w:ascii="Arial" w:hAnsi="Arial" w:cs="Arial"/>
        </w:rPr>
        <w:t>C</w:t>
      </w:r>
      <w:r w:rsidR="007246A0" w:rsidRPr="00D62C75">
        <w:rPr>
          <w:rFonts w:ascii="Arial" w:hAnsi="Arial" w:cs="Arial"/>
        </w:rPr>
        <w:t>; S1230-S278-08</w:t>
      </w:r>
      <w:r w:rsidR="007246A0" w:rsidRPr="00D62C75">
        <w:rPr>
          <w:rFonts w:ascii="Arial" w:hAnsi="Arial" w:cs="Arial"/>
        </w:rPr>
        <w:t>C</w:t>
      </w:r>
      <w:r w:rsidR="007246A0" w:rsidRPr="00D62C75">
        <w:rPr>
          <w:rFonts w:ascii="Arial" w:hAnsi="Arial" w:cs="Arial"/>
        </w:rPr>
        <w:t>; S1230-S278-09</w:t>
      </w:r>
      <w:r w:rsidR="007246A0" w:rsidRPr="00D62C75">
        <w:rPr>
          <w:rFonts w:ascii="Arial" w:hAnsi="Arial" w:cs="Arial"/>
        </w:rPr>
        <w:t>C</w:t>
      </w:r>
      <w:r w:rsidR="007246A0" w:rsidRPr="00D62C75">
        <w:rPr>
          <w:rFonts w:ascii="Arial" w:hAnsi="Arial" w:cs="Arial"/>
        </w:rPr>
        <w:t>; S1230-S278-10</w:t>
      </w:r>
      <w:r w:rsidR="007246A0" w:rsidRPr="00D62C75">
        <w:rPr>
          <w:rFonts w:ascii="Arial" w:hAnsi="Arial" w:cs="Arial"/>
        </w:rPr>
        <w:t>C</w:t>
      </w:r>
      <w:r w:rsidR="007246A0" w:rsidRPr="00D62C75">
        <w:rPr>
          <w:rFonts w:ascii="Arial" w:hAnsi="Arial" w:cs="Arial"/>
        </w:rPr>
        <w:t xml:space="preserve">; </w:t>
      </w:r>
      <w:r w:rsidR="007246A0" w:rsidRPr="00D62C75">
        <w:rPr>
          <w:rFonts w:ascii="Arial" w:hAnsi="Arial" w:cs="Arial"/>
        </w:rPr>
        <w:t>S1230-S278-</w:t>
      </w:r>
      <w:r w:rsidR="007246A0" w:rsidRPr="00D62C75">
        <w:rPr>
          <w:rFonts w:ascii="Arial" w:hAnsi="Arial" w:cs="Arial"/>
        </w:rPr>
        <w:t>11</w:t>
      </w:r>
      <w:r w:rsidR="007246A0" w:rsidRPr="00D62C75">
        <w:rPr>
          <w:rFonts w:ascii="Arial" w:hAnsi="Arial" w:cs="Arial"/>
        </w:rPr>
        <w:t>C</w:t>
      </w:r>
      <w:r w:rsidR="007246A0" w:rsidRPr="00D62C75">
        <w:rPr>
          <w:rFonts w:ascii="Arial" w:hAnsi="Arial" w:cs="Arial"/>
        </w:rPr>
        <w:t>; S1230-S278-12B; S1230-S278-13</w:t>
      </w:r>
      <w:r w:rsidR="007246A0" w:rsidRPr="00D62C75">
        <w:rPr>
          <w:rFonts w:ascii="Arial" w:hAnsi="Arial" w:cs="Arial"/>
        </w:rPr>
        <w:t>C</w:t>
      </w:r>
      <w:r w:rsidR="007246A0" w:rsidRPr="00D62C75">
        <w:rPr>
          <w:rFonts w:ascii="Arial" w:hAnsi="Arial" w:cs="Arial"/>
        </w:rPr>
        <w:t>; S1230-S278-14</w:t>
      </w:r>
      <w:r w:rsidR="007246A0" w:rsidRPr="00D62C75">
        <w:rPr>
          <w:rFonts w:ascii="Arial" w:hAnsi="Arial" w:cs="Arial"/>
        </w:rPr>
        <w:t>C</w:t>
      </w:r>
      <w:r w:rsidR="007246A0" w:rsidRPr="00D62C75">
        <w:rPr>
          <w:rFonts w:ascii="Arial" w:hAnsi="Arial" w:cs="Arial"/>
        </w:rPr>
        <w:t>; S1230-S278-15</w:t>
      </w:r>
      <w:r w:rsidR="007246A0" w:rsidRPr="00D62C75">
        <w:rPr>
          <w:rFonts w:ascii="Arial" w:hAnsi="Arial" w:cs="Arial"/>
        </w:rPr>
        <w:t>C</w:t>
      </w:r>
      <w:r w:rsidRPr="00D62C75">
        <w:rPr>
          <w:rFonts w:ascii="Arial" w:hAnsi="Arial" w:cs="Arial"/>
        </w:rPr>
        <w:t>; S1230-S278-17C; S1230-S278-18B; and S1230-S278-20.</w:t>
      </w:r>
    </w:p>
    <w:p w:rsidR="0030436D" w:rsidRPr="00D62C75" w:rsidRDefault="0030436D" w:rsidP="0030436D">
      <w:pPr>
        <w:pStyle w:val="ListParagraph"/>
        <w:spacing w:after="240"/>
        <w:ind w:left="567"/>
        <w:jc w:val="both"/>
        <w:rPr>
          <w:rFonts w:ascii="Arial" w:hAnsi="Arial" w:cs="Arial"/>
        </w:rPr>
      </w:pPr>
      <w:r w:rsidRPr="00D62C75">
        <w:rPr>
          <w:rFonts w:ascii="Arial" w:hAnsi="Arial" w:cs="Arial"/>
        </w:rPr>
        <w:t xml:space="preserve">The approved </w:t>
      </w:r>
      <w:r w:rsidRPr="00D62C75">
        <w:rPr>
          <w:rFonts w:ascii="Arial" w:hAnsi="Arial" w:cs="Arial"/>
        </w:rPr>
        <w:t>works shall be carried out prior to any building being brought into use.</w:t>
      </w:r>
    </w:p>
    <w:p w:rsidR="007246A0" w:rsidRPr="00D62C75" w:rsidRDefault="0030436D" w:rsidP="007246A0">
      <w:pPr>
        <w:pStyle w:val="ListParagraph"/>
        <w:spacing w:after="240"/>
        <w:ind w:left="567"/>
        <w:jc w:val="both"/>
        <w:rPr>
          <w:rFonts w:ascii="Arial" w:hAnsi="Arial" w:cs="Arial"/>
        </w:rPr>
      </w:pPr>
      <w:r w:rsidRPr="00D62C75">
        <w:rPr>
          <w:rFonts w:ascii="Arial" w:hAnsi="Arial" w:cs="Arial"/>
        </w:rPr>
        <w:t>The</w:t>
      </w:r>
      <w:r w:rsidRPr="00D62C75">
        <w:rPr>
          <w:rFonts w:ascii="Arial" w:hAnsi="Arial" w:cs="Arial"/>
        </w:rPr>
        <w:t xml:space="preserve"> applicant is advised that the approved</w:t>
      </w:r>
      <w:r w:rsidRPr="00D62C75">
        <w:rPr>
          <w:rFonts w:ascii="Arial" w:hAnsi="Arial" w:cs="Arial"/>
        </w:rPr>
        <w:t xml:space="preserve"> details are subject to the technical approval of Oxfordshire County Council.</w:t>
      </w:r>
    </w:p>
    <w:p w:rsidR="0030436D" w:rsidRPr="00D62C75" w:rsidRDefault="007246A0" w:rsidP="0030436D">
      <w:pPr>
        <w:pStyle w:val="ListParagraph"/>
        <w:ind w:left="567"/>
        <w:jc w:val="both"/>
        <w:rPr>
          <w:rFonts w:ascii="Arial" w:hAnsi="Arial" w:cs="Arial"/>
          <w:u w:val="single"/>
        </w:rPr>
      </w:pPr>
      <w:r w:rsidRPr="00D62C75">
        <w:rPr>
          <w:rFonts w:ascii="Arial" w:hAnsi="Arial" w:cs="Arial"/>
          <w:u w:val="single"/>
        </w:rPr>
        <w:t xml:space="preserve">Condition 13 </w:t>
      </w:r>
    </w:p>
    <w:p w:rsidR="006F1010" w:rsidRPr="00D62C75" w:rsidRDefault="0030436D" w:rsidP="0030436D">
      <w:pPr>
        <w:pStyle w:val="ListParagraph"/>
        <w:spacing w:after="240"/>
        <w:ind w:left="567"/>
        <w:jc w:val="both"/>
        <w:rPr>
          <w:rFonts w:ascii="Arial" w:hAnsi="Arial" w:cs="Arial"/>
        </w:rPr>
      </w:pPr>
      <w:r w:rsidRPr="00D62C75">
        <w:rPr>
          <w:rFonts w:ascii="Arial" w:hAnsi="Arial" w:cs="Arial"/>
        </w:rPr>
        <w:t xml:space="preserve">Approval is given for </w:t>
      </w:r>
      <w:r w:rsidR="007246A0" w:rsidRPr="00D62C75">
        <w:rPr>
          <w:rFonts w:ascii="Arial" w:hAnsi="Arial" w:cs="Arial"/>
        </w:rPr>
        <w:t xml:space="preserve">the means of access between the land and the highway and associated pedestrian and cycle access improvements including; position, layout, construction, drainage and vision splays </w:t>
      </w:r>
      <w:r w:rsidR="006F1010" w:rsidRPr="00D62C75">
        <w:rPr>
          <w:rFonts w:ascii="Arial" w:hAnsi="Arial" w:cs="Arial"/>
        </w:rPr>
        <w:t xml:space="preserve">in accordance with drawings numbered: </w:t>
      </w:r>
    </w:p>
    <w:p w:rsidR="006F1010" w:rsidRPr="00D62C75" w:rsidRDefault="006F1010" w:rsidP="006F1010">
      <w:pPr>
        <w:pStyle w:val="ListParagraph"/>
        <w:spacing w:after="240"/>
        <w:ind w:left="567"/>
        <w:jc w:val="both"/>
        <w:rPr>
          <w:rFonts w:ascii="Arial" w:hAnsi="Arial" w:cs="Arial"/>
        </w:rPr>
      </w:pPr>
      <w:r w:rsidRPr="00D62C75">
        <w:rPr>
          <w:rFonts w:ascii="Arial" w:hAnsi="Arial" w:cs="Arial"/>
        </w:rPr>
        <w:t>S1230-S278-01B; S1230-S278-02C; S1230-S278-03B; S1230-S278-04C</w:t>
      </w:r>
      <w:r w:rsidRPr="00D62C75">
        <w:rPr>
          <w:rFonts w:ascii="Arial" w:hAnsi="Arial" w:cs="Arial"/>
        </w:rPr>
        <w:t xml:space="preserve">; </w:t>
      </w:r>
      <w:r w:rsidRPr="00D62C75">
        <w:rPr>
          <w:rFonts w:ascii="Arial" w:hAnsi="Arial" w:cs="Arial"/>
        </w:rPr>
        <w:t>S1230-S278-06C; S1230-S278-07C; S1230-S278-08C; S1230-S278-09C; S1230-S278-10C; S1230-S278-11C</w:t>
      </w:r>
      <w:r w:rsidRPr="00D62C75">
        <w:rPr>
          <w:rFonts w:ascii="Arial" w:hAnsi="Arial" w:cs="Arial"/>
        </w:rPr>
        <w:t xml:space="preserve">; </w:t>
      </w:r>
      <w:r w:rsidRPr="00D62C75">
        <w:rPr>
          <w:rFonts w:ascii="Arial" w:hAnsi="Arial" w:cs="Arial"/>
        </w:rPr>
        <w:t>S1230-S278-14C</w:t>
      </w:r>
      <w:r w:rsidRPr="00D62C75">
        <w:rPr>
          <w:rFonts w:ascii="Arial" w:hAnsi="Arial" w:cs="Arial"/>
        </w:rPr>
        <w:t xml:space="preserve">; </w:t>
      </w:r>
      <w:r w:rsidRPr="00D62C75">
        <w:rPr>
          <w:rFonts w:ascii="Arial" w:hAnsi="Arial" w:cs="Arial"/>
        </w:rPr>
        <w:t>S1230-S278-18B</w:t>
      </w:r>
      <w:r w:rsidRPr="00D62C75">
        <w:rPr>
          <w:rFonts w:ascii="Arial" w:hAnsi="Arial" w:cs="Arial"/>
        </w:rPr>
        <w:t xml:space="preserve">; </w:t>
      </w:r>
      <w:r w:rsidRPr="00D62C75">
        <w:rPr>
          <w:rFonts w:ascii="Arial" w:hAnsi="Arial" w:cs="Arial"/>
        </w:rPr>
        <w:t>and S1230-S278-20.</w:t>
      </w:r>
    </w:p>
    <w:p w:rsidR="006F1010" w:rsidRPr="00D62C75" w:rsidRDefault="006F1010" w:rsidP="0030436D">
      <w:pPr>
        <w:pStyle w:val="ListParagraph"/>
        <w:spacing w:after="240"/>
        <w:ind w:left="567"/>
        <w:jc w:val="both"/>
        <w:rPr>
          <w:rFonts w:ascii="Arial" w:hAnsi="Arial" w:cs="Arial"/>
        </w:rPr>
      </w:pPr>
      <w:r w:rsidRPr="00D62C75">
        <w:rPr>
          <w:rFonts w:ascii="Arial" w:hAnsi="Arial" w:cs="Arial"/>
        </w:rPr>
        <w:t>T</w:t>
      </w:r>
      <w:r w:rsidRPr="00D62C75">
        <w:rPr>
          <w:rFonts w:ascii="Arial" w:hAnsi="Arial" w:cs="Arial"/>
        </w:rPr>
        <w:t>he means of access shall be constructed and retained in accordance with the approved details.</w:t>
      </w:r>
    </w:p>
    <w:p w:rsidR="006F1010" w:rsidRPr="00D62C75" w:rsidRDefault="006F1010" w:rsidP="006F1010">
      <w:pPr>
        <w:pStyle w:val="ListParagraph"/>
        <w:spacing w:after="240"/>
        <w:ind w:left="567"/>
        <w:jc w:val="both"/>
        <w:rPr>
          <w:rFonts w:ascii="Arial" w:hAnsi="Arial" w:cs="Arial"/>
        </w:rPr>
      </w:pPr>
      <w:r w:rsidRPr="00D62C75">
        <w:rPr>
          <w:rFonts w:ascii="Arial" w:hAnsi="Arial" w:cs="Arial"/>
        </w:rPr>
        <w:t>The applicant is advised that the approved details are subject to the technical approval of Oxfordshire County Council.</w:t>
      </w:r>
    </w:p>
    <w:p w:rsidR="0030436D" w:rsidRPr="00D62C75" w:rsidRDefault="007246A0" w:rsidP="0030436D">
      <w:pPr>
        <w:pStyle w:val="ListParagraph"/>
        <w:ind w:left="567"/>
        <w:jc w:val="both"/>
        <w:rPr>
          <w:rFonts w:ascii="Arial" w:hAnsi="Arial" w:cs="Arial"/>
          <w:u w:val="single"/>
        </w:rPr>
      </w:pPr>
      <w:r w:rsidRPr="00D62C75">
        <w:rPr>
          <w:rFonts w:ascii="Arial" w:hAnsi="Arial" w:cs="Arial"/>
          <w:u w:val="single"/>
        </w:rPr>
        <w:t xml:space="preserve">Condition 15 </w:t>
      </w:r>
    </w:p>
    <w:p w:rsidR="007246A0" w:rsidRPr="00D62C75" w:rsidRDefault="00A522AB" w:rsidP="0030436D">
      <w:pPr>
        <w:pStyle w:val="ListParagraph"/>
        <w:spacing w:after="240"/>
        <w:ind w:left="567"/>
        <w:jc w:val="both"/>
        <w:rPr>
          <w:rFonts w:ascii="Arial" w:hAnsi="Arial" w:cs="Arial"/>
        </w:rPr>
      </w:pPr>
      <w:r w:rsidRPr="00D62C75">
        <w:rPr>
          <w:rFonts w:ascii="Arial" w:hAnsi="Arial" w:cs="Arial"/>
        </w:rPr>
        <w:t>Approval is given for the</w:t>
      </w:r>
      <w:r w:rsidR="007246A0" w:rsidRPr="00D62C75">
        <w:rPr>
          <w:rFonts w:ascii="Arial" w:hAnsi="Arial" w:cs="Arial"/>
        </w:rPr>
        <w:t xml:space="preserve"> Archaeological Written Scheme of Investigation, </w:t>
      </w:r>
      <w:r w:rsidRPr="00D62C75">
        <w:rPr>
          <w:rFonts w:ascii="Arial" w:hAnsi="Arial" w:cs="Arial"/>
        </w:rPr>
        <w:t>in accordance with document 2016/99 Version 1.1 (25</w:t>
      </w:r>
      <w:r w:rsidRPr="00D62C75">
        <w:rPr>
          <w:rFonts w:ascii="Arial" w:hAnsi="Arial" w:cs="Arial"/>
          <w:vertAlign w:val="superscript"/>
        </w:rPr>
        <w:t>th</w:t>
      </w:r>
      <w:r w:rsidRPr="00D62C75">
        <w:rPr>
          <w:rFonts w:ascii="Arial" w:hAnsi="Arial" w:cs="Arial"/>
        </w:rPr>
        <w:t xml:space="preserve"> May 2016). </w:t>
      </w:r>
    </w:p>
    <w:p w:rsidR="0030436D" w:rsidRPr="00D62C75" w:rsidRDefault="007246A0" w:rsidP="0030436D">
      <w:pPr>
        <w:pStyle w:val="ListParagraph"/>
        <w:ind w:left="567"/>
        <w:jc w:val="both"/>
        <w:rPr>
          <w:rFonts w:ascii="Arial" w:hAnsi="Arial" w:cs="Arial"/>
          <w:u w:val="single"/>
        </w:rPr>
      </w:pPr>
      <w:r w:rsidRPr="00D62C75">
        <w:rPr>
          <w:rFonts w:ascii="Arial" w:hAnsi="Arial" w:cs="Arial"/>
          <w:u w:val="single"/>
        </w:rPr>
        <w:t xml:space="preserve">Condition 16 </w:t>
      </w:r>
    </w:p>
    <w:p w:rsidR="00A448C7" w:rsidRPr="00D62C75" w:rsidRDefault="00A448C7" w:rsidP="0030436D">
      <w:pPr>
        <w:pStyle w:val="ListParagraph"/>
        <w:ind w:left="567"/>
        <w:jc w:val="both"/>
        <w:rPr>
          <w:rFonts w:ascii="Arial" w:hAnsi="Arial" w:cs="Arial"/>
        </w:rPr>
      </w:pPr>
      <w:r w:rsidRPr="00D62C75">
        <w:rPr>
          <w:rFonts w:ascii="Arial" w:hAnsi="Arial" w:cs="Arial"/>
        </w:rPr>
        <w:t>Approval is given for the</w:t>
      </w:r>
      <w:r w:rsidRPr="00D62C75">
        <w:rPr>
          <w:rFonts w:ascii="Arial" w:hAnsi="Arial" w:cs="Arial"/>
        </w:rPr>
        <w:t xml:space="preserve"> staged programme of archaeological evaluation and mitigation </w:t>
      </w:r>
      <w:r w:rsidRPr="00D62C75">
        <w:rPr>
          <w:rFonts w:ascii="Arial" w:hAnsi="Arial" w:cs="Arial"/>
        </w:rPr>
        <w:t xml:space="preserve">in accordance with document 2016/133 Version 1.1 (Archaeological Trial Trench Evaluation – 03 November 2016). </w:t>
      </w:r>
    </w:p>
    <w:p w:rsidR="007246A0" w:rsidRDefault="007246A0" w:rsidP="0030436D">
      <w:pPr>
        <w:pStyle w:val="ListParagraph"/>
        <w:ind w:left="567"/>
        <w:jc w:val="both"/>
        <w:rPr>
          <w:rFonts w:ascii="Arial" w:hAnsi="Arial" w:cs="Arial"/>
        </w:rPr>
      </w:pPr>
      <w:r w:rsidRPr="00D62C75">
        <w:rPr>
          <w:rFonts w:ascii="Arial" w:hAnsi="Arial" w:cs="Arial"/>
        </w:rPr>
        <w:t xml:space="preserve">  </w:t>
      </w:r>
    </w:p>
    <w:p w:rsidR="00AD49FB" w:rsidRPr="00D62C75" w:rsidRDefault="00AD49FB" w:rsidP="0030436D">
      <w:pPr>
        <w:pStyle w:val="ListParagraph"/>
        <w:ind w:left="567"/>
        <w:jc w:val="both"/>
        <w:rPr>
          <w:rFonts w:ascii="Arial" w:hAnsi="Arial" w:cs="Arial"/>
        </w:rPr>
      </w:pPr>
    </w:p>
    <w:p w:rsidR="0030436D" w:rsidRPr="00D62C75" w:rsidRDefault="007246A0" w:rsidP="0030436D">
      <w:pPr>
        <w:pStyle w:val="ListParagraph"/>
        <w:ind w:left="567"/>
        <w:jc w:val="both"/>
        <w:rPr>
          <w:rFonts w:ascii="Arial" w:hAnsi="Arial" w:cs="Arial"/>
          <w:u w:val="single"/>
        </w:rPr>
      </w:pPr>
      <w:r w:rsidRPr="00D62C75">
        <w:rPr>
          <w:rFonts w:ascii="Arial" w:hAnsi="Arial" w:cs="Arial"/>
          <w:u w:val="single"/>
        </w:rPr>
        <w:lastRenderedPageBreak/>
        <w:t xml:space="preserve">Condition 17 </w:t>
      </w:r>
    </w:p>
    <w:p w:rsidR="00D62C75" w:rsidRDefault="00D62C75" w:rsidP="00D62C75">
      <w:pPr>
        <w:pStyle w:val="ListParagraph"/>
        <w:ind w:left="567"/>
        <w:jc w:val="both"/>
        <w:rPr>
          <w:rFonts w:ascii="Arial" w:hAnsi="Arial" w:cs="Arial"/>
        </w:rPr>
      </w:pPr>
      <w:r>
        <w:rPr>
          <w:rFonts w:ascii="Arial" w:hAnsi="Arial" w:cs="Arial"/>
        </w:rPr>
        <w:t xml:space="preserve">Approval is given for the </w:t>
      </w:r>
      <w:r w:rsidR="007246A0" w:rsidRPr="00D62C75">
        <w:rPr>
          <w:rFonts w:ascii="Arial" w:hAnsi="Arial" w:cs="Arial"/>
        </w:rPr>
        <w:t xml:space="preserve">Construction Environmental Management Plan (CEMP) </w:t>
      </w:r>
      <w:r>
        <w:rPr>
          <w:rFonts w:ascii="Arial" w:hAnsi="Arial" w:cs="Arial"/>
        </w:rPr>
        <w:t>in accordance with document referenced ‘R-2554-03.1 (July 2016)</w:t>
      </w:r>
      <w:r w:rsidR="007246A0" w:rsidRPr="00D62C75">
        <w:rPr>
          <w:rFonts w:ascii="Arial" w:hAnsi="Arial" w:cs="Arial"/>
        </w:rPr>
        <w:t>.</w:t>
      </w:r>
      <w:r w:rsidRPr="00D62C75">
        <w:rPr>
          <w:rFonts w:ascii="Arial" w:hAnsi="Arial" w:cs="Arial"/>
        </w:rPr>
        <w:t xml:space="preserve"> The </w:t>
      </w:r>
      <w:r w:rsidRPr="00D62C75">
        <w:rPr>
          <w:rFonts w:ascii="Arial" w:hAnsi="Arial" w:cs="Arial"/>
        </w:rPr>
        <w:t>development shall be carried out in accordance with the</w:t>
      </w:r>
      <w:r w:rsidRPr="00D62C75">
        <w:rPr>
          <w:rFonts w:ascii="Arial" w:hAnsi="Arial" w:cs="Arial"/>
        </w:rPr>
        <w:t xml:space="preserve"> details contained within the </w:t>
      </w:r>
      <w:r w:rsidRPr="00D62C75">
        <w:rPr>
          <w:rFonts w:ascii="Arial" w:hAnsi="Arial" w:cs="Arial"/>
        </w:rPr>
        <w:t>approved CEMP</w:t>
      </w:r>
      <w:r>
        <w:rPr>
          <w:rFonts w:ascii="Arial" w:hAnsi="Arial" w:cs="Arial"/>
        </w:rPr>
        <w:t>.</w:t>
      </w:r>
    </w:p>
    <w:p w:rsidR="00D62C75" w:rsidRPr="00D62C75" w:rsidRDefault="00D62C75" w:rsidP="00D62C75">
      <w:pPr>
        <w:pStyle w:val="ListParagraph"/>
        <w:ind w:left="567"/>
        <w:jc w:val="both"/>
        <w:rPr>
          <w:rFonts w:ascii="Arial" w:hAnsi="Arial" w:cs="Arial"/>
        </w:rPr>
      </w:pPr>
    </w:p>
    <w:p w:rsidR="0030436D" w:rsidRPr="00D62C75" w:rsidRDefault="0030436D" w:rsidP="00D62C75">
      <w:pPr>
        <w:pStyle w:val="ListParagraph"/>
        <w:ind w:left="567"/>
        <w:jc w:val="both"/>
        <w:rPr>
          <w:rFonts w:ascii="Arial" w:hAnsi="Arial" w:cs="Arial"/>
          <w:u w:val="single"/>
        </w:rPr>
      </w:pPr>
      <w:r w:rsidRPr="00D62C75">
        <w:rPr>
          <w:rFonts w:ascii="Arial" w:hAnsi="Arial" w:cs="Arial"/>
          <w:u w:val="single"/>
        </w:rPr>
        <w:t>C</w:t>
      </w:r>
      <w:r w:rsidR="007246A0" w:rsidRPr="00D62C75">
        <w:rPr>
          <w:rFonts w:ascii="Arial" w:hAnsi="Arial" w:cs="Arial"/>
          <w:u w:val="single"/>
        </w:rPr>
        <w:t xml:space="preserve">ondition 20 </w:t>
      </w:r>
    </w:p>
    <w:p w:rsidR="007246A0" w:rsidRPr="00D62C75" w:rsidRDefault="00D62C75" w:rsidP="0030436D">
      <w:pPr>
        <w:pStyle w:val="ListParagraph"/>
        <w:spacing w:after="240"/>
        <w:ind w:left="567"/>
        <w:jc w:val="both"/>
        <w:rPr>
          <w:rFonts w:ascii="Arial" w:hAnsi="Arial" w:cs="Arial"/>
        </w:rPr>
      </w:pPr>
      <w:r>
        <w:rPr>
          <w:rFonts w:ascii="Arial" w:hAnsi="Arial" w:cs="Arial"/>
        </w:rPr>
        <w:t>Approval is given for the Badger</w:t>
      </w:r>
      <w:r w:rsidRPr="00D62C75">
        <w:rPr>
          <w:rFonts w:ascii="Arial" w:hAnsi="Arial" w:cs="Arial"/>
        </w:rPr>
        <w:t xml:space="preserve"> </w:t>
      </w:r>
      <w:r>
        <w:rPr>
          <w:rFonts w:ascii="Arial" w:hAnsi="Arial" w:cs="Arial"/>
        </w:rPr>
        <w:t>M</w:t>
      </w:r>
      <w:r w:rsidRPr="00D62C75">
        <w:rPr>
          <w:rFonts w:ascii="Arial" w:hAnsi="Arial" w:cs="Arial"/>
        </w:rPr>
        <w:t xml:space="preserve">itigation </w:t>
      </w:r>
      <w:r>
        <w:rPr>
          <w:rFonts w:ascii="Arial" w:hAnsi="Arial" w:cs="Arial"/>
        </w:rPr>
        <w:t>S</w:t>
      </w:r>
      <w:r w:rsidRPr="00D62C75">
        <w:rPr>
          <w:rFonts w:ascii="Arial" w:hAnsi="Arial" w:cs="Arial"/>
        </w:rPr>
        <w:t>trategy</w:t>
      </w:r>
      <w:r>
        <w:rPr>
          <w:rFonts w:ascii="Arial" w:hAnsi="Arial" w:cs="Arial"/>
        </w:rPr>
        <w:t xml:space="preserve"> in accordance with document referenced ‘R-2554-01.1 (July 2016). </w:t>
      </w:r>
      <w:r w:rsidRPr="00D62C75">
        <w:rPr>
          <w:rFonts w:ascii="Arial" w:hAnsi="Arial" w:cs="Arial"/>
        </w:rPr>
        <w:t xml:space="preserve">The development shall be carried out in accordance with the details contained within the approved </w:t>
      </w:r>
      <w:r>
        <w:rPr>
          <w:rFonts w:ascii="Arial" w:hAnsi="Arial" w:cs="Arial"/>
        </w:rPr>
        <w:t>Badger Mitigation Strategy</w:t>
      </w:r>
      <w:r w:rsidR="007246A0" w:rsidRPr="00D62C75">
        <w:rPr>
          <w:rFonts w:ascii="Arial" w:hAnsi="Arial" w:cs="Arial"/>
        </w:rPr>
        <w:t>.</w:t>
      </w:r>
    </w:p>
    <w:p w:rsidR="0030436D" w:rsidRPr="00D62C75" w:rsidRDefault="007246A0" w:rsidP="0030436D">
      <w:pPr>
        <w:pStyle w:val="ListParagraph"/>
        <w:ind w:left="567"/>
        <w:jc w:val="both"/>
        <w:rPr>
          <w:rFonts w:ascii="Arial" w:hAnsi="Arial" w:cs="Arial"/>
          <w:u w:val="single"/>
        </w:rPr>
      </w:pPr>
      <w:r w:rsidRPr="00D62C75">
        <w:rPr>
          <w:rFonts w:ascii="Arial" w:hAnsi="Arial" w:cs="Arial"/>
          <w:u w:val="single"/>
        </w:rPr>
        <w:t xml:space="preserve">Condition 21 </w:t>
      </w:r>
    </w:p>
    <w:p w:rsidR="00F402F6" w:rsidRPr="00D62C75" w:rsidRDefault="00F402F6" w:rsidP="00F402F6">
      <w:pPr>
        <w:pStyle w:val="ListParagraph"/>
        <w:spacing w:after="240"/>
        <w:ind w:left="567"/>
        <w:jc w:val="both"/>
        <w:rPr>
          <w:rFonts w:ascii="Arial" w:hAnsi="Arial" w:cs="Arial"/>
        </w:rPr>
      </w:pPr>
      <w:r>
        <w:rPr>
          <w:rFonts w:ascii="Arial" w:hAnsi="Arial" w:cs="Arial"/>
        </w:rPr>
        <w:t xml:space="preserve">Approval is given for the </w:t>
      </w:r>
      <w:r>
        <w:rPr>
          <w:rFonts w:ascii="Arial" w:hAnsi="Arial" w:cs="Arial"/>
        </w:rPr>
        <w:t xml:space="preserve">Reptile Survey and Mitigation Strategy </w:t>
      </w:r>
      <w:r>
        <w:rPr>
          <w:rFonts w:ascii="Arial" w:hAnsi="Arial" w:cs="Arial"/>
        </w:rPr>
        <w:t>in accordance with document referenced ‘</w:t>
      </w:r>
      <w:r>
        <w:rPr>
          <w:rFonts w:ascii="Arial" w:hAnsi="Arial" w:cs="Arial"/>
        </w:rPr>
        <w:t>R-2554-02</w:t>
      </w:r>
      <w:r>
        <w:rPr>
          <w:rFonts w:ascii="Arial" w:hAnsi="Arial" w:cs="Arial"/>
        </w:rPr>
        <w:t xml:space="preserve">.1 (July 2016). </w:t>
      </w:r>
      <w:r w:rsidRPr="00D62C75">
        <w:rPr>
          <w:rFonts w:ascii="Arial" w:hAnsi="Arial" w:cs="Arial"/>
        </w:rPr>
        <w:t xml:space="preserve">The development shall be carried out in accordance with the details contained within the approved </w:t>
      </w:r>
      <w:r>
        <w:rPr>
          <w:rFonts w:ascii="Arial" w:hAnsi="Arial" w:cs="Arial"/>
        </w:rPr>
        <w:t>Reptile Survey and Mitigation Strategy</w:t>
      </w:r>
      <w:r>
        <w:rPr>
          <w:rFonts w:ascii="Arial" w:hAnsi="Arial" w:cs="Arial"/>
        </w:rPr>
        <w:t xml:space="preserve"> and the actions contained in paragraphs 14 – 18 will be implemented.</w:t>
      </w:r>
    </w:p>
    <w:p w:rsidR="007246A0" w:rsidRPr="00D62C75" w:rsidRDefault="007246A0" w:rsidP="00467D08">
      <w:pPr>
        <w:tabs>
          <w:tab w:val="center" w:pos="4680"/>
          <w:tab w:val="right" w:pos="9360"/>
        </w:tabs>
        <w:jc w:val="both"/>
        <w:rPr>
          <w:rFonts w:ascii="Arial" w:hAnsi="Arial" w:cs="Arial"/>
          <w:b/>
          <w:bCs/>
          <w:color w:val="FF0000"/>
          <w:lang w:eastAsia="en-US"/>
        </w:rPr>
      </w:pPr>
    </w:p>
    <w:p w:rsidR="0019459F" w:rsidRPr="00D62C75" w:rsidRDefault="00EF5F71" w:rsidP="00F07560">
      <w:pPr>
        <w:jc w:val="center"/>
        <w:rPr>
          <w:rFonts w:ascii="Arial" w:hAnsi="Arial" w:cs="Arial"/>
        </w:rPr>
      </w:pPr>
      <w:r w:rsidRPr="00D62C75">
        <w:rPr>
          <w:rFonts w:ascii="Arial" w:hAnsi="Arial" w:cs="Arial"/>
        </w:rPr>
        <w:t>Case Officer: Matthew Coyne</w:t>
      </w:r>
      <w:r w:rsidR="0019459F" w:rsidRPr="00D62C75">
        <w:rPr>
          <w:rFonts w:ascii="Arial" w:hAnsi="Arial" w:cs="Arial"/>
        </w:rPr>
        <w:tab/>
      </w:r>
      <w:r w:rsidR="00F07560" w:rsidRPr="00D62C75">
        <w:rPr>
          <w:rFonts w:ascii="Arial" w:hAnsi="Arial" w:cs="Arial"/>
        </w:rPr>
        <w:tab/>
      </w:r>
      <w:r w:rsidR="00F07560" w:rsidRPr="00D62C75">
        <w:rPr>
          <w:rFonts w:ascii="Arial" w:hAnsi="Arial" w:cs="Arial"/>
        </w:rPr>
        <w:tab/>
      </w:r>
      <w:r w:rsidR="0019459F" w:rsidRPr="00D62C75">
        <w:rPr>
          <w:rFonts w:ascii="Arial" w:hAnsi="Arial" w:cs="Arial"/>
        </w:rPr>
        <w:tab/>
        <w:t xml:space="preserve">DATED: </w:t>
      </w:r>
      <w:r w:rsidR="00F402F6">
        <w:rPr>
          <w:rFonts w:ascii="Arial" w:hAnsi="Arial" w:cs="Arial"/>
        </w:rPr>
        <w:t>1</w:t>
      </w:r>
      <w:r w:rsidR="008E49A5">
        <w:rPr>
          <w:rFonts w:ascii="Arial" w:hAnsi="Arial" w:cs="Arial"/>
        </w:rPr>
        <w:t>6</w:t>
      </w:r>
      <w:bookmarkStart w:id="0" w:name="_GoBack"/>
      <w:bookmarkEnd w:id="0"/>
      <w:r w:rsidR="00F402F6">
        <w:rPr>
          <w:rFonts w:ascii="Arial" w:hAnsi="Arial" w:cs="Arial"/>
        </w:rPr>
        <w:t xml:space="preserve"> November </w:t>
      </w:r>
      <w:r w:rsidR="0019459F" w:rsidRPr="00D62C75">
        <w:rPr>
          <w:rFonts w:ascii="Arial" w:hAnsi="Arial" w:cs="Arial"/>
        </w:rPr>
        <w:t>2016</w:t>
      </w:r>
    </w:p>
    <w:sectPr w:rsidR="0019459F" w:rsidRPr="00D62C75"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19" w:rsidRDefault="003A0119" w:rsidP="00213EE1">
      <w:r>
        <w:separator/>
      </w:r>
    </w:p>
  </w:endnote>
  <w:endnote w:type="continuationSeparator" w:id="0">
    <w:p w:rsidR="003A0119" w:rsidRDefault="003A0119"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19" w:rsidRDefault="003A0119" w:rsidP="00213EE1">
      <w:r>
        <w:separator/>
      </w:r>
    </w:p>
  </w:footnote>
  <w:footnote w:type="continuationSeparator" w:id="0">
    <w:p w:rsidR="003A0119" w:rsidRDefault="003A0119"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1" w:rsidRDefault="00213EE1"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410"/>
      <w:gridCol w:w="1971"/>
      <w:gridCol w:w="2814"/>
    </w:tblGrid>
    <w:tr w:rsidR="008A6B7C" w:rsidRPr="00951EF5" w:rsidTr="004A1E35">
      <w:trPr>
        <w:trHeight w:val="567"/>
      </w:trPr>
      <w:tc>
        <w:tcPr>
          <w:tcW w:w="6190" w:type="dxa"/>
          <w:gridSpan w:val="3"/>
        </w:tcPr>
        <w:p w:rsidR="00951EF5" w:rsidRPr="00951EF5" w:rsidRDefault="00951EF5" w:rsidP="00951EF5">
          <w:pPr>
            <w:tabs>
              <w:tab w:val="left" w:pos="6480"/>
            </w:tabs>
            <w:spacing w:after="0"/>
            <w:rPr>
              <w:rFonts w:ascii="Arial" w:hAnsi="Arial" w:cs="Arial"/>
            </w:rPr>
          </w:pPr>
          <w:r w:rsidRPr="00951EF5">
            <w:rPr>
              <w:rFonts w:ascii="Arial" w:hAnsi="Arial" w:cs="Arial"/>
            </w:rPr>
            <w:t>Land North East Of</w:t>
          </w:r>
        </w:p>
        <w:p w:rsidR="00951EF5" w:rsidRPr="00951EF5" w:rsidRDefault="00951EF5" w:rsidP="00951EF5">
          <w:pPr>
            <w:tabs>
              <w:tab w:val="left" w:pos="6480"/>
            </w:tabs>
            <w:spacing w:after="0"/>
            <w:rPr>
              <w:rFonts w:ascii="Arial" w:hAnsi="Arial" w:cs="Arial"/>
            </w:rPr>
          </w:pPr>
          <w:proofErr w:type="spellStart"/>
          <w:r w:rsidRPr="00951EF5">
            <w:rPr>
              <w:rFonts w:ascii="Arial" w:hAnsi="Arial" w:cs="Arial"/>
            </w:rPr>
            <w:t>Skimmingdish</w:t>
          </w:r>
          <w:proofErr w:type="spellEnd"/>
          <w:r w:rsidRPr="00951EF5">
            <w:rPr>
              <w:rFonts w:ascii="Arial" w:hAnsi="Arial" w:cs="Arial"/>
            </w:rPr>
            <w:t xml:space="preserve"> Lane</w:t>
          </w:r>
        </w:p>
        <w:p w:rsidR="00F07560" w:rsidRPr="00951EF5" w:rsidRDefault="00951EF5" w:rsidP="00951EF5">
          <w:pPr>
            <w:tabs>
              <w:tab w:val="left" w:pos="6480"/>
            </w:tabs>
            <w:spacing w:after="0"/>
          </w:pPr>
          <w:proofErr w:type="spellStart"/>
          <w:r w:rsidRPr="00951EF5">
            <w:rPr>
              <w:rFonts w:ascii="Arial" w:hAnsi="Arial" w:cs="Arial"/>
            </w:rPr>
            <w:t>Launton</w:t>
          </w:r>
          <w:proofErr w:type="spellEnd"/>
        </w:p>
      </w:tc>
      <w:tc>
        <w:tcPr>
          <w:tcW w:w="2814" w:type="dxa"/>
        </w:tcPr>
        <w:p w:rsidR="008A6B7C" w:rsidRPr="00951EF5" w:rsidRDefault="008A6B7C" w:rsidP="00951EF5">
          <w:pPr>
            <w:jc w:val="right"/>
            <w:rPr>
              <w:rFonts w:ascii="Arial" w:hAnsi="Arial" w:cs="Arial"/>
              <w:b/>
            </w:rPr>
          </w:pPr>
          <w:r w:rsidRPr="00951EF5">
            <w:rPr>
              <w:rFonts w:ascii="Arial" w:hAnsi="Arial" w:cs="Arial"/>
              <w:b/>
            </w:rPr>
            <w:t>16/00</w:t>
          </w:r>
          <w:r w:rsidR="00951EF5" w:rsidRPr="00951EF5">
            <w:rPr>
              <w:rFonts w:ascii="Arial" w:hAnsi="Arial" w:cs="Arial"/>
              <w:b/>
            </w:rPr>
            <w:t>422</w:t>
          </w:r>
          <w:r w:rsidRPr="00951EF5">
            <w:rPr>
              <w:rFonts w:ascii="Arial" w:hAnsi="Arial" w:cs="Arial"/>
              <w:b/>
            </w:rPr>
            <w:t>/DISC</w:t>
          </w:r>
        </w:p>
      </w:tc>
    </w:tr>
    <w:tr w:rsidR="00346878" w:rsidRPr="00951EF5" w:rsidTr="00951EF5">
      <w:trPr>
        <w:trHeight w:val="321"/>
      </w:trPr>
      <w:tc>
        <w:tcPr>
          <w:tcW w:w="1809" w:type="dxa"/>
        </w:tcPr>
        <w:p w:rsidR="00346878" w:rsidRPr="00951EF5" w:rsidRDefault="00346878" w:rsidP="00346878">
          <w:pPr>
            <w:tabs>
              <w:tab w:val="left" w:pos="6480"/>
            </w:tabs>
            <w:rPr>
              <w:rFonts w:ascii="Arial" w:hAnsi="Arial" w:cs="Arial"/>
              <w:b/>
            </w:rPr>
          </w:pPr>
          <w:r w:rsidRPr="00951EF5">
            <w:rPr>
              <w:rFonts w:ascii="Arial" w:hAnsi="Arial" w:cs="Arial"/>
              <w:b/>
            </w:rPr>
            <w:t xml:space="preserve">Case Officer: </w:t>
          </w:r>
        </w:p>
      </w:tc>
      <w:tc>
        <w:tcPr>
          <w:tcW w:w="2410" w:type="dxa"/>
        </w:tcPr>
        <w:p w:rsidR="00346878" w:rsidRPr="00951EF5" w:rsidRDefault="00346878" w:rsidP="00F4438B">
          <w:pPr>
            <w:tabs>
              <w:tab w:val="left" w:pos="6480"/>
            </w:tabs>
            <w:spacing w:after="0"/>
            <w:rPr>
              <w:rFonts w:ascii="Arial" w:hAnsi="Arial" w:cs="Arial"/>
              <w:b/>
            </w:rPr>
          </w:pPr>
          <w:r w:rsidRPr="00951EF5">
            <w:rPr>
              <w:rFonts w:ascii="Arial" w:hAnsi="Arial" w:cs="Arial"/>
            </w:rPr>
            <w:t>Matthew Coyne</w:t>
          </w:r>
        </w:p>
      </w:tc>
      <w:tc>
        <w:tcPr>
          <w:tcW w:w="4785" w:type="dxa"/>
          <w:gridSpan w:val="2"/>
        </w:tcPr>
        <w:p w:rsidR="00346878" w:rsidRPr="00951EF5" w:rsidRDefault="00346878" w:rsidP="0001345F">
          <w:pPr>
            <w:spacing w:after="0"/>
            <w:rPr>
              <w:rFonts w:ascii="Arial" w:hAnsi="Arial" w:cs="Arial"/>
              <w:b/>
            </w:rPr>
          </w:pPr>
          <w:r w:rsidRPr="00951EF5">
            <w:rPr>
              <w:rFonts w:ascii="Arial" w:hAnsi="Arial" w:cs="Arial"/>
              <w:b/>
            </w:rPr>
            <w:t xml:space="preserve">Recommendation: </w:t>
          </w:r>
          <w:r w:rsidR="0001345F" w:rsidRPr="00951EF5">
            <w:rPr>
              <w:rFonts w:ascii="Arial" w:hAnsi="Arial" w:cs="Arial"/>
            </w:rPr>
            <w:t>Approve</w:t>
          </w:r>
        </w:p>
      </w:tc>
    </w:tr>
    <w:tr w:rsidR="008A6B7C" w:rsidRPr="00951EF5" w:rsidTr="00951EF5">
      <w:trPr>
        <w:trHeight w:val="329"/>
      </w:trPr>
      <w:tc>
        <w:tcPr>
          <w:tcW w:w="1809" w:type="dxa"/>
        </w:tcPr>
        <w:p w:rsidR="008A6B7C" w:rsidRPr="00951EF5" w:rsidRDefault="008A6B7C" w:rsidP="00F4438B">
          <w:pPr>
            <w:tabs>
              <w:tab w:val="left" w:pos="6480"/>
            </w:tabs>
            <w:spacing w:after="0"/>
            <w:rPr>
              <w:rFonts w:ascii="Arial" w:hAnsi="Arial" w:cs="Arial"/>
              <w:b/>
            </w:rPr>
          </w:pPr>
          <w:r w:rsidRPr="00951EF5">
            <w:rPr>
              <w:rFonts w:ascii="Arial" w:hAnsi="Arial" w:cs="Arial"/>
              <w:b/>
            </w:rPr>
            <w:t xml:space="preserve">Applicant: </w:t>
          </w:r>
        </w:p>
      </w:tc>
      <w:tc>
        <w:tcPr>
          <w:tcW w:w="7195" w:type="dxa"/>
          <w:gridSpan w:val="3"/>
        </w:tcPr>
        <w:p w:rsidR="008A6B7C" w:rsidRPr="00951EF5" w:rsidRDefault="00951EF5" w:rsidP="00F4438B">
          <w:pPr>
            <w:tabs>
              <w:tab w:val="left" w:pos="6480"/>
            </w:tabs>
            <w:spacing w:after="0"/>
            <w:rPr>
              <w:rFonts w:ascii="Arial" w:hAnsi="Arial" w:cs="Arial"/>
              <w:b/>
            </w:rPr>
          </w:pPr>
          <w:r w:rsidRPr="00951EF5">
            <w:rPr>
              <w:rFonts w:ascii="Arial" w:hAnsi="Arial" w:cs="Arial"/>
            </w:rPr>
            <w:t>Albion Land Ltd</w:t>
          </w:r>
        </w:p>
      </w:tc>
    </w:tr>
    <w:tr w:rsidR="001C244E" w:rsidRPr="00951EF5" w:rsidTr="00951EF5">
      <w:trPr>
        <w:trHeight w:val="567"/>
      </w:trPr>
      <w:tc>
        <w:tcPr>
          <w:tcW w:w="1809" w:type="dxa"/>
        </w:tcPr>
        <w:p w:rsidR="001C244E" w:rsidRPr="00951EF5" w:rsidRDefault="001C244E" w:rsidP="00F4438B">
          <w:pPr>
            <w:tabs>
              <w:tab w:val="left" w:pos="6480"/>
            </w:tabs>
            <w:spacing w:after="0"/>
            <w:rPr>
              <w:rFonts w:ascii="Arial" w:hAnsi="Arial" w:cs="Arial"/>
            </w:rPr>
          </w:pPr>
          <w:r w:rsidRPr="00951EF5">
            <w:rPr>
              <w:rFonts w:ascii="Arial" w:hAnsi="Arial" w:cs="Arial"/>
              <w:b/>
            </w:rPr>
            <w:t>Proposal:</w:t>
          </w:r>
          <w:r w:rsidRPr="00951EF5">
            <w:rPr>
              <w:rFonts w:ascii="Arial" w:hAnsi="Arial" w:cs="Arial"/>
            </w:rPr>
            <w:t xml:space="preserve"> </w:t>
          </w:r>
        </w:p>
      </w:tc>
      <w:tc>
        <w:tcPr>
          <w:tcW w:w="7195" w:type="dxa"/>
          <w:gridSpan w:val="3"/>
        </w:tcPr>
        <w:p w:rsidR="001C244E" w:rsidRPr="00951EF5" w:rsidRDefault="00951EF5" w:rsidP="00F4438B">
          <w:pPr>
            <w:tabs>
              <w:tab w:val="left" w:pos="6480"/>
            </w:tabs>
            <w:spacing w:after="0"/>
            <w:rPr>
              <w:rFonts w:ascii="Arial" w:hAnsi="Arial" w:cs="Arial"/>
            </w:rPr>
          </w:pPr>
          <w:r w:rsidRPr="00951EF5">
            <w:rPr>
              <w:rFonts w:ascii="Arial" w:hAnsi="Arial" w:cs="Arial"/>
            </w:rPr>
            <w:t>Discharge of Conditions 2 (Phasing plan), 10 (Details of off-site highway works), 13 (Means of Access), 15 (Written scheme of investigation), 16 (Archaeological investigation), 17 (CEMP), 20 (Badger mitigation) and 21 (Reptile mitigation) - Application 15/01012/OUT</w:t>
          </w:r>
        </w:p>
      </w:tc>
    </w:tr>
    <w:tr w:rsidR="008A6B7C" w:rsidRPr="00951EF5" w:rsidTr="00951EF5">
      <w:trPr>
        <w:trHeight w:val="441"/>
      </w:trPr>
      <w:tc>
        <w:tcPr>
          <w:tcW w:w="1809" w:type="dxa"/>
          <w:tcBorders>
            <w:bottom w:val="single" w:sz="4" w:space="0" w:color="auto"/>
          </w:tcBorders>
          <w:vAlign w:val="center"/>
        </w:tcPr>
        <w:p w:rsidR="008A6B7C" w:rsidRPr="00951EF5" w:rsidRDefault="008A6B7C" w:rsidP="00B67EFD">
          <w:pPr>
            <w:tabs>
              <w:tab w:val="left" w:pos="6480"/>
            </w:tabs>
            <w:spacing w:after="0"/>
            <w:rPr>
              <w:rFonts w:ascii="Arial" w:hAnsi="Arial" w:cs="Arial"/>
              <w:b/>
            </w:rPr>
          </w:pPr>
          <w:r w:rsidRPr="00951EF5">
            <w:rPr>
              <w:rFonts w:ascii="Arial" w:hAnsi="Arial" w:cs="Arial"/>
              <w:b/>
            </w:rPr>
            <w:t>Report type:</w:t>
          </w:r>
        </w:p>
      </w:tc>
      <w:tc>
        <w:tcPr>
          <w:tcW w:w="7195" w:type="dxa"/>
          <w:gridSpan w:val="3"/>
          <w:tcBorders>
            <w:bottom w:val="single" w:sz="4" w:space="0" w:color="auto"/>
          </w:tcBorders>
          <w:vAlign w:val="center"/>
        </w:tcPr>
        <w:p w:rsidR="008A6B7C" w:rsidRPr="00951EF5" w:rsidRDefault="008A6B7C" w:rsidP="00B67EFD">
          <w:pPr>
            <w:tabs>
              <w:tab w:val="left" w:pos="6480"/>
            </w:tabs>
            <w:spacing w:after="0"/>
            <w:rPr>
              <w:rFonts w:ascii="Arial" w:hAnsi="Arial" w:cs="Arial"/>
            </w:rPr>
          </w:pPr>
          <w:r w:rsidRPr="00951EF5">
            <w:rPr>
              <w:rFonts w:ascii="Arial" w:hAnsi="Arial" w:cs="Arial"/>
            </w:rPr>
            <w:t>Delegated</w:t>
          </w:r>
        </w:p>
      </w:tc>
    </w:tr>
  </w:tbl>
  <w:p w:rsidR="007A3BF0" w:rsidRPr="00951EF5" w:rsidRDefault="007A3BF0" w:rsidP="00462D5F">
    <w:pPr>
      <w:tabs>
        <w:tab w:val="left" w:pos="648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0F85"/>
    <w:multiLevelType w:val="hybridMultilevel"/>
    <w:tmpl w:val="6E427AF2"/>
    <w:lvl w:ilvl="0" w:tplc="F91C4D28">
      <w:start w:val="1"/>
      <w:numFmt w:val="decimal"/>
      <w:lvlText w:val="3.%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23081011"/>
    <w:multiLevelType w:val="multilevel"/>
    <w:tmpl w:val="6504A1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
    <w:nsid w:val="230E124E"/>
    <w:multiLevelType w:val="hybridMultilevel"/>
    <w:tmpl w:val="C80C0C38"/>
    <w:lvl w:ilvl="0" w:tplc="0FC66414">
      <w:start w:val="1"/>
      <w:numFmt w:val="decimal"/>
      <w:lvlText w:val="2.%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243536E1"/>
    <w:multiLevelType w:val="multilevel"/>
    <w:tmpl w:val="B380AB20"/>
    <w:lvl w:ilvl="0">
      <w:start w:val="5"/>
      <w:numFmt w:val="decimal"/>
      <w:lvlText w:val="%1"/>
      <w:lvlJc w:val="left"/>
      <w:pPr>
        <w:ind w:left="360" w:hanging="360"/>
      </w:pPr>
      <w:rPr>
        <w:rFonts w:cs="Times New Roman" w:hint="default"/>
        <w:b w:val="0"/>
        <w:u w:val="single"/>
      </w:rPr>
    </w:lvl>
    <w:lvl w:ilvl="1">
      <w:start w:val="1"/>
      <w:numFmt w:val="decimal"/>
      <w:lvlText w:val="%1.%2"/>
      <w:lvlJc w:val="left"/>
      <w:pPr>
        <w:ind w:left="1800" w:hanging="360"/>
      </w:pPr>
      <w:rPr>
        <w:rFonts w:cs="Times New Roman" w:hint="default"/>
        <w:b w:val="0"/>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5">
    <w:nsid w:val="2E4F5817"/>
    <w:multiLevelType w:val="hybridMultilevel"/>
    <w:tmpl w:val="3DA8D8D2"/>
    <w:lvl w:ilvl="0" w:tplc="E5E65AE4">
      <w:numFmt w:val="bullet"/>
      <w:lvlText w:val=""/>
      <w:lvlJc w:val="left"/>
      <w:pPr>
        <w:ind w:left="1800" w:hanging="360"/>
      </w:pPr>
      <w:rPr>
        <w:rFonts w:ascii="Symbol" w:eastAsia="Times New Roman"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F145507"/>
    <w:multiLevelType w:val="multilevel"/>
    <w:tmpl w:val="796481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6965D0F"/>
    <w:multiLevelType w:val="multilevel"/>
    <w:tmpl w:val="5AB434B8"/>
    <w:lvl w:ilvl="0">
      <w:start w:val="4"/>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val="0"/>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8">
    <w:nsid w:val="46FA38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A7C21E9"/>
    <w:multiLevelType w:val="multilevel"/>
    <w:tmpl w:val="5A2469D6"/>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5AD7349B"/>
    <w:multiLevelType w:val="multilevel"/>
    <w:tmpl w:val="2EBA004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6E272CA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737A6C20"/>
    <w:multiLevelType w:val="multilevel"/>
    <w:tmpl w:val="416ACB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13"/>
  </w:num>
  <w:num w:numId="2">
    <w:abstractNumId w:val="2"/>
  </w:num>
  <w:num w:numId="3">
    <w:abstractNumId w:val="1"/>
  </w:num>
  <w:num w:numId="4">
    <w:abstractNumId w:val="6"/>
  </w:num>
  <w:num w:numId="5">
    <w:abstractNumId w:val="9"/>
  </w:num>
  <w:num w:numId="6">
    <w:abstractNumId w:val="7"/>
  </w:num>
  <w:num w:numId="7">
    <w:abstractNumId w:val="4"/>
  </w:num>
  <w:num w:numId="8">
    <w:abstractNumId w:val="10"/>
  </w:num>
  <w:num w:numId="9">
    <w:abstractNumId w:val="12"/>
  </w:num>
  <w:num w:numId="10">
    <w:abstractNumId w:val="11"/>
  </w:num>
  <w:num w:numId="11">
    <w:abstractNumId w:val="8"/>
  </w:num>
  <w:num w:numId="12">
    <w:abstractNumId w:val="3"/>
  </w:num>
  <w:num w:numId="13">
    <w:abstractNumId w:val="0"/>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1C4A"/>
    <w:rsid w:val="000052C9"/>
    <w:rsid w:val="0001345F"/>
    <w:rsid w:val="00025638"/>
    <w:rsid w:val="00030184"/>
    <w:rsid w:val="00032411"/>
    <w:rsid w:val="00032735"/>
    <w:rsid w:val="00033FAF"/>
    <w:rsid w:val="000356CA"/>
    <w:rsid w:val="00044F69"/>
    <w:rsid w:val="00055B98"/>
    <w:rsid w:val="0005605C"/>
    <w:rsid w:val="00066471"/>
    <w:rsid w:val="0007584A"/>
    <w:rsid w:val="00082A60"/>
    <w:rsid w:val="00084780"/>
    <w:rsid w:val="00093A2E"/>
    <w:rsid w:val="00097D4A"/>
    <w:rsid w:val="000A169E"/>
    <w:rsid w:val="000B5CDD"/>
    <w:rsid w:val="000B7A1C"/>
    <w:rsid w:val="000C23E4"/>
    <w:rsid w:val="000C6638"/>
    <w:rsid w:val="000D01B8"/>
    <w:rsid w:val="000D61D1"/>
    <w:rsid w:val="000E2076"/>
    <w:rsid w:val="00100E33"/>
    <w:rsid w:val="001024F4"/>
    <w:rsid w:val="0011000E"/>
    <w:rsid w:val="0011096D"/>
    <w:rsid w:val="00111F86"/>
    <w:rsid w:val="001253D0"/>
    <w:rsid w:val="0013551E"/>
    <w:rsid w:val="001463A1"/>
    <w:rsid w:val="00147948"/>
    <w:rsid w:val="00150D66"/>
    <w:rsid w:val="00152728"/>
    <w:rsid w:val="00152AC0"/>
    <w:rsid w:val="00153BCB"/>
    <w:rsid w:val="0016656E"/>
    <w:rsid w:val="001675B9"/>
    <w:rsid w:val="00167904"/>
    <w:rsid w:val="00175CAE"/>
    <w:rsid w:val="0018308A"/>
    <w:rsid w:val="0018664C"/>
    <w:rsid w:val="0019459F"/>
    <w:rsid w:val="00196591"/>
    <w:rsid w:val="001A6174"/>
    <w:rsid w:val="001A67DC"/>
    <w:rsid w:val="001B3666"/>
    <w:rsid w:val="001C244E"/>
    <w:rsid w:val="001C274C"/>
    <w:rsid w:val="001C7B03"/>
    <w:rsid w:val="001D44D6"/>
    <w:rsid w:val="001D4CF0"/>
    <w:rsid w:val="001D6A47"/>
    <w:rsid w:val="001F658B"/>
    <w:rsid w:val="00203755"/>
    <w:rsid w:val="00213ACA"/>
    <w:rsid w:val="00213EE1"/>
    <w:rsid w:val="00222A79"/>
    <w:rsid w:val="002325EF"/>
    <w:rsid w:val="00233023"/>
    <w:rsid w:val="00243141"/>
    <w:rsid w:val="00243FFC"/>
    <w:rsid w:val="0024539F"/>
    <w:rsid w:val="002459B7"/>
    <w:rsid w:val="0026422C"/>
    <w:rsid w:val="00265354"/>
    <w:rsid w:val="00277BBF"/>
    <w:rsid w:val="002867C2"/>
    <w:rsid w:val="00291B98"/>
    <w:rsid w:val="002A378A"/>
    <w:rsid w:val="002B2596"/>
    <w:rsid w:val="002D5911"/>
    <w:rsid w:val="002E35F7"/>
    <w:rsid w:val="002F2C57"/>
    <w:rsid w:val="00301E60"/>
    <w:rsid w:val="0030436D"/>
    <w:rsid w:val="0030752A"/>
    <w:rsid w:val="00310ABF"/>
    <w:rsid w:val="0032279D"/>
    <w:rsid w:val="0032789C"/>
    <w:rsid w:val="0034682D"/>
    <w:rsid w:val="00346878"/>
    <w:rsid w:val="0035130D"/>
    <w:rsid w:val="0037252B"/>
    <w:rsid w:val="003744D6"/>
    <w:rsid w:val="003806D3"/>
    <w:rsid w:val="00381F5A"/>
    <w:rsid w:val="00384125"/>
    <w:rsid w:val="003858CB"/>
    <w:rsid w:val="00385F21"/>
    <w:rsid w:val="00387013"/>
    <w:rsid w:val="00394D26"/>
    <w:rsid w:val="003A0119"/>
    <w:rsid w:val="003A1645"/>
    <w:rsid w:val="003B1A64"/>
    <w:rsid w:val="003E42E1"/>
    <w:rsid w:val="003E49FB"/>
    <w:rsid w:val="003E5C0C"/>
    <w:rsid w:val="003F01B9"/>
    <w:rsid w:val="003F0A89"/>
    <w:rsid w:val="003F1F09"/>
    <w:rsid w:val="003F21AD"/>
    <w:rsid w:val="004052A3"/>
    <w:rsid w:val="004071ED"/>
    <w:rsid w:val="00414486"/>
    <w:rsid w:val="004451EB"/>
    <w:rsid w:val="00446635"/>
    <w:rsid w:val="00454F50"/>
    <w:rsid w:val="0045780D"/>
    <w:rsid w:val="00462D5F"/>
    <w:rsid w:val="00467D08"/>
    <w:rsid w:val="00472D4D"/>
    <w:rsid w:val="00482FFD"/>
    <w:rsid w:val="004853D7"/>
    <w:rsid w:val="00493932"/>
    <w:rsid w:val="004A1791"/>
    <w:rsid w:val="004A1E35"/>
    <w:rsid w:val="004B179F"/>
    <w:rsid w:val="004C3324"/>
    <w:rsid w:val="004D51E6"/>
    <w:rsid w:val="004D72E1"/>
    <w:rsid w:val="004E240E"/>
    <w:rsid w:val="004E2BD7"/>
    <w:rsid w:val="004F056A"/>
    <w:rsid w:val="004F7F94"/>
    <w:rsid w:val="00505A95"/>
    <w:rsid w:val="00513F2F"/>
    <w:rsid w:val="00514714"/>
    <w:rsid w:val="00531430"/>
    <w:rsid w:val="00531FEA"/>
    <w:rsid w:val="00541ED2"/>
    <w:rsid w:val="00560CAC"/>
    <w:rsid w:val="0056684C"/>
    <w:rsid w:val="00586288"/>
    <w:rsid w:val="005B79C5"/>
    <w:rsid w:val="005D5FAA"/>
    <w:rsid w:val="005E2902"/>
    <w:rsid w:val="005E3F6B"/>
    <w:rsid w:val="005F14DB"/>
    <w:rsid w:val="005F7FE9"/>
    <w:rsid w:val="00602D56"/>
    <w:rsid w:val="00604F13"/>
    <w:rsid w:val="0060704F"/>
    <w:rsid w:val="00611273"/>
    <w:rsid w:val="00613865"/>
    <w:rsid w:val="006219A9"/>
    <w:rsid w:val="006245C1"/>
    <w:rsid w:val="006418EE"/>
    <w:rsid w:val="00644822"/>
    <w:rsid w:val="00657A35"/>
    <w:rsid w:val="00661314"/>
    <w:rsid w:val="00665479"/>
    <w:rsid w:val="00687F20"/>
    <w:rsid w:val="00691748"/>
    <w:rsid w:val="006A25DF"/>
    <w:rsid w:val="006A294B"/>
    <w:rsid w:val="006A3616"/>
    <w:rsid w:val="006A3A26"/>
    <w:rsid w:val="006A48C5"/>
    <w:rsid w:val="006A6B28"/>
    <w:rsid w:val="006D633C"/>
    <w:rsid w:val="006E45A5"/>
    <w:rsid w:val="006E516B"/>
    <w:rsid w:val="006F1010"/>
    <w:rsid w:val="006F385C"/>
    <w:rsid w:val="0070431F"/>
    <w:rsid w:val="00707C44"/>
    <w:rsid w:val="007141CD"/>
    <w:rsid w:val="00714B66"/>
    <w:rsid w:val="00717B1C"/>
    <w:rsid w:val="0072182C"/>
    <w:rsid w:val="0072345B"/>
    <w:rsid w:val="007246A0"/>
    <w:rsid w:val="00726043"/>
    <w:rsid w:val="00727A61"/>
    <w:rsid w:val="00733D56"/>
    <w:rsid w:val="007360ED"/>
    <w:rsid w:val="00740F91"/>
    <w:rsid w:val="007534A2"/>
    <w:rsid w:val="0077204A"/>
    <w:rsid w:val="0078118A"/>
    <w:rsid w:val="0078747C"/>
    <w:rsid w:val="00792257"/>
    <w:rsid w:val="007A1BF0"/>
    <w:rsid w:val="007A3BF0"/>
    <w:rsid w:val="007A6E3C"/>
    <w:rsid w:val="007B384B"/>
    <w:rsid w:val="007D1510"/>
    <w:rsid w:val="007D3AF4"/>
    <w:rsid w:val="007E0634"/>
    <w:rsid w:val="007E64C1"/>
    <w:rsid w:val="007F36F0"/>
    <w:rsid w:val="007F7305"/>
    <w:rsid w:val="00801E4B"/>
    <w:rsid w:val="00802129"/>
    <w:rsid w:val="00804583"/>
    <w:rsid w:val="00805C40"/>
    <w:rsid w:val="008172E8"/>
    <w:rsid w:val="008206F1"/>
    <w:rsid w:val="00822127"/>
    <w:rsid w:val="00824EDB"/>
    <w:rsid w:val="008314A6"/>
    <w:rsid w:val="00840B59"/>
    <w:rsid w:val="00841F58"/>
    <w:rsid w:val="00844477"/>
    <w:rsid w:val="00845A0F"/>
    <w:rsid w:val="00847257"/>
    <w:rsid w:val="008474B6"/>
    <w:rsid w:val="008504D2"/>
    <w:rsid w:val="008520ED"/>
    <w:rsid w:val="00854E99"/>
    <w:rsid w:val="00856C5C"/>
    <w:rsid w:val="008631D2"/>
    <w:rsid w:val="00865452"/>
    <w:rsid w:val="008767F3"/>
    <w:rsid w:val="0087696B"/>
    <w:rsid w:val="0088092D"/>
    <w:rsid w:val="0088116F"/>
    <w:rsid w:val="00882F4B"/>
    <w:rsid w:val="008841C0"/>
    <w:rsid w:val="00886567"/>
    <w:rsid w:val="0089310B"/>
    <w:rsid w:val="008A2CB0"/>
    <w:rsid w:val="008A6B7C"/>
    <w:rsid w:val="008B1D03"/>
    <w:rsid w:val="008B1EC2"/>
    <w:rsid w:val="008B4BC9"/>
    <w:rsid w:val="008B68B4"/>
    <w:rsid w:val="008B79DD"/>
    <w:rsid w:val="008C6FB5"/>
    <w:rsid w:val="008D7438"/>
    <w:rsid w:val="008E031B"/>
    <w:rsid w:val="008E49A5"/>
    <w:rsid w:val="008E56BB"/>
    <w:rsid w:val="00902BB3"/>
    <w:rsid w:val="0091063B"/>
    <w:rsid w:val="00911451"/>
    <w:rsid w:val="009156BF"/>
    <w:rsid w:val="0091615F"/>
    <w:rsid w:val="00925315"/>
    <w:rsid w:val="009315CF"/>
    <w:rsid w:val="009350E4"/>
    <w:rsid w:val="0094060E"/>
    <w:rsid w:val="00941226"/>
    <w:rsid w:val="0094249F"/>
    <w:rsid w:val="00945D9D"/>
    <w:rsid w:val="00947495"/>
    <w:rsid w:val="00951EF5"/>
    <w:rsid w:val="0095585F"/>
    <w:rsid w:val="00971164"/>
    <w:rsid w:val="00984781"/>
    <w:rsid w:val="00992101"/>
    <w:rsid w:val="00996461"/>
    <w:rsid w:val="009A0EAA"/>
    <w:rsid w:val="009A5D55"/>
    <w:rsid w:val="009B05DD"/>
    <w:rsid w:val="009B58ED"/>
    <w:rsid w:val="009C4400"/>
    <w:rsid w:val="009E1109"/>
    <w:rsid w:val="009E4D0B"/>
    <w:rsid w:val="009E5DBE"/>
    <w:rsid w:val="009E774D"/>
    <w:rsid w:val="009E7FA9"/>
    <w:rsid w:val="009F2A36"/>
    <w:rsid w:val="00A04DD9"/>
    <w:rsid w:val="00A05300"/>
    <w:rsid w:val="00A41752"/>
    <w:rsid w:val="00A4183C"/>
    <w:rsid w:val="00A43FB5"/>
    <w:rsid w:val="00A448C7"/>
    <w:rsid w:val="00A47884"/>
    <w:rsid w:val="00A51AAE"/>
    <w:rsid w:val="00A51D19"/>
    <w:rsid w:val="00A522AB"/>
    <w:rsid w:val="00A5293B"/>
    <w:rsid w:val="00A63B22"/>
    <w:rsid w:val="00A64752"/>
    <w:rsid w:val="00A74B28"/>
    <w:rsid w:val="00A76D1F"/>
    <w:rsid w:val="00A9003C"/>
    <w:rsid w:val="00A913FC"/>
    <w:rsid w:val="00A94792"/>
    <w:rsid w:val="00AA1A6D"/>
    <w:rsid w:val="00AB0984"/>
    <w:rsid w:val="00AB1820"/>
    <w:rsid w:val="00AB2C56"/>
    <w:rsid w:val="00AD206D"/>
    <w:rsid w:val="00AD49FB"/>
    <w:rsid w:val="00AD615D"/>
    <w:rsid w:val="00AE0406"/>
    <w:rsid w:val="00AE05E7"/>
    <w:rsid w:val="00AE207C"/>
    <w:rsid w:val="00B0322B"/>
    <w:rsid w:val="00B06F36"/>
    <w:rsid w:val="00B10309"/>
    <w:rsid w:val="00B22919"/>
    <w:rsid w:val="00B23A05"/>
    <w:rsid w:val="00B37337"/>
    <w:rsid w:val="00B43AC4"/>
    <w:rsid w:val="00B4437C"/>
    <w:rsid w:val="00B501B1"/>
    <w:rsid w:val="00B539D5"/>
    <w:rsid w:val="00B5552A"/>
    <w:rsid w:val="00B555CC"/>
    <w:rsid w:val="00B61005"/>
    <w:rsid w:val="00B666E8"/>
    <w:rsid w:val="00B67EFD"/>
    <w:rsid w:val="00BA4C0C"/>
    <w:rsid w:val="00BB028D"/>
    <w:rsid w:val="00BB59BC"/>
    <w:rsid w:val="00BB5D30"/>
    <w:rsid w:val="00BC6BB9"/>
    <w:rsid w:val="00BD0F67"/>
    <w:rsid w:val="00BD4C20"/>
    <w:rsid w:val="00BD58BD"/>
    <w:rsid w:val="00BD6C89"/>
    <w:rsid w:val="00BE065A"/>
    <w:rsid w:val="00BE6312"/>
    <w:rsid w:val="00BF270D"/>
    <w:rsid w:val="00BF5517"/>
    <w:rsid w:val="00BF6FE5"/>
    <w:rsid w:val="00C02A79"/>
    <w:rsid w:val="00C2425F"/>
    <w:rsid w:val="00C31A61"/>
    <w:rsid w:val="00C3289F"/>
    <w:rsid w:val="00C40478"/>
    <w:rsid w:val="00C41387"/>
    <w:rsid w:val="00C42178"/>
    <w:rsid w:val="00C43A8B"/>
    <w:rsid w:val="00C45C72"/>
    <w:rsid w:val="00C64BA8"/>
    <w:rsid w:val="00C7162C"/>
    <w:rsid w:val="00C745FB"/>
    <w:rsid w:val="00C774E3"/>
    <w:rsid w:val="00C90DB1"/>
    <w:rsid w:val="00C91378"/>
    <w:rsid w:val="00C927AF"/>
    <w:rsid w:val="00C94E8C"/>
    <w:rsid w:val="00C95AB2"/>
    <w:rsid w:val="00C976BC"/>
    <w:rsid w:val="00CA399E"/>
    <w:rsid w:val="00CB01DB"/>
    <w:rsid w:val="00CC06DE"/>
    <w:rsid w:val="00CC62BA"/>
    <w:rsid w:val="00CC7465"/>
    <w:rsid w:val="00CD0754"/>
    <w:rsid w:val="00CF18FD"/>
    <w:rsid w:val="00D01F6F"/>
    <w:rsid w:val="00D04841"/>
    <w:rsid w:val="00D14ADE"/>
    <w:rsid w:val="00D20B12"/>
    <w:rsid w:val="00D271DB"/>
    <w:rsid w:val="00D3040C"/>
    <w:rsid w:val="00D41A65"/>
    <w:rsid w:val="00D4712E"/>
    <w:rsid w:val="00D51EA0"/>
    <w:rsid w:val="00D56DAE"/>
    <w:rsid w:val="00D62C75"/>
    <w:rsid w:val="00D649CF"/>
    <w:rsid w:val="00D65BB5"/>
    <w:rsid w:val="00D762EE"/>
    <w:rsid w:val="00D908A9"/>
    <w:rsid w:val="00D96E9D"/>
    <w:rsid w:val="00DA0A06"/>
    <w:rsid w:val="00DB1DAA"/>
    <w:rsid w:val="00DB7700"/>
    <w:rsid w:val="00DC5906"/>
    <w:rsid w:val="00DD0DA3"/>
    <w:rsid w:val="00DF74F7"/>
    <w:rsid w:val="00E109BB"/>
    <w:rsid w:val="00E2356A"/>
    <w:rsid w:val="00E24462"/>
    <w:rsid w:val="00E33344"/>
    <w:rsid w:val="00E34DE8"/>
    <w:rsid w:val="00E40337"/>
    <w:rsid w:val="00E51C4D"/>
    <w:rsid w:val="00E56EB3"/>
    <w:rsid w:val="00E717B8"/>
    <w:rsid w:val="00E8399D"/>
    <w:rsid w:val="00E8522C"/>
    <w:rsid w:val="00E8654C"/>
    <w:rsid w:val="00E92B0A"/>
    <w:rsid w:val="00E944EA"/>
    <w:rsid w:val="00E97C9A"/>
    <w:rsid w:val="00EB6BB6"/>
    <w:rsid w:val="00EC1328"/>
    <w:rsid w:val="00ED6DEF"/>
    <w:rsid w:val="00EE17D2"/>
    <w:rsid w:val="00EE5573"/>
    <w:rsid w:val="00EF2EBC"/>
    <w:rsid w:val="00EF3861"/>
    <w:rsid w:val="00EF41E7"/>
    <w:rsid w:val="00EF5F71"/>
    <w:rsid w:val="00EF7E28"/>
    <w:rsid w:val="00F045C0"/>
    <w:rsid w:val="00F07560"/>
    <w:rsid w:val="00F10A2B"/>
    <w:rsid w:val="00F12730"/>
    <w:rsid w:val="00F21B1C"/>
    <w:rsid w:val="00F31E21"/>
    <w:rsid w:val="00F33AC2"/>
    <w:rsid w:val="00F402F6"/>
    <w:rsid w:val="00F4438B"/>
    <w:rsid w:val="00F510D9"/>
    <w:rsid w:val="00F51FDC"/>
    <w:rsid w:val="00F52726"/>
    <w:rsid w:val="00F623D8"/>
    <w:rsid w:val="00F63553"/>
    <w:rsid w:val="00F66625"/>
    <w:rsid w:val="00F7207C"/>
    <w:rsid w:val="00FB174F"/>
    <w:rsid w:val="00FB5094"/>
    <w:rsid w:val="00FB5C8F"/>
    <w:rsid w:val="00FB75DE"/>
    <w:rsid w:val="00FE376C"/>
    <w:rsid w:val="00FE5151"/>
    <w:rsid w:val="00FE7C86"/>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320">
      <w:marLeft w:val="0"/>
      <w:marRight w:val="0"/>
      <w:marTop w:val="0"/>
      <w:marBottom w:val="0"/>
      <w:divBdr>
        <w:top w:val="none" w:sz="0" w:space="0" w:color="auto"/>
        <w:left w:val="none" w:sz="0" w:space="0" w:color="auto"/>
        <w:bottom w:val="none" w:sz="0" w:space="0" w:color="auto"/>
        <w:right w:val="none" w:sz="0" w:space="0" w:color="auto"/>
      </w:divBdr>
    </w:div>
    <w:div w:id="28334321">
      <w:marLeft w:val="0"/>
      <w:marRight w:val="0"/>
      <w:marTop w:val="0"/>
      <w:marBottom w:val="0"/>
      <w:divBdr>
        <w:top w:val="none" w:sz="0" w:space="0" w:color="auto"/>
        <w:left w:val="none" w:sz="0" w:space="0" w:color="auto"/>
        <w:bottom w:val="none" w:sz="0" w:space="0" w:color="auto"/>
        <w:right w:val="none" w:sz="0" w:space="0" w:color="auto"/>
      </w:divBdr>
    </w:div>
    <w:div w:id="28334322">
      <w:marLeft w:val="0"/>
      <w:marRight w:val="0"/>
      <w:marTop w:val="0"/>
      <w:marBottom w:val="0"/>
      <w:divBdr>
        <w:top w:val="none" w:sz="0" w:space="0" w:color="auto"/>
        <w:left w:val="none" w:sz="0" w:space="0" w:color="auto"/>
        <w:bottom w:val="none" w:sz="0" w:space="0" w:color="auto"/>
        <w:right w:val="none" w:sz="0" w:space="0" w:color="auto"/>
      </w:divBdr>
    </w:div>
    <w:div w:id="28334323">
      <w:marLeft w:val="0"/>
      <w:marRight w:val="0"/>
      <w:marTop w:val="0"/>
      <w:marBottom w:val="0"/>
      <w:divBdr>
        <w:top w:val="none" w:sz="0" w:space="0" w:color="auto"/>
        <w:left w:val="none" w:sz="0" w:space="0" w:color="auto"/>
        <w:bottom w:val="none" w:sz="0" w:space="0" w:color="auto"/>
        <w:right w:val="none" w:sz="0" w:space="0" w:color="auto"/>
      </w:divBdr>
    </w:div>
    <w:div w:id="28334324">
      <w:marLeft w:val="0"/>
      <w:marRight w:val="0"/>
      <w:marTop w:val="0"/>
      <w:marBottom w:val="0"/>
      <w:divBdr>
        <w:top w:val="none" w:sz="0" w:space="0" w:color="auto"/>
        <w:left w:val="none" w:sz="0" w:space="0" w:color="auto"/>
        <w:bottom w:val="none" w:sz="0" w:space="0" w:color="auto"/>
        <w:right w:val="none" w:sz="0" w:space="0" w:color="auto"/>
      </w:divBdr>
    </w:div>
    <w:div w:id="28334325">
      <w:marLeft w:val="0"/>
      <w:marRight w:val="0"/>
      <w:marTop w:val="0"/>
      <w:marBottom w:val="0"/>
      <w:divBdr>
        <w:top w:val="none" w:sz="0" w:space="0" w:color="auto"/>
        <w:left w:val="none" w:sz="0" w:space="0" w:color="auto"/>
        <w:bottom w:val="none" w:sz="0" w:space="0" w:color="auto"/>
        <w:right w:val="none" w:sz="0" w:space="0" w:color="auto"/>
      </w:divBdr>
    </w:div>
    <w:div w:id="28334326">
      <w:marLeft w:val="0"/>
      <w:marRight w:val="0"/>
      <w:marTop w:val="0"/>
      <w:marBottom w:val="0"/>
      <w:divBdr>
        <w:top w:val="none" w:sz="0" w:space="0" w:color="auto"/>
        <w:left w:val="none" w:sz="0" w:space="0" w:color="auto"/>
        <w:bottom w:val="none" w:sz="0" w:space="0" w:color="auto"/>
        <w:right w:val="none" w:sz="0" w:space="0" w:color="auto"/>
      </w:divBdr>
    </w:div>
    <w:div w:id="19901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1184</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Matthew Coyne</cp:lastModifiedBy>
  <cp:revision>25</cp:revision>
  <cp:lastPrinted>2012-07-19T09:56:00Z</cp:lastPrinted>
  <dcterms:created xsi:type="dcterms:W3CDTF">2016-04-29T11:02:00Z</dcterms:created>
  <dcterms:modified xsi:type="dcterms:W3CDTF">2016-11-17T10:33:00Z</dcterms:modified>
</cp:coreProperties>
</file>