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CF" w:rsidRDefault="00E8522C" w:rsidP="000A2229">
      <w:pPr>
        <w:numPr>
          <w:ilvl w:val="0"/>
          <w:numId w:val="2"/>
        </w:numPr>
        <w:tabs>
          <w:tab w:val="clear" w:pos="360"/>
        </w:tabs>
        <w:ind w:left="567" w:hanging="567"/>
        <w:jc w:val="both"/>
        <w:rPr>
          <w:rFonts w:ascii="Arial" w:hAnsi="Arial" w:cs="Arial"/>
          <w:b/>
        </w:rPr>
      </w:pPr>
      <w:r w:rsidRPr="000A2229">
        <w:rPr>
          <w:rFonts w:ascii="Arial" w:hAnsi="Arial" w:cs="Arial"/>
          <w:b/>
        </w:rPr>
        <w:t xml:space="preserve">Application </w:t>
      </w:r>
      <w:r w:rsidR="00E34DE8" w:rsidRPr="000A2229">
        <w:rPr>
          <w:rFonts w:ascii="Arial" w:hAnsi="Arial" w:cs="Arial"/>
          <w:b/>
        </w:rPr>
        <w:t xml:space="preserve">Site </w:t>
      </w:r>
      <w:r w:rsidRPr="000A2229">
        <w:rPr>
          <w:rFonts w:ascii="Arial" w:hAnsi="Arial" w:cs="Arial"/>
          <w:b/>
        </w:rPr>
        <w:t xml:space="preserve">and Locality </w:t>
      </w:r>
    </w:p>
    <w:p w:rsidR="00CA2027" w:rsidRPr="000A2229" w:rsidRDefault="00CA2027" w:rsidP="00CA2027">
      <w:pPr>
        <w:ind w:left="567"/>
        <w:jc w:val="both"/>
        <w:rPr>
          <w:rFonts w:ascii="Arial" w:hAnsi="Arial" w:cs="Arial"/>
          <w:b/>
        </w:rPr>
      </w:pPr>
    </w:p>
    <w:p w:rsidR="00E937AD" w:rsidRDefault="00265E1A" w:rsidP="00B311FB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D702BE">
        <w:rPr>
          <w:rFonts w:ascii="Arial" w:hAnsi="Arial" w:cs="Arial"/>
        </w:rPr>
        <w:t xml:space="preserve">Building 315 is one of the A-frame hangers dating from about 1926 that circle the technical area and border the flying field. Upper </w:t>
      </w:r>
      <w:proofErr w:type="spellStart"/>
      <w:r w:rsidRPr="00D702BE">
        <w:rPr>
          <w:rFonts w:ascii="Arial" w:hAnsi="Arial" w:cs="Arial"/>
        </w:rPr>
        <w:t>Heyford</w:t>
      </w:r>
      <w:proofErr w:type="spellEnd"/>
      <w:r w:rsidRPr="00D702BE">
        <w:rPr>
          <w:rFonts w:ascii="Arial" w:hAnsi="Arial" w:cs="Arial"/>
        </w:rPr>
        <w:t xml:space="preserve"> is unique in having six, the largest collection of Type ‘A’ hangers in the country. </w:t>
      </w:r>
    </w:p>
    <w:p w:rsidR="00CA2027" w:rsidRPr="00D702BE" w:rsidRDefault="00CA2027" w:rsidP="00B311FB">
      <w:pPr>
        <w:numPr>
          <w:ilvl w:val="1"/>
          <w:numId w:val="2"/>
        </w:numPr>
        <w:tabs>
          <w:tab w:val="clear" w:pos="1152"/>
          <w:tab w:val="num" w:pos="567"/>
        </w:tabs>
        <w:spacing w:after="240"/>
        <w:ind w:left="567" w:hanging="567"/>
        <w:jc w:val="both"/>
        <w:rPr>
          <w:rFonts w:ascii="Arial" w:hAnsi="Arial" w:cs="Arial"/>
        </w:rPr>
      </w:pPr>
      <w:r w:rsidRPr="00D702BE">
        <w:rPr>
          <w:rFonts w:ascii="Arial" w:hAnsi="Arial" w:cs="Arial"/>
        </w:rPr>
        <w:t xml:space="preserve">Planning permission was granted for </w:t>
      </w:r>
      <w:r w:rsidR="00642228" w:rsidRPr="00D702BE">
        <w:rPr>
          <w:rFonts w:ascii="Arial" w:hAnsi="Arial" w:cs="Arial"/>
        </w:rPr>
        <w:t xml:space="preserve">the use of building </w:t>
      </w:r>
      <w:r w:rsidR="00D702BE">
        <w:rPr>
          <w:rFonts w:ascii="Arial" w:hAnsi="Arial" w:cs="Arial"/>
        </w:rPr>
        <w:t xml:space="preserve">103 for a Heritage Centre and building </w:t>
      </w:r>
      <w:r w:rsidR="00642228" w:rsidRPr="00D702BE">
        <w:rPr>
          <w:rFonts w:ascii="Arial" w:hAnsi="Arial" w:cs="Arial"/>
        </w:rPr>
        <w:t>315 for storage and distribution purpose</w:t>
      </w:r>
      <w:r w:rsidR="00D702BE">
        <w:rPr>
          <w:rFonts w:ascii="Arial" w:hAnsi="Arial" w:cs="Arial"/>
        </w:rPr>
        <w:t>s</w:t>
      </w:r>
      <w:r w:rsidR="00642228" w:rsidRPr="00D702BE">
        <w:rPr>
          <w:rFonts w:ascii="Arial" w:hAnsi="Arial" w:cs="Arial"/>
        </w:rPr>
        <w:t xml:space="preserve"> </w:t>
      </w:r>
      <w:r w:rsidRPr="00D702BE">
        <w:rPr>
          <w:rFonts w:ascii="Arial" w:hAnsi="Arial" w:cs="Arial"/>
        </w:rPr>
        <w:t>(permission 16/0</w:t>
      </w:r>
      <w:r w:rsidR="00642228" w:rsidRPr="00D702BE">
        <w:rPr>
          <w:rFonts w:ascii="Arial" w:hAnsi="Arial" w:cs="Arial"/>
        </w:rPr>
        <w:t>1545</w:t>
      </w:r>
      <w:r w:rsidRPr="00D702BE">
        <w:rPr>
          <w:rFonts w:ascii="Arial" w:hAnsi="Arial" w:cs="Arial"/>
        </w:rPr>
        <w:t>/F refers).</w:t>
      </w:r>
    </w:p>
    <w:p w:rsidR="00055B98" w:rsidRPr="000A2229" w:rsidRDefault="00E8522C" w:rsidP="00B311FB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0A2229">
        <w:rPr>
          <w:rFonts w:ascii="Arial" w:hAnsi="Arial" w:cs="Arial"/>
          <w:b/>
        </w:rPr>
        <w:t>Description of Proposed Development</w:t>
      </w:r>
    </w:p>
    <w:p w:rsidR="00BC7E37" w:rsidRPr="0025322B" w:rsidRDefault="00BC7E37" w:rsidP="00B311FB">
      <w:pPr>
        <w:pStyle w:val="ListParagraph"/>
        <w:numPr>
          <w:ilvl w:val="0"/>
          <w:numId w:val="14"/>
        </w:numPr>
        <w:spacing w:before="240"/>
        <w:ind w:left="567" w:hanging="567"/>
        <w:jc w:val="both"/>
        <w:rPr>
          <w:rFonts w:ascii="Arial" w:hAnsi="Arial" w:cs="Arial"/>
        </w:rPr>
      </w:pPr>
      <w:r w:rsidRPr="0025322B">
        <w:rPr>
          <w:rFonts w:ascii="Arial" w:hAnsi="Arial" w:cs="Arial"/>
        </w:rPr>
        <w:t xml:space="preserve">The current application seeks </w:t>
      </w:r>
      <w:r w:rsidR="00BF3BD4">
        <w:rPr>
          <w:rFonts w:ascii="Arial" w:hAnsi="Arial" w:cs="Arial"/>
        </w:rPr>
        <w:t xml:space="preserve">the partial </w:t>
      </w:r>
      <w:r w:rsidRPr="0025322B">
        <w:rPr>
          <w:rFonts w:ascii="Arial" w:hAnsi="Arial" w:cs="Arial"/>
        </w:rPr>
        <w:t>discharge</w:t>
      </w:r>
      <w:r w:rsidR="00BF3BD4">
        <w:rPr>
          <w:rFonts w:ascii="Arial" w:hAnsi="Arial" w:cs="Arial"/>
        </w:rPr>
        <w:t xml:space="preserve"> of </w:t>
      </w:r>
      <w:r w:rsidR="00CA2027">
        <w:rPr>
          <w:rFonts w:ascii="Arial" w:hAnsi="Arial" w:cs="Arial"/>
        </w:rPr>
        <w:t xml:space="preserve">Condition </w:t>
      </w:r>
      <w:r w:rsidR="00413162">
        <w:rPr>
          <w:rFonts w:ascii="Arial" w:hAnsi="Arial" w:cs="Arial"/>
        </w:rPr>
        <w:t>6</w:t>
      </w:r>
      <w:r w:rsidR="00CA2027">
        <w:rPr>
          <w:rFonts w:ascii="Arial" w:hAnsi="Arial" w:cs="Arial"/>
        </w:rPr>
        <w:t xml:space="preserve"> </w:t>
      </w:r>
      <w:r w:rsidR="00413162">
        <w:rPr>
          <w:rFonts w:ascii="Arial" w:hAnsi="Arial" w:cs="Arial"/>
        </w:rPr>
        <w:t>(</w:t>
      </w:r>
      <w:r w:rsidR="00642228">
        <w:rPr>
          <w:rFonts w:ascii="Arial" w:hAnsi="Arial" w:cs="Arial"/>
        </w:rPr>
        <w:t>Parking</w:t>
      </w:r>
      <w:r w:rsidR="00413162">
        <w:rPr>
          <w:rFonts w:ascii="Arial" w:hAnsi="Arial" w:cs="Arial"/>
        </w:rPr>
        <w:t xml:space="preserve"> Layout</w:t>
      </w:r>
      <w:r w:rsidR="00CA2027">
        <w:rPr>
          <w:rFonts w:ascii="Arial" w:hAnsi="Arial" w:cs="Arial"/>
        </w:rPr>
        <w:t>)</w:t>
      </w:r>
      <w:r w:rsidR="00CA2027" w:rsidRPr="008057FB">
        <w:rPr>
          <w:rFonts w:ascii="Arial" w:hAnsi="Arial" w:cs="Arial"/>
        </w:rPr>
        <w:t xml:space="preserve"> </w:t>
      </w:r>
      <w:r w:rsidR="00BF3BD4">
        <w:rPr>
          <w:rFonts w:ascii="Arial" w:hAnsi="Arial" w:cs="Arial"/>
        </w:rPr>
        <w:t xml:space="preserve">in so far as it only relates to Building 315, </w:t>
      </w:r>
      <w:r w:rsidR="00CA2027" w:rsidRPr="008057FB">
        <w:rPr>
          <w:rFonts w:ascii="Arial" w:hAnsi="Arial" w:cs="Arial"/>
        </w:rPr>
        <w:t>of 16/</w:t>
      </w:r>
      <w:r w:rsidR="00A152B4">
        <w:rPr>
          <w:rFonts w:ascii="Arial" w:hAnsi="Arial" w:cs="Arial"/>
        </w:rPr>
        <w:t>0</w:t>
      </w:r>
      <w:r w:rsidR="00642228">
        <w:rPr>
          <w:rFonts w:ascii="Arial" w:hAnsi="Arial" w:cs="Arial"/>
        </w:rPr>
        <w:t>1545</w:t>
      </w:r>
      <w:r w:rsidR="00CA2027" w:rsidRPr="008057FB">
        <w:rPr>
          <w:rFonts w:ascii="Arial" w:hAnsi="Arial" w:cs="Arial"/>
        </w:rPr>
        <w:t>/F</w:t>
      </w:r>
      <w:r w:rsidRPr="0025322B">
        <w:rPr>
          <w:rFonts w:ascii="Arial" w:hAnsi="Arial" w:cs="Arial"/>
        </w:rPr>
        <w:t xml:space="preserve">. </w:t>
      </w:r>
    </w:p>
    <w:p w:rsidR="00B311FB" w:rsidRDefault="00B311FB" w:rsidP="00B311FB">
      <w:pPr>
        <w:tabs>
          <w:tab w:val="left" w:pos="6480"/>
        </w:tabs>
        <w:ind w:left="567"/>
        <w:jc w:val="both"/>
        <w:rPr>
          <w:rFonts w:ascii="Arial" w:hAnsi="Arial" w:cs="Arial"/>
          <w:b/>
        </w:rPr>
      </w:pPr>
    </w:p>
    <w:p w:rsidR="00E34DE8" w:rsidRPr="000A2229" w:rsidRDefault="00E34DE8" w:rsidP="00B311FB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0A2229">
        <w:rPr>
          <w:rFonts w:ascii="Arial" w:hAnsi="Arial" w:cs="Arial"/>
          <w:b/>
        </w:rPr>
        <w:t>Appraisal</w:t>
      </w:r>
    </w:p>
    <w:p w:rsidR="00CA2027" w:rsidRDefault="00BC7E37" w:rsidP="006934A4">
      <w:pPr>
        <w:pStyle w:val="ListParagraph"/>
        <w:numPr>
          <w:ilvl w:val="0"/>
          <w:numId w:val="15"/>
        </w:numPr>
        <w:tabs>
          <w:tab w:val="left" w:pos="6480"/>
        </w:tabs>
        <w:spacing w:before="240"/>
        <w:ind w:left="567" w:hanging="567"/>
        <w:jc w:val="both"/>
        <w:rPr>
          <w:rFonts w:ascii="Arial" w:hAnsi="Arial" w:cs="Arial"/>
        </w:rPr>
      </w:pPr>
      <w:r w:rsidRPr="006934A4">
        <w:rPr>
          <w:rFonts w:ascii="Arial" w:hAnsi="Arial" w:cs="Arial"/>
          <w:u w:val="single"/>
        </w:rPr>
        <w:t xml:space="preserve">Condition </w:t>
      </w:r>
      <w:r w:rsidR="00413162">
        <w:rPr>
          <w:rFonts w:ascii="Arial" w:hAnsi="Arial" w:cs="Arial"/>
          <w:u w:val="single"/>
        </w:rPr>
        <w:t>6</w:t>
      </w:r>
      <w:r w:rsidR="006934A4" w:rsidRPr="006934A4">
        <w:rPr>
          <w:rFonts w:ascii="Arial" w:hAnsi="Arial" w:cs="Arial"/>
        </w:rPr>
        <w:t xml:space="preserve"> required </w:t>
      </w:r>
      <w:r w:rsidR="00E937AD" w:rsidRPr="00D86226">
        <w:rPr>
          <w:rFonts w:ascii="Arial" w:hAnsi="Arial" w:cs="Arial"/>
        </w:rPr>
        <w:t xml:space="preserve">a car parking </w:t>
      </w:r>
      <w:r w:rsidR="00E937AD">
        <w:rPr>
          <w:rFonts w:ascii="Arial" w:hAnsi="Arial" w:cs="Arial"/>
        </w:rPr>
        <w:t>plan</w:t>
      </w:r>
      <w:r w:rsidR="00E937AD" w:rsidRPr="00D86226">
        <w:rPr>
          <w:rFonts w:ascii="Arial" w:hAnsi="Arial" w:cs="Arial"/>
        </w:rPr>
        <w:t xml:space="preserve"> for vehicles to be accommodated within the site of each building </w:t>
      </w:r>
      <w:r w:rsidR="00E937AD">
        <w:rPr>
          <w:rFonts w:ascii="Arial" w:hAnsi="Arial" w:cs="Arial"/>
        </w:rPr>
        <w:t>(</w:t>
      </w:r>
      <w:r w:rsidR="00E937AD" w:rsidRPr="00D86226">
        <w:rPr>
          <w:rFonts w:ascii="Arial" w:hAnsi="Arial" w:cs="Arial"/>
        </w:rPr>
        <w:t>together with any areas for manoeuvring</w:t>
      </w:r>
      <w:r w:rsidR="00E937AD">
        <w:rPr>
          <w:rFonts w:ascii="Arial" w:hAnsi="Arial" w:cs="Arial"/>
        </w:rPr>
        <w:t>)</w:t>
      </w:r>
      <w:r w:rsidR="00E937AD" w:rsidRPr="00D86226">
        <w:rPr>
          <w:rFonts w:ascii="Arial" w:hAnsi="Arial" w:cs="Arial"/>
        </w:rPr>
        <w:t xml:space="preserve"> </w:t>
      </w:r>
      <w:r w:rsidR="00EC64D9">
        <w:rPr>
          <w:rFonts w:ascii="Arial" w:hAnsi="Arial" w:cs="Arial"/>
        </w:rPr>
        <w:t>to be</w:t>
      </w:r>
      <w:r w:rsidR="00E937AD">
        <w:rPr>
          <w:rFonts w:ascii="Arial" w:hAnsi="Arial" w:cs="Arial"/>
        </w:rPr>
        <w:t xml:space="preserve"> submitted to and approved in writing by the LPA</w:t>
      </w:r>
      <w:r w:rsidR="00EC64D9">
        <w:rPr>
          <w:rFonts w:ascii="Arial" w:hAnsi="Arial" w:cs="Arial"/>
        </w:rPr>
        <w:t xml:space="preserve">. This information has been provided in </w:t>
      </w:r>
      <w:r w:rsidR="00992511">
        <w:rPr>
          <w:rFonts w:ascii="Arial" w:hAnsi="Arial" w:cs="Arial"/>
        </w:rPr>
        <w:t>drawing</w:t>
      </w:r>
      <w:r w:rsidR="00BF3BD4">
        <w:rPr>
          <w:rFonts w:ascii="Arial" w:hAnsi="Arial" w:cs="Arial"/>
        </w:rPr>
        <w:t xml:space="preserve"> numbered ‘D.0371_04 </w:t>
      </w:r>
      <w:r w:rsidR="00992511">
        <w:rPr>
          <w:rFonts w:ascii="Arial" w:hAnsi="Arial" w:cs="Arial"/>
        </w:rPr>
        <w:t>(dated</w:t>
      </w:r>
      <w:r w:rsidR="00BF3BD4">
        <w:rPr>
          <w:rFonts w:ascii="Arial" w:hAnsi="Arial" w:cs="Arial"/>
        </w:rPr>
        <w:t xml:space="preserve"> 06/01/2017</w:t>
      </w:r>
      <w:r w:rsidR="00992511">
        <w:rPr>
          <w:rFonts w:ascii="Arial" w:hAnsi="Arial" w:cs="Arial"/>
        </w:rPr>
        <w:t>)</w:t>
      </w:r>
      <w:r w:rsidR="00FA7E18">
        <w:rPr>
          <w:rFonts w:ascii="Arial" w:hAnsi="Arial" w:cs="Arial"/>
        </w:rPr>
        <w:t>.</w:t>
      </w:r>
    </w:p>
    <w:p w:rsidR="00BC7E37" w:rsidRDefault="00BC7E37" w:rsidP="00A7544E">
      <w:pPr>
        <w:tabs>
          <w:tab w:val="left" w:pos="6480"/>
        </w:tabs>
        <w:ind w:left="567"/>
        <w:jc w:val="both"/>
        <w:rPr>
          <w:rFonts w:ascii="Arial" w:hAnsi="Arial" w:cs="Arial"/>
          <w:u w:val="single"/>
        </w:rPr>
      </w:pPr>
    </w:p>
    <w:p w:rsidR="00FA7E18" w:rsidRDefault="00BF3BD4" w:rsidP="00A7544E">
      <w:pPr>
        <w:tabs>
          <w:tab w:val="left" w:pos="6480"/>
        </w:tabs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Oxfordshire County Council Highways raised no objections to the discharge of this condition and advises that the drawing demonstrates adequate car parking and good vehicle manoeuvring</w:t>
      </w:r>
      <w:r w:rsidR="0099251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7E18">
        <w:rPr>
          <w:rFonts w:ascii="Arial" w:hAnsi="Arial" w:cs="Arial"/>
        </w:rPr>
        <w:t xml:space="preserve"> </w:t>
      </w:r>
    </w:p>
    <w:p w:rsidR="00FA7E18" w:rsidRPr="00FA7E18" w:rsidRDefault="00FA7E18" w:rsidP="00A7544E">
      <w:pPr>
        <w:tabs>
          <w:tab w:val="left" w:pos="6480"/>
        </w:tabs>
        <w:ind w:left="567"/>
        <w:jc w:val="both"/>
        <w:rPr>
          <w:rFonts w:ascii="Arial" w:hAnsi="Arial" w:cs="Arial"/>
        </w:rPr>
      </w:pPr>
    </w:p>
    <w:p w:rsidR="000A2229" w:rsidRPr="00A7544E" w:rsidRDefault="000A2229" w:rsidP="00A43B25">
      <w:pPr>
        <w:numPr>
          <w:ilvl w:val="0"/>
          <w:numId w:val="2"/>
        </w:numPr>
        <w:tabs>
          <w:tab w:val="clear" w:pos="360"/>
          <w:tab w:val="num" w:pos="567"/>
          <w:tab w:val="left" w:pos="6480"/>
        </w:tabs>
        <w:ind w:left="567" w:hanging="567"/>
        <w:jc w:val="both"/>
        <w:rPr>
          <w:rFonts w:ascii="Arial" w:hAnsi="Arial" w:cs="Arial"/>
          <w:b/>
        </w:rPr>
      </w:pPr>
      <w:r w:rsidRPr="00A7544E">
        <w:rPr>
          <w:rFonts w:ascii="Arial" w:hAnsi="Arial" w:cs="Arial"/>
          <w:b/>
        </w:rPr>
        <w:t>Recommendation</w:t>
      </w:r>
    </w:p>
    <w:p w:rsidR="000A2229" w:rsidRPr="000A2229" w:rsidRDefault="000A2229" w:rsidP="000A2229">
      <w:pPr>
        <w:keepLines/>
        <w:ind w:left="360"/>
        <w:jc w:val="both"/>
        <w:rPr>
          <w:rFonts w:ascii="Arial" w:hAnsi="Arial" w:cs="Arial"/>
          <w:b/>
          <w:u w:val="single"/>
        </w:rPr>
      </w:pPr>
    </w:p>
    <w:p w:rsidR="005F69AD" w:rsidRPr="005F69AD" w:rsidRDefault="00DC3CAB" w:rsidP="005F69AD">
      <w:pPr>
        <w:ind w:firstLine="567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Partial Discharge</w:t>
      </w:r>
      <w:r w:rsidR="005F69AD" w:rsidRPr="005F69AD">
        <w:rPr>
          <w:rFonts w:ascii="Arial" w:hAnsi="Arial" w:cs="Arial"/>
          <w:b/>
          <w:szCs w:val="22"/>
        </w:rPr>
        <w:t xml:space="preserve">, in </w:t>
      </w:r>
      <w:r>
        <w:rPr>
          <w:rFonts w:ascii="Arial" w:hAnsi="Arial" w:cs="Arial"/>
          <w:b/>
          <w:szCs w:val="22"/>
        </w:rPr>
        <w:t>so far as it only relates to Building 315</w:t>
      </w:r>
      <w:r w:rsidR="005F69AD" w:rsidRPr="005F69AD">
        <w:rPr>
          <w:rFonts w:ascii="Arial" w:hAnsi="Arial" w:cs="Arial"/>
          <w:b/>
          <w:szCs w:val="22"/>
        </w:rPr>
        <w:t>:</w:t>
      </w:r>
    </w:p>
    <w:p w:rsidR="00B311FB" w:rsidRDefault="00B311FB" w:rsidP="00A7544E">
      <w:pPr>
        <w:keepLines/>
        <w:ind w:left="567"/>
        <w:jc w:val="both"/>
        <w:rPr>
          <w:rFonts w:ascii="Arial" w:hAnsi="Arial" w:cs="Arial"/>
          <w:u w:val="single"/>
        </w:rPr>
      </w:pPr>
    </w:p>
    <w:p w:rsidR="00B311FB" w:rsidRPr="00DC3CAB" w:rsidRDefault="000A2229" w:rsidP="00DC3CAB">
      <w:pPr>
        <w:pStyle w:val="ListParagraph"/>
        <w:tabs>
          <w:tab w:val="left" w:pos="6480"/>
        </w:tabs>
        <w:ind w:left="567"/>
        <w:jc w:val="both"/>
        <w:rPr>
          <w:rFonts w:ascii="Arial" w:hAnsi="Arial" w:cs="Arial"/>
        </w:rPr>
      </w:pPr>
      <w:r w:rsidRPr="00136617">
        <w:rPr>
          <w:rFonts w:ascii="Arial" w:hAnsi="Arial" w:cs="Arial"/>
          <w:u w:val="single"/>
        </w:rPr>
        <w:t xml:space="preserve">Condition </w:t>
      </w:r>
      <w:r w:rsidR="00BF3BD4">
        <w:rPr>
          <w:rFonts w:ascii="Arial" w:hAnsi="Arial" w:cs="Arial"/>
          <w:u w:val="single"/>
        </w:rPr>
        <w:t>6</w:t>
      </w:r>
      <w:r w:rsidR="00B311FB" w:rsidRPr="00B311FB">
        <w:rPr>
          <w:rFonts w:ascii="Arial" w:hAnsi="Arial" w:cs="Arial"/>
          <w:u w:val="single"/>
        </w:rPr>
        <w:t>:</w:t>
      </w:r>
      <w:r w:rsidR="00B311FB" w:rsidRPr="001B2C22">
        <w:rPr>
          <w:rFonts w:ascii="Arial" w:hAnsi="Arial" w:cs="Arial"/>
        </w:rPr>
        <w:t xml:space="preserve"> </w:t>
      </w:r>
      <w:r w:rsidR="00B311FB" w:rsidRPr="00B311FB">
        <w:rPr>
          <w:rFonts w:ascii="Arial" w:hAnsi="Arial" w:cs="Arial"/>
        </w:rPr>
        <w:t xml:space="preserve">Approval is given for the </w:t>
      </w:r>
      <w:r w:rsidR="000573D0">
        <w:rPr>
          <w:rFonts w:ascii="Arial" w:hAnsi="Arial" w:cs="Arial"/>
        </w:rPr>
        <w:t>car parking plan for building 315 (including details of the vehicle manoeuvring)</w:t>
      </w:r>
      <w:r w:rsidR="00B311FB" w:rsidRPr="00B311FB">
        <w:rPr>
          <w:rFonts w:ascii="Arial" w:hAnsi="Arial" w:cs="Arial"/>
        </w:rPr>
        <w:t xml:space="preserve">, </w:t>
      </w:r>
      <w:r w:rsidR="00AA5685">
        <w:rPr>
          <w:rFonts w:ascii="Arial" w:hAnsi="Arial" w:cs="Arial"/>
        </w:rPr>
        <w:t xml:space="preserve">in accordance with the details provided within </w:t>
      </w:r>
      <w:r w:rsidR="000573D0">
        <w:rPr>
          <w:rFonts w:ascii="Arial" w:hAnsi="Arial" w:cs="Arial"/>
        </w:rPr>
        <w:t>drawing numbered ‘D.0371_04 (dated 06/01/2017</w:t>
      </w:r>
      <w:r w:rsidR="00992511">
        <w:rPr>
          <w:rFonts w:ascii="Arial" w:hAnsi="Arial" w:cs="Arial"/>
        </w:rPr>
        <w:t>).</w:t>
      </w:r>
      <w:r w:rsidR="00992511" w:rsidRPr="00992511">
        <w:rPr>
          <w:rFonts w:ascii="Arial" w:hAnsi="Arial" w:cs="Arial"/>
        </w:rPr>
        <w:t xml:space="preserve"> </w:t>
      </w:r>
      <w:r w:rsidR="000573D0">
        <w:rPr>
          <w:rFonts w:ascii="Arial" w:hAnsi="Arial" w:cs="Arial"/>
        </w:rPr>
        <w:t xml:space="preserve">The </w:t>
      </w:r>
      <w:r w:rsidR="000573D0" w:rsidRPr="00D86226">
        <w:rPr>
          <w:rFonts w:ascii="Arial" w:hAnsi="Arial" w:cs="Arial"/>
        </w:rPr>
        <w:t xml:space="preserve">parking and manoeuvring facilities shall be laid out, surfaced, drained and completed in accordance with the approved plan before </w:t>
      </w:r>
      <w:r w:rsidR="000573D0">
        <w:rPr>
          <w:rFonts w:ascii="Arial" w:hAnsi="Arial" w:cs="Arial"/>
        </w:rPr>
        <w:t>the</w:t>
      </w:r>
      <w:r w:rsidR="00DC3CAB">
        <w:rPr>
          <w:rFonts w:ascii="Arial" w:hAnsi="Arial" w:cs="Arial"/>
        </w:rPr>
        <w:t xml:space="preserve"> building is brought into use and </w:t>
      </w:r>
      <w:r w:rsidR="000573D0" w:rsidRPr="00DC3CAB">
        <w:rPr>
          <w:rFonts w:ascii="Arial" w:hAnsi="Arial" w:cs="Arial"/>
        </w:rPr>
        <w:t>shall be retained for the parking of vehicles at all times</w:t>
      </w:r>
      <w:r w:rsidR="00B311FB" w:rsidRPr="00DC3CAB">
        <w:rPr>
          <w:rFonts w:ascii="Arial" w:hAnsi="Arial" w:cs="Arial"/>
        </w:rPr>
        <w:t>.</w:t>
      </w:r>
    </w:p>
    <w:p w:rsidR="00B311FB" w:rsidRDefault="00B311FB" w:rsidP="00A7544E">
      <w:pPr>
        <w:keepLines/>
        <w:ind w:left="567"/>
        <w:jc w:val="both"/>
        <w:rPr>
          <w:rFonts w:ascii="Arial" w:hAnsi="Arial" w:cs="Arial"/>
        </w:rPr>
      </w:pPr>
      <w:r w:rsidRPr="00B311FB">
        <w:rPr>
          <w:rFonts w:ascii="Arial" w:hAnsi="Arial" w:cs="Arial"/>
        </w:rPr>
        <w:t xml:space="preserve"> </w:t>
      </w:r>
    </w:p>
    <w:p w:rsidR="00DC3CAB" w:rsidRDefault="00DC3CAB" w:rsidP="00A7544E">
      <w:pPr>
        <w:keepLines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is a partial discharge of Condition 6 in so far as it only relates to Building 315. </w:t>
      </w:r>
      <w:r w:rsidR="00D943CE">
        <w:rPr>
          <w:rFonts w:ascii="Arial" w:hAnsi="Arial" w:cs="Arial"/>
        </w:rPr>
        <w:t xml:space="preserve">Prior to </w:t>
      </w:r>
      <w:r w:rsidR="007D6928">
        <w:rPr>
          <w:rFonts w:ascii="Arial" w:hAnsi="Arial" w:cs="Arial"/>
        </w:rPr>
        <w:t>Building 103 being brought into use</w:t>
      </w:r>
      <w:r w:rsidR="00D943CE">
        <w:rPr>
          <w:rFonts w:ascii="Arial" w:hAnsi="Arial" w:cs="Arial"/>
        </w:rPr>
        <w:t>, the parking an</w:t>
      </w:r>
      <w:r w:rsidR="007D6928">
        <w:rPr>
          <w:rFonts w:ascii="Arial" w:hAnsi="Arial" w:cs="Arial"/>
        </w:rPr>
        <w:t>d</w:t>
      </w:r>
      <w:r w:rsidR="00D943CE">
        <w:rPr>
          <w:rFonts w:ascii="Arial" w:hAnsi="Arial" w:cs="Arial"/>
        </w:rPr>
        <w:t xml:space="preserve"> manoeuvring details for </w:t>
      </w:r>
      <w:r>
        <w:rPr>
          <w:rFonts w:ascii="Arial" w:hAnsi="Arial" w:cs="Arial"/>
        </w:rPr>
        <w:t>Building 103</w:t>
      </w:r>
      <w:r w:rsidR="00D943CE">
        <w:rPr>
          <w:rFonts w:ascii="Arial" w:hAnsi="Arial" w:cs="Arial"/>
        </w:rPr>
        <w:t xml:space="preserve"> </w:t>
      </w:r>
      <w:r w:rsidR="007D6928">
        <w:rPr>
          <w:rFonts w:ascii="Arial" w:hAnsi="Arial" w:cs="Arial"/>
        </w:rPr>
        <w:t xml:space="preserve">(as set out in condition 6 </w:t>
      </w:r>
      <w:r w:rsidR="007D6928">
        <w:rPr>
          <w:rFonts w:ascii="Arial" w:hAnsi="Arial" w:cs="Arial"/>
        </w:rPr>
        <w:t>(</w:t>
      </w:r>
      <w:r w:rsidR="007D6928">
        <w:rPr>
          <w:rFonts w:ascii="Arial" w:hAnsi="Arial" w:cs="Arial"/>
        </w:rPr>
        <w:t>ii</w:t>
      </w:r>
      <w:r w:rsidR="007D6928">
        <w:rPr>
          <w:rFonts w:ascii="Arial" w:hAnsi="Arial" w:cs="Arial"/>
        </w:rPr>
        <w:t>)</w:t>
      </w:r>
      <w:bookmarkStart w:id="0" w:name="_GoBack"/>
      <w:bookmarkEnd w:id="0"/>
      <w:r w:rsidR="007D6928">
        <w:rPr>
          <w:rFonts w:ascii="Arial" w:hAnsi="Arial" w:cs="Arial"/>
        </w:rPr>
        <w:t xml:space="preserve">) </w:t>
      </w:r>
      <w:r w:rsidR="00D943CE">
        <w:rPr>
          <w:rFonts w:ascii="Arial" w:hAnsi="Arial" w:cs="Arial"/>
        </w:rPr>
        <w:t>will need to be submitted to and approved in writing by the LPA.</w:t>
      </w:r>
    </w:p>
    <w:p w:rsidR="000A2229" w:rsidRPr="000A2229" w:rsidRDefault="000A2229" w:rsidP="00A7544E">
      <w:pPr>
        <w:keepLines/>
        <w:ind w:left="567"/>
        <w:jc w:val="both"/>
        <w:rPr>
          <w:rFonts w:ascii="Arial" w:hAnsi="Arial" w:cs="Arial"/>
        </w:rPr>
      </w:pPr>
      <w:r w:rsidRPr="000A2229">
        <w:rPr>
          <w:rFonts w:ascii="Arial" w:hAnsi="Arial" w:cs="Arial"/>
        </w:rPr>
        <w:t xml:space="preserve">  </w:t>
      </w:r>
    </w:p>
    <w:p w:rsidR="00CE7C8B" w:rsidRDefault="00EF5F71" w:rsidP="000A2229">
      <w:pPr>
        <w:jc w:val="both"/>
        <w:rPr>
          <w:rFonts w:ascii="Arial" w:hAnsi="Arial" w:cs="Arial"/>
        </w:rPr>
      </w:pPr>
      <w:r w:rsidRPr="000A2229">
        <w:rPr>
          <w:rFonts w:ascii="Arial" w:hAnsi="Arial" w:cs="Arial"/>
        </w:rPr>
        <w:t>Case Officer: Matthew Coyne</w:t>
      </w:r>
      <w:r w:rsidR="0019459F" w:rsidRPr="000A2229">
        <w:rPr>
          <w:rFonts w:ascii="Arial" w:hAnsi="Arial" w:cs="Arial"/>
        </w:rPr>
        <w:tab/>
      </w:r>
      <w:r w:rsidR="0019459F" w:rsidRPr="000A2229">
        <w:rPr>
          <w:rFonts w:ascii="Arial" w:hAnsi="Arial" w:cs="Arial"/>
        </w:rPr>
        <w:tab/>
      </w:r>
      <w:r w:rsidR="000A2229" w:rsidRPr="000A2229">
        <w:rPr>
          <w:rFonts w:ascii="Arial" w:hAnsi="Arial" w:cs="Arial"/>
        </w:rPr>
        <w:tab/>
      </w:r>
      <w:r w:rsidR="000A2229" w:rsidRPr="000A2229">
        <w:rPr>
          <w:rFonts w:ascii="Arial" w:hAnsi="Arial" w:cs="Arial"/>
        </w:rPr>
        <w:tab/>
      </w:r>
      <w:r w:rsidR="0019459F" w:rsidRPr="000A2229">
        <w:rPr>
          <w:rFonts w:ascii="Arial" w:hAnsi="Arial" w:cs="Arial"/>
        </w:rPr>
        <w:t xml:space="preserve">DATED: </w:t>
      </w:r>
      <w:r w:rsidR="00FA7E18">
        <w:rPr>
          <w:rFonts w:ascii="Arial" w:hAnsi="Arial" w:cs="Arial"/>
        </w:rPr>
        <w:t>03</w:t>
      </w:r>
      <w:r w:rsidR="004419B7">
        <w:rPr>
          <w:rFonts w:ascii="Arial" w:hAnsi="Arial" w:cs="Arial"/>
        </w:rPr>
        <w:t xml:space="preserve"> February 2017</w:t>
      </w:r>
    </w:p>
    <w:sectPr w:rsidR="00CE7C8B" w:rsidSect="007A3BF0">
      <w:headerReference w:type="default" r:id="rId8"/>
      <w:headerReference w:type="first" r:id="rId9"/>
      <w:pgSz w:w="11906" w:h="16838"/>
      <w:pgMar w:top="1079" w:right="1700" w:bottom="125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E65" w:rsidRDefault="00384E65" w:rsidP="00213EE1">
      <w:r>
        <w:separator/>
      </w:r>
    </w:p>
  </w:endnote>
  <w:endnote w:type="continuationSeparator" w:id="0">
    <w:p w:rsidR="00384E65" w:rsidRDefault="00384E65" w:rsidP="0021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E65" w:rsidRDefault="00384E65" w:rsidP="00213EE1">
      <w:r>
        <w:separator/>
      </w:r>
    </w:p>
  </w:footnote>
  <w:footnote w:type="continuationSeparator" w:id="0">
    <w:p w:rsidR="00384E65" w:rsidRDefault="00384E65" w:rsidP="00213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EE1" w:rsidRDefault="00213EE1" w:rsidP="005D5FAA">
    <w:pPr>
      <w:pStyle w:val="Header"/>
      <w:ind w:left="-28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971"/>
      <w:gridCol w:w="2814"/>
    </w:tblGrid>
    <w:tr w:rsidR="008A6B7C" w:rsidRPr="008057FB" w:rsidTr="004A1E35">
      <w:trPr>
        <w:trHeight w:val="567"/>
      </w:trPr>
      <w:tc>
        <w:tcPr>
          <w:tcW w:w="6190" w:type="dxa"/>
          <w:gridSpan w:val="3"/>
        </w:tcPr>
        <w:p w:rsidR="001F7A39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Building</w:t>
          </w:r>
          <w:r w:rsidR="00D702BE">
            <w:rPr>
              <w:rFonts w:ascii="Arial" w:hAnsi="Arial" w:cs="Arial"/>
            </w:rPr>
            <w:t>s 103 and</w:t>
          </w:r>
          <w:r>
            <w:rPr>
              <w:rFonts w:ascii="Arial" w:hAnsi="Arial" w:cs="Arial"/>
            </w:rPr>
            <w:t xml:space="preserve"> 315, </w:t>
          </w:r>
          <w:proofErr w:type="spellStart"/>
          <w:r>
            <w:rPr>
              <w:rFonts w:ascii="Arial" w:hAnsi="Arial" w:cs="Arial"/>
            </w:rPr>
            <w:t>Heyford</w:t>
          </w:r>
          <w:proofErr w:type="spellEnd"/>
          <w:r>
            <w:rPr>
              <w:rFonts w:ascii="Arial" w:hAnsi="Arial" w:cs="Arial"/>
            </w:rPr>
            <w:t xml:space="preserve"> Park</w:t>
          </w:r>
        </w:p>
        <w:p w:rsidR="001F7A39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Camp Road, Upper </w:t>
          </w:r>
          <w:proofErr w:type="spellStart"/>
          <w:r>
            <w:rPr>
              <w:rFonts w:ascii="Arial" w:hAnsi="Arial" w:cs="Arial"/>
            </w:rPr>
            <w:t>Heyford</w:t>
          </w:r>
          <w:proofErr w:type="spellEnd"/>
        </w:p>
        <w:p w:rsidR="001F7A39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Bicester</w:t>
          </w:r>
        </w:p>
        <w:p w:rsidR="001F7A39" w:rsidRPr="00A152B4" w:rsidRDefault="001F7A39" w:rsidP="008057F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OX25 5HA</w:t>
          </w:r>
        </w:p>
      </w:tc>
      <w:tc>
        <w:tcPr>
          <w:tcW w:w="2814" w:type="dxa"/>
        </w:tcPr>
        <w:p w:rsidR="008A6B7C" w:rsidRPr="008057FB" w:rsidRDefault="00A152B4" w:rsidP="00D702BE">
          <w:pPr>
            <w:spacing w:after="0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17/000</w:t>
          </w:r>
          <w:r w:rsidR="001F7A39">
            <w:rPr>
              <w:rFonts w:ascii="Arial" w:hAnsi="Arial" w:cs="Arial"/>
              <w:b/>
            </w:rPr>
            <w:t>0</w:t>
          </w:r>
          <w:r w:rsidR="00D702BE">
            <w:rPr>
              <w:rFonts w:ascii="Arial" w:hAnsi="Arial" w:cs="Arial"/>
              <w:b/>
            </w:rPr>
            <w:t>8</w:t>
          </w:r>
          <w:r>
            <w:rPr>
              <w:rFonts w:ascii="Arial" w:hAnsi="Arial" w:cs="Arial"/>
              <w:b/>
            </w:rPr>
            <w:t>/DISC</w:t>
          </w:r>
        </w:p>
      </w:tc>
    </w:tr>
    <w:tr w:rsidR="00346878" w:rsidRPr="008057FB" w:rsidTr="008057FB">
      <w:trPr>
        <w:trHeight w:val="381"/>
      </w:trPr>
      <w:tc>
        <w:tcPr>
          <w:tcW w:w="1809" w:type="dxa"/>
        </w:tcPr>
        <w:p w:rsidR="00346878" w:rsidRPr="008057FB" w:rsidRDefault="00346878" w:rsidP="00346878">
          <w:pPr>
            <w:tabs>
              <w:tab w:val="left" w:pos="6480"/>
            </w:tabs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Case Officer: </w:t>
          </w:r>
        </w:p>
      </w:tc>
      <w:tc>
        <w:tcPr>
          <w:tcW w:w="2410" w:type="dxa"/>
        </w:tcPr>
        <w:p w:rsidR="00346878" w:rsidRPr="008057FB" w:rsidRDefault="00346878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</w:rPr>
            <w:t>Matthew Coyne</w:t>
          </w:r>
        </w:p>
      </w:tc>
      <w:tc>
        <w:tcPr>
          <w:tcW w:w="4785" w:type="dxa"/>
          <w:gridSpan w:val="2"/>
        </w:tcPr>
        <w:p w:rsidR="00346878" w:rsidRPr="008057FB" w:rsidRDefault="00346878" w:rsidP="0001345F">
          <w:pPr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Recommendation: </w:t>
          </w:r>
          <w:r w:rsidR="0001345F" w:rsidRPr="008057FB">
            <w:rPr>
              <w:rFonts w:ascii="Arial" w:hAnsi="Arial" w:cs="Arial"/>
            </w:rPr>
            <w:t>Approve</w:t>
          </w:r>
        </w:p>
      </w:tc>
    </w:tr>
    <w:tr w:rsidR="008A6B7C" w:rsidRPr="008057FB" w:rsidTr="008057FB">
      <w:trPr>
        <w:trHeight w:val="376"/>
      </w:trPr>
      <w:tc>
        <w:tcPr>
          <w:tcW w:w="1809" w:type="dxa"/>
        </w:tcPr>
        <w:p w:rsidR="008A6B7C" w:rsidRPr="008057FB" w:rsidRDefault="008A6B7C" w:rsidP="00F4438B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 xml:space="preserve">Applicant: </w:t>
          </w:r>
        </w:p>
      </w:tc>
      <w:tc>
        <w:tcPr>
          <w:tcW w:w="7195" w:type="dxa"/>
          <w:gridSpan w:val="3"/>
        </w:tcPr>
        <w:p w:rsidR="008A6B7C" w:rsidRPr="008057FB" w:rsidRDefault="001F7A39" w:rsidP="00D6785B">
          <w:pPr>
            <w:tabs>
              <w:tab w:val="left" w:pos="2190"/>
            </w:tabs>
            <w:spacing w:after="0"/>
            <w:rPr>
              <w:rFonts w:ascii="Arial" w:hAnsi="Arial" w:cs="Arial"/>
            </w:rPr>
          </w:pPr>
          <w:proofErr w:type="spellStart"/>
          <w:r>
            <w:rPr>
              <w:rFonts w:ascii="Arial" w:hAnsi="Arial" w:cs="Arial"/>
            </w:rPr>
            <w:t>Heyford</w:t>
          </w:r>
          <w:proofErr w:type="spellEnd"/>
          <w:r>
            <w:rPr>
              <w:rFonts w:ascii="Arial" w:hAnsi="Arial" w:cs="Arial"/>
            </w:rPr>
            <w:t xml:space="preserve"> Park Estates Limited</w:t>
          </w:r>
        </w:p>
      </w:tc>
    </w:tr>
    <w:tr w:rsidR="001C244E" w:rsidRPr="008057FB" w:rsidTr="00E1043C">
      <w:trPr>
        <w:trHeight w:val="134"/>
      </w:trPr>
      <w:tc>
        <w:tcPr>
          <w:tcW w:w="1809" w:type="dxa"/>
        </w:tcPr>
        <w:p w:rsidR="001C244E" w:rsidRPr="008057FB" w:rsidRDefault="001C244E" w:rsidP="00F4438B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 w:rsidRPr="008057FB">
            <w:rPr>
              <w:rFonts w:ascii="Arial" w:hAnsi="Arial" w:cs="Arial"/>
              <w:b/>
            </w:rPr>
            <w:t>Proposal:</w:t>
          </w:r>
          <w:r w:rsidRPr="008057FB">
            <w:rPr>
              <w:rFonts w:ascii="Arial" w:hAnsi="Arial" w:cs="Arial"/>
            </w:rPr>
            <w:t xml:space="preserve"> </w:t>
          </w:r>
        </w:p>
      </w:tc>
      <w:tc>
        <w:tcPr>
          <w:tcW w:w="7195" w:type="dxa"/>
          <w:gridSpan w:val="3"/>
        </w:tcPr>
        <w:p w:rsidR="001C244E" w:rsidRPr="008057FB" w:rsidRDefault="00E1043C" w:rsidP="00D702BE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Discharge of Condition </w:t>
          </w:r>
          <w:r w:rsidR="00D702BE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(</w:t>
          </w:r>
          <w:r w:rsidR="00265E1A">
            <w:rPr>
              <w:rFonts w:ascii="Arial" w:hAnsi="Arial" w:cs="Arial"/>
            </w:rPr>
            <w:t>Parking</w:t>
          </w:r>
          <w:r w:rsidR="00D702BE">
            <w:rPr>
              <w:rFonts w:ascii="Arial" w:hAnsi="Arial" w:cs="Arial"/>
            </w:rPr>
            <w:t xml:space="preserve"> layout</w:t>
          </w:r>
          <w:r>
            <w:rPr>
              <w:rFonts w:ascii="Arial" w:hAnsi="Arial" w:cs="Arial"/>
            </w:rPr>
            <w:t>)</w:t>
          </w:r>
          <w:r w:rsidR="008057FB" w:rsidRPr="008057FB">
            <w:rPr>
              <w:rFonts w:ascii="Arial" w:hAnsi="Arial" w:cs="Arial"/>
            </w:rPr>
            <w:t xml:space="preserve"> of 16/</w:t>
          </w:r>
          <w:r w:rsidR="00A152B4">
            <w:rPr>
              <w:rFonts w:ascii="Arial" w:hAnsi="Arial" w:cs="Arial"/>
            </w:rPr>
            <w:t>0</w:t>
          </w:r>
          <w:r w:rsidR="00642228">
            <w:rPr>
              <w:rFonts w:ascii="Arial" w:hAnsi="Arial" w:cs="Arial"/>
            </w:rPr>
            <w:t>1545</w:t>
          </w:r>
          <w:r w:rsidR="00A152B4">
            <w:rPr>
              <w:rFonts w:ascii="Arial" w:hAnsi="Arial" w:cs="Arial"/>
            </w:rPr>
            <w:t>/</w:t>
          </w:r>
          <w:r w:rsidR="008057FB" w:rsidRPr="008057FB">
            <w:rPr>
              <w:rFonts w:ascii="Arial" w:hAnsi="Arial" w:cs="Arial"/>
            </w:rPr>
            <w:t>F</w:t>
          </w:r>
        </w:p>
      </w:tc>
    </w:tr>
    <w:tr w:rsidR="008A6B7C" w:rsidRPr="008057FB" w:rsidTr="008057FB">
      <w:trPr>
        <w:trHeight w:val="339"/>
      </w:trPr>
      <w:tc>
        <w:tcPr>
          <w:tcW w:w="1809" w:type="dxa"/>
          <w:tcBorders>
            <w:bottom w:val="single" w:sz="4" w:space="0" w:color="auto"/>
          </w:tcBorders>
          <w:vAlign w:val="center"/>
        </w:tcPr>
        <w:p w:rsidR="008A6B7C" w:rsidRPr="008057FB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  <w:b/>
            </w:rPr>
          </w:pPr>
          <w:r w:rsidRPr="008057FB">
            <w:rPr>
              <w:rFonts w:ascii="Arial" w:hAnsi="Arial" w:cs="Arial"/>
              <w:b/>
            </w:rPr>
            <w:t>Report type:</w:t>
          </w:r>
        </w:p>
      </w:tc>
      <w:tc>
        <w:tcPr>
          <w:tcW w:w="7195" w:type="dxa"/>
          <w:gridSpan w:val="3"/>
          <w:tcBorders>
            <w:bottom w:val="single" w:sz="4" w:space="0" w:color="auto"/>
          </w:tcBorders>
          <w:vAlign w:val="center"/>
        </w:tcPr>
        <w:p w:rsidR="008A6B7C" w:rsidRPr="008057FB" w:rsidRDefault="008A6B7C" w:rsidP="00B67EFD">
          <w:pPr>
            <w:tabs>
              <w:tab w:val="left" w:pos="6480"/>
            </w:tabs>
            <w:spacing w:after="0"/>
            <w:rPr>
              <w:rFonts w:ascii="Arial" w:hAnsi="Arial" w:cs="Arial"/>
            </w:rPr>
          </w:pPr>
          <w:r w:rsidRPr="008057FB">
            <w:rPr>
              <w:rFonts w:ascii="Arial" w:hAnsi="Arial" w:cs="Arial"/>
            </w:rPr>
            <w:t>Delegated</w:t>
          </w:r>
        </w:p>
      </w:tc>
    </w:tr>
  </w:tbl>
  <w:p w:rsidR="007A3BF0" w:rsidRPr="008057FB" w:rsidRDefault="007A3BF0" w:rsidP="00462D5F">
    <w:pPr>
      <w:tabs>
        <w:tab w:val="left" w:pos="6480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6F2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1D79EF"/>
    <w:multiLevelType w:val="hybridMultilevel"/>
    <w:tmpl w:val="42CE2994"/>
    <w:lvl w:ilvl="0" w:tplc="73DEA688">
      <w:start w:val="1"/>
      <w:numFmt w:val="decimal"/>
      <w:lvlText w:val="3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8509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>
    <w:nsid w:val="23081011"/>
    <w:multiLevelType w:val="multilevel"/>
    <w:tmpl w:val="BD501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">
    <w:nsid w:val="243536E1"/>
    <w:multiLevelType w:val="multilevel"/>
    <w:tmpl w:val="B380AB2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  <w:b w:val="0"/>
        <w:u w:val="single"/>
      </w:rPr>
    </w:lvl>
  </w:abstractNum>
  <w:abstractNum w:abstractNumId="5">
    <w:nsid w:val="2F145507"/>
    <w:multiLevelType w:val="multilevel"/>
    <w:tmpl w:val="7964819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6965D0F"/>
    <w:multiLevelType w:val="multilevel"/>
    <w:tmpl w:val="5AB434B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cs="Times New Roman" w:hint="default"/>
      </w:rPr>
    </w:lvl>
  </w:abstractNum>
  <w:abstractNum w:abstractNumId="7">
    <w:nsid w:val="50BB572A"/>
    <w:multiLevelType w:val="hybridMultilevel"/>
    <w:tmpl w:val="7826B6CE"/>
    <w:lvl w:ilvl="0" w:tplc="FB28DB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A7C21E9"/>
    <w:multiLevelType w:val="multilevel"/>
    <w:tmpl w:val="5A2469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5AD7349B"/>
    <w:multiLevelType w:val="multilevel"/>
    <w:tmpl w:val="2EBA004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0">
    <w:nsid w:val="5E5A7041"/>
    <w:multiLevelType w:val="hybridMultilevel"/>
    <w:tmpl w:val="E188BC70"/>
    <w:lvl w:ilvl="0" w:tplc="A924496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67554E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E272CA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6FF1420E"/>
    <w:multiLevelType w:val="hybridMultilevel"/>
    <w:tmpl w:val="A94AFF26"/>
    <w:lvl w:ilvl="0" w:tplc="88F219DE">
      <w:start w:val="1"/>
      <w:numFmt w:val="decimal"/>
      <w:lvlText w:val="2.%1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A6C20"/>
    <w:multiLevelType w:val="multilevel"/>
    <w:tmpl w:val="416ACB0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38866E8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751322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11"/>
  </w:num>
  <w:num w:numId="13">
    <w:abstractNumId w:val="0"/>
  </w:num>
  <w:num w:numId="14">
    <w:abstractNumId w:val="13"/>
  </w:num>
  <w:num w:numId="15">
    <w:abstractNumId w:val="1"/>
  </w:num>
  <w:num w:numId="16">
    <w:abstractNumId w:val="7"/>
  </w:num>
  <w:num w:numId="17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6F"/>
    <w:rsid w:val="00001C4A"/>
    <w:rsid w:val="000052C9"/>
    <w:rsid w:val="0001345F"/>
    <w:rsid w:val="00020DB4"/>
    <w:rsid w:val="00025638"/>
    <w:rsid w:val="00030184"/>
    <w:rsid w:val="00032411"/>
    <w:rsid w:val="00032735"/>
    <w:rsid w:val="00033FAF"/>
    <w:rsid w:val="000356CA"/>
    <w:rsid w:val="00044F69"/>
    <w:rsid w:val="00055B98"/>
    <w:rsid w:val="0005605C"/>
    <w:rsid w:val="000573D0"/>
    <w:rsid w:val="00066471"/>
    <w:rsid w:val="00073B2F"/>
    <w:rsid w:val="0007584A"/>
    <w:rsid w:val="00082A60"/>
    <w:rsid w:val="00084780"/>
    <w:rsid w:val="00093A2E"/>
    <w:rsid w:val="00097D4A"/>
    <w:rsid w:val="000A169E"/>
    <w:rsid w:val="000A2229"/>
    <w:rsid w:val="000B5CDD"/>
    <w:rsid w:val="000B7A1C"/>
    <w:rsid w:val="000B7DEC"/>
    <w:rsid w:val="000C23E4"/>
    <w:rsid w:val="000C6638"/>
    <w:rsid w:val="000D01B8"/>
    <w:rsid w:val="000D61D1"/>
    <w:rsid w:val="000E2076"/>
    <w:rsid w:val="001024F4"/>
    <w:rsid w:val="0011000E"/>
    <w:rsid w:val="0011096D"/>
    <w:rsid w:val="00111F86"/>
    <w:rsid w:val="001253D0"/>
    <w:rsid w:val="0013073C"/>
    <w:rsid w:val="00134631"/>
    <w:rsid w:val="0013551E"/>
    <w:rsid w:val="00136617"/>
    <w:rsid w:val="001463A1"/>
    <w:rsid w:val="00147948"/>
    <w:rsid w:val="00150D66"/>
    <w:rsid w:val="00152728"/>
    <w:rsid w:val="00152AC0"/>
    <w:rsid w:val="0016656E"/>
    <w:rsid w:val="001675B9"/>
    <w:rsid w:val="00167904"/>
    <w:rsid w:val="00175CAE"/>
    <w:rsid w:val="0018308A"/>
    <w:rsid w:val="0018664C"/>
    <w:rsid w:val="0019459F"/>
    <w:rsid w:val="00196591"/>
    <w:rsid w:val="001A6174"/>
    <w:rsid w:val="001A67DC"/>
    <w:rsid w:val="001B2C22"/>
    <w:rsid w:val="001B3666"/>
    <w:rsid w:val="001C244E"/>
    <w:rsid w:val="001C274C"/>
    <w:rsid w:val="001C7B03"/>
    <w:rsid w:val="001D44D6"/>
    <w:rsid w:val="001D4CF0"/>
    <w:rsid w:val="001F658B"/>
    <w:rsid w:val="001F7A39"/>
    <w:rsid w:val="002018FE"/>
    <w:rsid w:val="00203755"/>
    <w:rsid w:val="00213ACA"/>
    <w:rsid w:val="00213EE1"/>
    <w:rsid w:val="00222A79"/>
    <w:rsid w:val="002325EF"/>
    <w:rsid w:val="00233023"/>
    <w:rsid w:val="00243141"/>
    <w:rsid w:val="00243FFC"/>
    <w:rsid w:val="0024539F"/>
    <w:rsid w:val="002459B7"/>
    <w:rsid w:val="0025322B"/>
    <w:rsid w:val="0026422C"/>
    <w:rsid w:val="00265354"/>
    <w:rsid w:val="00265E1A"/>
    <w:rsid w:val="00277BBF"/>
    <w:rsid w:val="002867C2"/>
    <w:rsid w:val="00291B98"/>
    <w:rsid w:val="002A378A"/>
    <w:rsid w:val="002B2596"/>
    <w:rsid w:val="002D5911"/>
    <w:rsid w:val="002E35F7"/>
    <w:rsid w:val="002F0B83"/>
    <w:rsid w:val="002F2C57"/>
    <w:rsid w:val="00301E60"/>
    <w:rsid w:val="00310ABF"/>
    <w:rsid w:val="0032279D"/>
    <w:rsid w:val="0032789C"/>
    <w:rsid w:val="0034682D"/>
    <w:rsid w:val="00346878"/>
    <w:rsid w:val="0035130D"/>
    <w:rsid w:val="0037252B"/>
    <w:rsid w:val="003744D6"/>
    <w:rsid w:val="003806D3"/>
    <w:rsid w:val="00381F5A"/>
    <w:rsid w:val="00384125"/>
    <w:rsid w:val="00384B23"/>
    <w:rsid w:val="00384E65"/>
    <w:rsid w:val="003858CB"/>
    <w:rsid w:val="00385F21"/>
    <w:rsid w:val="00387013"/>
    <w:rsid w:val="00394D26"/>
    <w:rsid w:val="003A0119"/>
    <w:rsid w:val="003B1A64"/>
    <w:rsid w:val="003C66A0"/>
    <w:rsid w:val="003E42E1"/>
    <w:rsid w:val="003E49FB"/>
    <w:rsid w:val="003E5C0C"/>
    <w:rsid w:val="003F01B9"/>
    <w:rsid w:val="003F0A89"/>
    <w:rsid w:val="003F1F09"/>
    <w:rsid w:val="003F21AD"/>
    <w:rsid w:val="004052A3"/>
    <w:rsid w:val="004071ED"/>
    <w:rsid w:val="00413162"/>
    <w:rsid w:val="00414486"/>
    <w:rsid w:val="00427355"/>
    <w:rsid w:val="004419B7"/>
    <w:rsid w:val="004451EB"/>
    <w:rsid w:val="00446635"/>
    <w:rsid w:val="00454F50"/>
    <w:rsid w:val="0045780D"/>
    <w:rsid w:val="00462D5F"/>
    <w:rsid w:val="00467D08"/>
    <w:rsid w:val="00472D4D"/>
    <w:rsid w:val="00482FFD"/>
    <w:rsid w:val="004853D7"/>
    <w:rsid w:val="00493932"/>
    <w:rsid w:val="004A1791"/>
    <w:rsid w:val="004A1E35"/>
    <w:rsid w:val="004B179F"/>
    <w:rsid w:val="004C3324"/>
    <w:rsid w:val="004D51E6"/>
    <w:rsid w:val="004D72E1"/>
    <w:rsid w:val="004E240E"/>
    <w:rsid w:val="004E2BD7"/>
    <w:rsid w:val="004F056A"/>
    <w:rsid w:val="004F7F94"/>
    <w:rsid w:val="00505A95"/>
    <w:rsid w:val="00513F2F"/>
    <w:rsid w:val="00514714"/>
    <w:rsid w:val="00527AF5"/>
    <w:rsid w:val="00531430"/>
    <w:rsid w:val="00531FEA"/>
    <w:rsid w:val="005418EA"/>
    <w:rsid w:val="00541ED2"/>
    <w:rsid w:val="0056684C"/>
    <w:rsid w:val="005726E3"/>
    <w:rsid w:val="00586288"/>
    <w:rsid w:val="005B79C5"/>
    <w:rsid w:val="005D5FAA"/>
    <w:rsid w:val="005E2902"/>
    <w:rsid w:val="005E3F6B"/>
    <w:rsid w:val="005F14DB"/>
    <w:rsid w:val="005F69AD"/>
    <w:rsid w:val="005F7FE9"/>
    <w:rsid w:val="00602D56"/>
    <w:rsid w:val="006034C3"/>
    <w:rsid w:val="00604F13"/>
    <w:rsid w:val="0060704F"/>
    <w:rsid w:val="00611273"/>
    <w:rsid w:val="00613865"/>
    <w:rsid w:val="006219A9"/>
    <w:rsid w:val="006245C1"/>
    <w:rsid w:val="006418EE"/>
    <w:rsid w:val="00642228"/>
    <w:rsid w:val="00644822"/>
    <w:rsid w:val="00657A35"/>
    <w:rsid w:val="00661314"/>
    <w:rsid w:val="00665479"/>
    <w:rsid w:val="00687F20"/>
    <w:rsid w:val="00691748"/>
    <w:rsid w:val="006934A4"/>
    <w:rsid w:val="006A25DF"/>
    <w:rsid w:val="006A294B"/>
    <w:rsid w:val="006A3A26"/>
    <w:rsid w:val="006A48C5"/>
    <w:rsid w:val="006A6B28"/>
    <w:rsid w:val="006D633C"/>
    <w:rsid w:val="006E45A5"/>
    <w:rsid w:val="006E516B"/>
    <w:rsid w:val="006F385C"/>
    <w:rsid w:val="0070431F"/>
    <w:rsid w:val="00707C44"/>
    <w:rsid w:val="007141CD"/>
    <w:rsid w:val="00714B66"/>
    <w:rsid w:val="00717B1C"/>
    <w:rsid w:val="0072345B"/>
    <w:rsid w:val="00727A61"/>
    <w:rsid w:val="00733D56"/>
    <w:rsid w:val="007360ED"/>
    <w:rsid w:val="00740F91"/>
    <w:rsid w:val="007534A2"/>
    <w:rsid w:val="0077204A"/>
    <w:rsid w:val="0078118A"/>
    <w:rsid w:val="0078747C"/>
    <w:rsid w:val="00792257"/>
    <w:rsid w:val="007A1BF0"/>
    <w:rsid w:val="007A3BF0"/>
    <w:rsid w:val="007B384B"/>
    <w:rsid w:val="007D1510"/>
    <w:rsid w:val="007D3AF4"/>
    <w:rsid w:val="007D6928"/>
    <w:rsid w:val="007E0634"/>
    <w:rsid w:val="007E4080"/>
    <w:rsid w:val="007E52A2"/>
    <w:rsid w:val="007E64C1"/>
    <w:rsid w:val="007F36F0"/>
    <w:rsid w:val="007F7305"/>
    <w:rsid w:val="00801E4B"/>
    <w:rsid w:val="00802129"/>
    <w:rsid w:val="00804583"/>
    <w:rsid w:val="008057FB"/>
    <w:rsid w:val="00805C40"/>
    <w:rsid w:val="008172E8"/>
    <w:rsid w:val="00822127"/>
    <w:rsid w:val="008232B1"/>
    <w:rsid w:val="00824EDB"/>
    <w:rsid w:val="008314A6"/>
    <w:rsid w:val="00840B59"/>
    <w:rsid w:val="00841F58"/>
    <w:rsid w:val="00844477"/>
    <w:rsid w:val="00845A0F"/>
    <w:rsid w:val="00847257"/>
    <w:rsid w:val="008474B6"/>
    <w:rsid w:val="008504D2"/>
    <w:rsid w:val="008520ED"/>
    <w:rsid w:val="00854E99"/>
    <w:rsid w:val="00856C5C"/>
    <w:rsid w:val="008631D2"/>
    <w:rsid w:val="00865452"/>
    <w:rsid w:val="008767F3"/>
    <w:rsid w:val="0087696B"/>
    <w:rsid w:val="0088092D"/>
    <w:rsid w:val="0088116F"/>
    <w:rsid w:val="00882F4B"/>
    <w:rsid w:val="008841C0"/>
    <w:rsid w:val="00886567"/>
    <w:rsid w:val="0089310B"/>
    <w:rsid w:val="008A2CB0"/>
    <w:rsid w:val="008A6B7C"/>
    <w:rsid w:val="008B1D03"/>
    <w:rsid w:val="008B1EC2"/>
    <w:rsid w:val="008B4BC9"/>
    <w:rsid w:val="008B68B4"/>
    <w:rsid w:val="008B79DD"/>
    <w:rsid w:val="008D7438"/>
    <w:rsid w:val="008E031B"/>
    <w:rsid w:val="008E56BB"/>
    <w:rsid w:val="00902BB3"/>
    <w:rsid w:val="0091063B"/>
    <w:rsid w:val="00911451"/>
    <w:rsid w:val="00912CC0"/>
    <w:rsid w:val="009156BF"/>
    <w:rsid w:val="0091615F"/>
    <w:rsid w:val="00916DB8"/>
    <w:rsid w:val="009240BE"/>
    <w:rsid w:val="009315CF"/>
    <w:rsid w:val="0094060E"/>
    <w:rsid w:val="00941226"/>
    <w:rsid w:val="0094249F"/>
    <w:rsid w:val="00945D9D"/>
    <w:rsid w:val="00946543"/>
    <w:rsid w:val="00947495"/>
    <w:rsid w:val="0095585F"/>
    <w:rsid w:val="00971164"/>
    <w:rsid w:val="00984781"/>
    <w:rsid w:val="00992101"/>
    <w:rsid w:val="00992511"/>
    <w:rsid w:val="00996461"/>
    <w:rsid w:val="009A0EAA"/>
    <w:rsid w:val="009A5D55"/>
    <w:rsid w:val="009B05DD"/>
    <w:rsid w:val="009B58ED"/>
    <w:rsid w:val="009C4400"/>
    <w:rsid w:val="009E1109"/>
    <w:rsid w:val="009E4D0B"/>
    <w:rsid w:val="009E5DBE"/>
    <w:rsid w:val="009E774D"/>
    <w:rsid w:val="009E7FA9"/>
    <w:rsid w:val="009F2A36"/>
    <w:rsid w:val="009F4A48"/>
    <w:rsid w:val="009F5CAF"/>
    <w:rsid w:val="00A04DD9"/>
    <w:rsid w:val="00A05300"/>
    <w:rsid w:val="00A152B4"/>
    <w:rsid w:val="00A41752"/>
    <w:rsid w:val="00A4183C"/>
    <w:rsid w:val="00A43B25"/>
    <w:rsid w:val="00A43FB5"/>
    <w:rsid w:val="00A47884"/>
    <w:rsid w:val="00A51AAE"/>
    <w:rsid w:val="00A51D19"/>
    <w:rsid w:val="00A5293B"/>
    <w:rsid w:val="00A63B22"/>
    <w:rsid w:val="00A64752"/>
    <w:rsid w:val="00A74B28"/>
    <w:rsid w:val="00A7544E"/>
    <w:rsid w:val="00A76D1F"/>
    <w:rsid w:val="00A9003C"/>
    <w:rsid w:val="00A913FC"/>
    <w:rsid w:val="00A94792"/>
    <w:rsid w:val="00AA1A6D"/>
    <w:rsid w:val="00AA5685"/>
    <w:rsid w:val="00AB0984"/>
    <w:rsid w:val="00AB1820"/>
    <w:rsid w:val="00AB2C56"/>
    <w:rsid w:val="00AD206D"/>
    <w:rsid w:val="00AD615D"/>
    <w:rsid w:val="00AE05E7"/>
    <w:rsid w:val="00AE207C"/>
    <w:rsid w:val="00AF2251"/>
    <w:rsid w:val="00B0322B"/>
    <w:rsid w:val="00B06F36"/>
    <w:rsid w:val="00B10309"/>
    <w:rsid w:val="00B22919"/>
    <w:rsid w:val="00B23A05"/>
    <w:rsid w:val="00B311FB"/>
    <w:rsid w:val="00B327A4"/>
    <w:rsid w:val="00B37337"/>
    <w:rsid w:val="00B43AC4"/>
    <w:rsid w:val="00B4437C"/>
    <w:rsid w:val="00B501B1"/>
    <w:rsid w:val="00B539D5"/>
    <w:rsid w:val="00B5552A"/>
    <w:rsid w:val="00B555CC"/>
    <w:rsid w:val="00B61005"/>
    <w:rsid w:val="00B666E8"/>
    <w:rsid w:val="00B67EFD"/>
    <w:rsid w:val="00BA4C0C"/>
    <w:rsid w:val="00BB028D"/>
    <w:rsid w:val="00BB59BC"/>
    <w:rsid w:val="00BB5D30"/>
    <w:rsid w:val="00BC6BB9"/>
    <w:rsid w:val="00BC7E37"/>
    <w:rsid w:val="00BD0F67"/>
    <w:rsid w:val="00BD4C20"/>
    <w:rsid w:val="00BD58BD"/>
    <w:rsid w:val="00BD6C89"/>
    <w:rsid w:val="00BE065A"/>
    <w:rsid w:val="00BE6312"/>
    <w:rsid w:val="00BF270D"/>
    <w:rsid w:val="00BF3BD4"/>
    <w:rsid w:val="00BF5517"/>
    <w:rsid w:val="00BF6FE5"/>
    <w:rsid w:val="00C02A79"/>
    <w:rsid w:val="00C2425F"/>
    <w:rsid w:val="00C31A61"/>
    <w:rsid w:val="00C3289F"/>
    <w:rsid w:val="00C40478"/>
    <w:rsid w:val="00C41387"/>
    <w:rsid w:val="00C42178"/>
    <w:rsid w:val="00C43A8B"/>
    <w:rsid w:val="00C45C72"/>
    <w:rsid w:val="00C64BA8"/>
    <w:rsid w:val="00C7162C"/>
    <w:rsid w:val="00C745FB"/>
    <w:rsid w:val="00C774E3"/>
    <w:rsid w:val="00C90DB1"/>
    <w:rsid w:val="00C91378"/>
    <w:rsid w:val="00C927AF"/>
    <w:rsid w:val="00C94E8C"/>
    <w:rsid w:val="00C95AB2"/>
    <w:rsid w:val="00C976BC"/>
    <w:rsid w:val="00CA2027"/>
    <w:rsid w:val="00CA399E"/>
    <w:rsid w:val="00CB01DB"/>
    <w:rsid w:val="00CB6E04"/>
    <w:rsid w:val="00CC06DE"/>
    <w:rsid w:val="00CC62BA"/>
    <w:rsid w:val="00CC7465"/>
    <w:rsid w:val="00CD0754"/>
    <w:rsid w:val="00CE7C8B"/>
    <w:rsid w:val="00CF18FD"/>
    <w:rsid w:val="00CF70B6"/>
    <w:rsid w:val="00D01F6F"/>
    <w:rsid w:val="00D02824"/>
    <w:rsid w:val="00D14ADE"/>
    <w:rsid w:val="00D20B12"/>
    <w:rsid w:val="00D271DB"/>
    <w:rsid w:val="00D3040C"/>
    <w:rsid w:val="00D41A65"/>
    <w:rsid w:val="00D4712E"/>
    <w:rsid w:val="00D51EA0"/>
    <w:rsid w:val="00D56DAE"/>
    <w:rsid w:val="00D649CF"/>
    <w:rsid w:val="00D65BB5"/>
    <w:rsid w:val="00D6785B"/>
    <w:rsid w:val="00D702BE"/>
    <w:rsid w:val="00D762EE"/>
    <w:rsid w:val="00D943CE"/>
    <w:rsid w:val="00D96697"/>
    <w:rsid w:val="00D96E9D"/>
    <w:rsid w:val="00DA0A06"/>
    <w:rsid w:val="00DB1DAA"/>
    <w:rsid w:val="00DB7700"/>
    <w:rsid w:val="00DC3CAB"/>
    <w:rsid w:val="00DC5906"/>
    <w:rsid w:val="00DD0DA3"/>
    <w:rsid w:val="00DF74F7"/>
    <w:rsid w:val="00E1043C"/>
    <w:rsid w:val="00E109BB"/>
    <w:rsid w:val="00E2356A"/>
    <w:rsid w:val="00E23DD2"/>
    <w:rsid w:val="00E24462"/>
    <w:rsid w:val="00E33344"/>
    <w:rsid w:val="00E34DE8"/>
    <w:rsid w:val="00E40337"/>
    <w:rsid w:val="00E51C4D"/>
    <w:rsid w:val="00E56EB3"/>
    <w:rsid w:val="00E659EF"/>
    <w:rsid w:val="00E6796E"/>
    <w:rsid w:val="00E717B8"/>
    <w:rsid w:val="00E8399D"/>
    <w:rsid w:val="00E8522C"/>
    <w:rsid w:val="00E8654C"/>
    <w:rsid w:val="00E92B0A"/>
    <w:rsid w:val="00E937AD"/>
    <w:rsid w:val="00E944EA"/>
    <w:rsid w:val="00E97C9A"/>
    <w:rsid w:val="00EB6BB6"/>
    <w:rsid w:val="00EC1328"/>
    <w:rsid w:val="00EC64D9"/>
    <w:rsid w:val="00ED6DEF"/>
    <w:rsid w:val="00EE17D2"/>
    <w:rsid w:val="00EE5573"/>
    <w:rsid w:val="00EF2EBC"/>
    <w:rsid w:val="00EF3861"/>
    <w:rsid w:val="00EF41E7"/>
    <w:rsid w:val="00EF5F71"/>
    <w:rsid w:val="00EF7E28"/>
    <w:rsid w:val="00F045C0"/>
    <w:rsid w:val="00F10A2B"/>
    <w:rsid w:val="00F12730"/>
    <w:rsid w:val="00F21B1C"/>
    <w:rsid w:val="00F31E21"/>
    <w:rsid w:val="00F33AC2"/>
    <w:rsid w:val="00F4043F"/>
    <w:rsid w:val="00F4438B"/>
    <w:rsid w:val="00F510D9"/>
    <w:rsid w:val="00F52726"/>
    <w:rsid w:val="00F52E6F"/>
    <w:rsid w:val="00F623D8"/>
    <w:rsid w:val="00F63553"/>
    <w:rsid w:val="00F66625"/>
    <w:rsid w:val="00F7207C"/>
    <w:rsid w:val="00FA0970"/>
    <w:rsid w:val="00FA7E18"/>
    <w:rsid w:val="00FB174F"/>
    <w:rsid w:val="00FB5094"/>
    <w:rsid w:val="00FB5C8F"/>
    <w:rsid w:val="00FB75DE"/>
    <w:rsid w:val="00FE376C"/>
    <w:rsid w:val="00FE5151"/>
    <w:rsid w:val="00FE7C86"/>
    <w:rsid w:val="00FF109E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47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1B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A1BF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A1BF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A1BF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A1BF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A1BF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A1BF0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A1BF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A1BF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Pr>
      <w:rFonts w:ascii="Arial" w:hAnsi="Arial" w:cs="Arial"/>
      <w:sz w:val="22"/>
      <w:szCs w:val="22"/>
    </w:rPr>
  </w:style>
  <w:style w:type="paragraph" w:styleId="Header">
    <w:name w:val="header"/>
    <w:aliases w:val="Char"/>
    <w:basedOn w:val="Normal"/>
    <w:link w:val="HeaderChar"/>
    <w:uiPriority w:val="99"/>
    <w:rsid w:val="00F623D8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HeaderChar">
    <w:name w:val="Header Char"/>
    <w:aliases w:val="Char Char"/>
    <w:basedOn w:val="DefaultParagraphFont"/>
    <w:link w:val="Header"/>
    <w:uiPriority w:val="99"/>
    <w:locked/>
    <w:rsid w:val="00F623D8"/>
    <w:rPr>
      <w:rFonts w:ascii="Calibri" w:hAnsi="Calibri" w:cs="Times New Roman"/>
      <w:sz w:val="22"/>
      <w:lang w:val="en-GB" w:eastAsia="en-US"/>
    </w:rPr>
  </w:style>
  <w:style w:type="table" w:styleId="TableGrid">
    <w:name w:val="Table Grid"/>
    <w:basedOn w:val="TableNormal"/>
    <w:uiPriority w:val="59"/>
    <w:rsid w:val="0077204A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E4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paragraph" w:styleId="Footer">
    <w:name w:val="footer"/>
    <w:aliases w:val="Char1"/>
    <w:basedOn w:val="Normal"/>
    <w:link w:val="FooterChar"/>
    <w:uiPriority w:val="99"/>
    <w:unhideWhenUsed/>
    <w:rsid w:val="00657A35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locked/>
    <w:rsid w:val="00657A35"/>
    <w:rPr>
      <w:rFonts w:ascii="Calibri" w:hAnsi="Calibri" w:cs="Times New Roman"/>
      <w:sz w:val="22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1F658B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Times New Roman"/>
    </w:rPr>
  </w:style>
  <w:style w:type="paragraph" w:styleId="ListParagraph">
    <w:name w:val="List Paragraph"/>
    <w:basedOn w:val="Normal"/>
    <w:uiPriority w:val="34"/>
    <w:qFormat/>
    <w:rsid w:val="00BB028D"/>
    <w:pPr>
      <w:ind w:left="720"/>
    </w:pPr>
  </w:style>
  <w:style w:type="numbering" w:styleId="111111">
    <w:name w:val="Outline List 2"/>
    <w:basedOn w:val="NoList"/>
    <w:uiPriority w:val="99"/>
    <w:semiHidden/>
    <w:unhideWhenUsed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Godswell Park, Bloxham</vt:lpstr>
    </vt:vector>
  </TitlesOfParts>
  <Company>Cherwell District Council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Godswell Park, Bloxham</dc:title>
  <dc:creator>Rebecca Horley</dc:creator>
  <cp:lastModifiedBy>Matthew Coyne</cp:lastModifiedBy>
  <cp:revision>31</cp:revision>
  <cp:lastPrinted>2012-07-19T10:56:00Z</cp:lastPrinted>
  <dcterms:created xsi:type="dcterms:W3CDTF">2016-03-04T10:02:00Z</dcterms:created>
  <dcterms:modified xsi:type="dcterms:W3CDTF">2017-03-02T16:03:00Z</dcterms:modified>
</cp:coreProperties>
</file>