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BE69C2" w:rsidRDefault="00E8522C" w:rsidP="000A2229">
      <w:pPr>
        <w:numPr>
          <w:ilvl w:val="0"/>
          <w:numId w:val="2"/>
        </w:numPr>
        <w:tabs>
          <w:tab w:val="clear" w:pos="360"/>
        </w:tabs>
        <w:ind w:left="567" w:hanging="567"/>
        <w:jc w:val="both"/>
        <w:rPr>
          <w:rFonts w:ascii="Arial" w:hAnsi="Arial" w:cs="Arial"/>
          <w:b/>
          <w:sz w:val="22"/>
          <w:szCs w:val="22"/>
        </w:rPr>
      </w:pPr>
      <w:r w:rsidRPr="00BE69C2">
        <w:rPr>
          <w:rFonts w:ascii="Arial" w:hAnsi="Arial" w:cs="Arial"/>
          <w:b/>
          <w:sz w:val="22"/>
          <w:szCs w:val="22"/>
        </w:rPr>
        <w:t xml:space="preserve">Application </w:t>
      </w:r>
      <w:r w:rsidR="00E34DE8" w:rsidRPr="00BE69C2">
        <w:rPr>
          <w:rFonts w:ascii="Arial" w:hAnsi="Arial" w:cs="Arial"/>
          <w:b/>
          <w:sz w:val="22"/>
          <w:szCs w:val="22"/>
        </w:rPr>
        <w:t xml:space="preserve">Site </w:t>
      </w:r>
      <w:r w:rsidRPr="00BE69C2">
        <w:rPr>
          <w:rFonts w:ascii="Arial" w:hAnsi="Arial" w:cs="Arial"/>
          <w:b/>
          <w:sz w:val="22"/>
          <w:szCs w:val="22"/>
        </w:rPr>
        <w:t xml:space="preserve">and Locality </w:t>
      </w:r>
    </w:p>
    <w:p w:rsidR="00CA2027" w:rsidRPr="00BE69C2" w:rsidRDefault="00CA2027" w:rsidP="00CA2027">
      <w:pPr>
        <w:ind w:left="567"/>
        <w:jc w:val="both"/>
        <w:rPr>
          <w:rFonts w:ascii="Arial" w:hAnsi="Arial" w:cs="Arial"/>
          <w:b/>
          <w:sz w:val="22"/>
          <w:szCs w:val="22"/>
        </w:rPr>
      </w:pPr>
    </w:p>
    <w:p w:rsidR="00BE69C2" w:rsidRPr="00BE69C2" w:rsidRDefault="00BE69C2" w:rsidP="00BE69C2">
      <w:pPr>
        <w:numPr>
          <w:ilvl w:val="1"/>
          <w:numId w:val="2"/>
        </w:numPr>
        <w:tabs>
          <w:tab w:val="clear" w:pos="1152"/>
          <w:tab w:val="num" w:pos="567"/>
        </w:tabs>
        <w:spacing w:after="240"/>
        <w:ind w:left="567" w:hanging="567"/>
        <w:jc w:val="both"/>
        <w:rPr>
          <w:rFonts w:ascii="Arial" w:hAnsi="Arial" w:cs="Arial"/>
          <w:sz w:val="22"/>
          <w:szCs w:val="22"/>
        </w:rPr>
      </w:pPr>
      <w:r w:rsidRPr="00BE69C2">
        <w:rPr>
          <w:rFonts w:ascii="Arial" w:hAnsi="Arial" w:cs="Arial"/>
          <w:sz w:val="22"/>
          <w:szCs w:val="22"/>
        </w:rPr>
        <w:t xml:space="preserve">Building 103 is constructed of red brick under a gabled slated roof. Built in the late 1920’s it is one of the oldest remaining buildings on the base although its history is not as well documented as others. It has served as a power station and housed emergency vehicles. For several years it was used by a company who repair, upgrade and convert narrow boats who have now relocated to their main base at </w:t>
      </w:r>
      <w:proofErr w:type="spellStart"/>
      <w:r w:rsidRPr="00BE69C2">
        <w:rPr>
          <w:rFonts w:ascii="Arial" w:hAnsi="Arial" w:cs="Arial"/>
          <w:sz w:val="22"/>
          <w:szCs w:val="22"/>
        </w:rPr>
        <w:t>Enslow</w:t>
      </w:r>
      <w:proofErr w:type="spellEnd"/>
      <w:r w:rsidRPr="00BE69C2">
        <w:rPr>
          <w:rFonts w:ascii="Arial" w:hAnsi="Arial" w:cs="Arial"/>
          <w:sz w:val="22"/>
          <w:szCs w:val="22"/>
        </w:rPr>
        <w:t>.</w:t>
      </w:r>
    </w:p>
    <w:p w:rsidR="00BE69C2" w:rsidRPr="00BE69C2" w:rsidRDefault="00BE69C2" w:rsidP="00BE69C2">
      <w:pPr>
        <w:numPr>
          <w:ilvl w:val="1"/>
          <w:numId w:val="2"/>
        </w:numPr>
        <w:tabs>
          <w:tab w:val="clear" w:pos="1152"/>
          <w:tab w:val="num" w:pos="567"/>
        </w:tabs>
        <w:spacing w:after="240"/>
        <w:ind w:left="567" w:hanging="567"/>
        <w:jc w:val="both"/>
        <w:rPr>
          <w:rFonts w:ascii="Arial" w:hAnsi="Arial" w:cs="Arial"/>
          <w:sz w:val="22"/>
          <w:szCs w:val="22"/>
        </w:rPr>
      </w:pPr>
      <w:r w:rsidRPr="00BE69C2">
        <w:rPr>
          <w:rFonts w:ascii="Arial" w:hAnsi="Arial" w:cs="Arial"/>
          <w:sz w:val="22"/>
          <w:szCs w:val="22"/>
        </w:rPr>
        <w:t>Planning permission was granted for the use of building 103 for a Heritage Centre (permission 16/01545/F refers).</w:t>
      </w:r>
    </w:p>
    <w:p w:rsidR="00055B98" w:rsidRPr="00BE69C2" w:rsidRDefault="00E8522C" w:rsidP="00B311FB">
      <w:pPr>
        <w:numPr>
          <w:ilvl w:val="0"/>
          <w:numId w:val="2"/>
        </w:numPr>
        <w:tabs>
          <w:tab w:val="clear" w:pos="360"/>
          <w:tab w:val="num" w:pos="567"/>
          <w:tab w:val="left" w:pos="6480"/>
        </w:tabs>
        <w:ind w:left="567" w:hanging="567"/>
        <w:jc w:val="both"/>
        <w:rPr>
          <w:rFonts w:ascii="Arial" w:hAnsi="Arial" w:cs="Arial"/>
          <w:b/>
          <w:sz w:val="22"/>
          <w:szCs w:val="22"/>
        </w:rPr>
      </w:pPr>
      <w:r w:rsidRPr="00BE69C2">
        <w:rPr>
          <w:rFonts w:ascii="Arial" w:hAnsi="Arial" w:cs="Arial"/>
          <w:b/>
          <w:sz w:val="22"/>
          <w:szCs w:val="22"/>
        </w:rPr>
        <w:t>Description of Proposed Development</w:t>
      </w:r>
    </w:p>
    <w:p w:rsidR="00BC7E37" w:rsidRPr="00BE69C2" w:rsidRDefault="00BC7E37" w:rsidP="00B311FB">
      <w:pPr>
        <w:pStyle w:val="ListParagraph"/>
        <w:numPr>
          <w:ilvl w:val="0"/>
          <w:numId w:val="14"/>
        </w:numPr>
        <w:spacing w:before="240"/>
        <w:ind w:left="567" w:hanging="567"/>
        <w:jc w:val="both"/>
        <w:rPr>
          <w:rFonts w:ascii="Arial" w:hAnsi="Arial" w:cs="Arial"/>
          <w:sz w:val="22"/>
          <w:szCs w:val="22"/>
        </w:rPr>
      </w:pPr>
      <w:r w:rsidRPr="00BE69C2">
        <w:rPr>
          <w:rFonts w:ascii="Arial" w:hAnsi="Arial" w:cs="Arial"/>
          <w:sz w:val="22"/>
          <w:szCs w:val="22"/>
        </w:rPr>
        <w:t xml:space="preserve">The current application seeks to discharge </w:t>
      </w:r>
      <w:r w:rsidR="00CA2027" w:rsidRPr="00BE69C2">
        <w:rPr>
          <w:rFonts w:ascii="Arial" w:hAnsi="Arial" w:cs="Arial"/>
          <w:sz w:val="22"/>
          <w:szCs w:val="22"/>
        </w:rPr>
        <w:t xml:space="preserve">Condition </w:t>
      </w:r>
      <w:r w:rsidR="00BE69C2" w:rsidRPr="00BE69C2">
        <w:rPr>
          <w:rFonts w:ascii="Arial" w:hAnsi="Arial" w:cs="Arial"/>
          <w:sz w:val="22"/>
          <w:szCs w:val="22"/>
        </w:rPr>
        <w:t>6</w:t>
      </w:r>
      <w:r w:rsidR="00CA2027" w:rsidRPr="00BE69C2">
        <w:rPr>
          <w:rFonts w:ascii="Arial" w:hAnsi="Arial" w:cs="Arial"/>
          <w:sz w:val="22"/>
          <w:szCs w:val="22"/>
        </w:rPr>
        <w:t xml:space="preserve"> (</w:t>
      </w:r>
      <w:r w:rsidR="00642228" w:rsidRPr="00BE69C2">
        <w:rPr>
          <w:rFonts w:ascii="Arial" w:hAnsi="Arial" w:cs="Arial"/>
          <w:sz w:val="22"/>
          <w:szCs w:val="22"/>
        </w:rPr>
        <w:t>Parking</w:t>
      </w:r>
      <w:r w:rsidR="00BE69C2" w:rsidRPr="00BE69C2">
        <w:rPr>
          <w:rFonts w:ascii="Arial" w:hAnsi="Arial" w:cs="Arial"/>
          <w:sz w:val="22"/>
          <w:szCs w:val="22"/>
        </w:rPr>
        <w:t xml:space="preserve"> Layout</w:t>
      </w:r>
      <w:r w:rsidR="00CA2027" w:rsidRPr="00BE69C2">
        <w:rPr>
          <w:rFonts w:ascii="Arial" w:hAnsi="Arial" w:cs="Arial"/>
          <w:sz w:val="22"/>
          <w:szCs w:val="22"/>
        </w:rPr>
        <w:t>) of 16/</w:t>
      </w:r>
      <w:r w:rsidR="00A152B4" w:rsidRPr="00BE69C2">
        <w:rPr>
          <w:rFonts w:ascii="Arial" w:hAnsi="Arial" w:cs="Arial"/>
          <w:sz w:val="22"/>
          <w:szCs w:val="22"/>
        </w:rPr>
        <w:t>0</w:t>
      </w:r>
      <w:r w:rsidR="00642228" w:rsidRPr="00BE69C2">
        <w:rPr>
          <w:rFonts w:ascii="Arial" w:hAnsi="Arial" w:cs="Arial"/>
          <w:sz w:val="22"/>
          <w:szCs w:val="22"/>
        </w:rPr>
        <w:t>1545</w:t>
      </w:r>
      <w:r w:rsidR="00CA2027" w:rsidRPr="00BE69C2">
        <w:rPr>
          <w:rFonts w:ascii="Arial" w:hAnsi="Arial" w:cs="Arial"/>
          <w:sz w:val="22"/>
          <w:szCs w:val="22"/>
        </w:rPr>
        <w:t>/F</w:t>
      </w:r>
      <w:r w:rsidRPr="00BE69C2">
        <w:rPr>
          <w:rFonts w:ascii="Arial" w:hAnsi="Arial" w:cs="Arial"/>
          <w:sz w:val="22"/>
          <w:szCs w:val="22"/>
        </w:rPr>
        <w:t>.</w:t>
      </w:r>
    </w:p>
    <w:p w:rsidR="00B311FB" w:rsidRPr="00BE69C2" w:rsidRDefault="00B311FB" w:rsidP="00B311FB">
      <w:pPr>
        <w:tabs>
          <w:tab w:val="left" w:pos="6480"/>
        </w:tabs>
        <w:ind w:left="567"/>
        <w:jc w:val="both"/>
        <w:rPr>
          <w:rFonts w:ascii="Arial" w:hAnsi="Arial" w:cs="Arial"/>
          <w:b/>
          <w:sz w:val="22"/>
          <w:szCs w:val="22"/>
        </w:rPr>
      </w:pPr>
    </w:p>
    <w:p w:rsidR="00E34DE8" w:rsidRPr="00BE69C2" w:rsidRDefault="00E34DE8" w:rsidP="00B311FB">
      <w:pPr>
        <w:numPr>
          <w:ilvl w:val="0"/>
          <w:numId w:val="2"/>
        </w:numPr>
        <w:tabs>
          <w:tab w:val="clear" w:pos="360"/>
          <w:tab w:val="num" w:pos="567"/>
          <w:tab w:val="left" w:pos="6480"/>
        </w:tabs>
        <w:ind w:left="567" w:hanging="567"/>
        <w:jc w:val="both"/>
        <w:rPr>
          <w:rFonts w:ascii="Arial" w:hAnsi="Arial" w:cs="Arial"/>
          <w:b/>
          <w:sz w:val="22"/>
          <w:szCs w:val="22"/>
        </w:rPr>
      </w:pPr>
      <w:r w:rsidRPr="00BE69C2">
        <w:rPr>
          <w:rFonts w:ascii="Arial" w:hAnsi="Arial" w:cs="Arial"/>
          <w:b/>
          <w:sz w:val="22"/>
          <w:szCs w:val="22"/>
        </w:rPr>
        <w:t>Appraisal</w:t>
      </w:r>
    </w:p>
    <w:p w:rsidR="00BE69C2" w:rsidRPr="00BE69C2" w:rsidRDefault="00BC7E37" w:rsidP="00BE69C2">
      <w:pPr>
        <w:keepLines/>
        <w:ind w:left="567"/>
        <w:jc w:val="both"/>
        <w:rPr>
          <w:rFonts w:ascii="Arial" w:hAnsi="Arial" w:cs="Arial"/>
          <w:sz w:val="22"/>
          <w:szCs w:val="22"/>
        </w:rPr>
      </w:pPr>
      <w:r w:rsidRPr="00BE69C2">
        <w:rPr>
          <w:rFonts w:ascii="Arial" w:hAnsi="Arial" w:cs="Arial"/>
          <w:sz w:val="22"/>
          <w:szCs w:val="22"/>
          <w:u w:val="single"/>
        </w:rPr>
        <w:t xml:space="preserve">Condition </w:t>
      </w:r>
      <w:r w:rsidR="00BE69C2" w:rsidRPr="00BE69C2">
        <w:rPr>
          <w:rFonts w:ascii="Arial" w:hAnsi="Arial" w:cs="Arial"/>
          <w:sz w:val="22"/>
          <w:szCs w:val="22"/>
          <w:u w:val="single"/>
        </w:rPr>
        <w:t>6</w:t>
      </w:r>
      <w:r w:rsidR="006934A4" w:rsidRPr="00BE69C2">
        <w:rPr>
          <w:rFonts w:ascii="Arial" w:hAnsi="Arial" w:cs="Arial"/>
          <w:sz w:val="22"/>
          <w:szCs w:val="22"/>
        </w:rPr>
        <w:t xml:space="preserve"> require</w:t>
      </w:r>
      <w:r w:rsidR="00BE69C2" w:rsidRPr="00BE69C2">
        <w:rPr>
          <w:rFonts w:ascii="Arial" w:hAnsi="Arial" w:cs="Arial"/>
          <w:sz w:val="22"/>
          <w:szCs w:val="22"/>
        </w:rPr>
        <w:t>s</w:t>
      </w:r>
      <w:r w:rsidR="006934A4" w:rsidRPr="00BE69C2">
        <w:rPr>
          <w:rFonts w:ascii="Arial" w:hAnsi="Arial" w:cs="Arial"/>
          <w:sz w:val="22"/>
          <w:szCs w:val="22"/>
        </w:rPr>
        <w:t xml:space="preserve"> </w:t>
      </w:r>
      <w:r w:rsidR="00BE69C2" w:rsidRPr="00BE69C2">
        <w:rPr>
          <w:rFonts w:ascii="Arial" w:hAnsi="Arial" w:cs="Arial"/>
          <w:sz w:val="22"/>
          <w:szCs w:val="22"/>
        </w:rPr>
        <w:t xml:space="preserve">a revised plan showing car and coach parking provision for vehicles to be accommodated </w:t>
      </w:r>
      <w:r w:rsidR="00BE69C2" w:rsidRPr="00BE69C2">
        <w:rPr>
          <w:rFonts w:ascii="Arial" w:hAnsi="Arial" w:cs="Arial"/>
          <w:sz w:val="22"/>
          <w:szCs w:val="22"/>
        </w:rPr>
        <w:t>(</w:t>
      </w:r>
      <w:r w:rsidR="00BE69C2" w:rsidRPr="00BE69C2">
        <w:rPr>
          <w:rFonts w:ascii="Arial" w:hAnsi="Arial" w:cs="Arial"/>
          <w:sz w:val="22"/>
          <w:szCs w:val="22"/>
        </w:rPr>
        <w:t>together with any areas for manoeuvring</w:t>
      </w:r>
      <w:r w:rsidR="00BE69C2" w:rsidRPr="00BE69C2">
        <w:rPr>
          <w:rFonts w:ascii="Arial" w:hAnsi="Arial" w:cs="Arial"/>
          <w:sz w:val="22"/>
          <w:szCs w:val="22"/>
        </w:rPr>
        <w:t>)</w:t>
      </w:r>
      <w:r w:rsidR="00BE69C2" w:rsidRPr="00BE69C2">
        <w:rPr>
          <w:rFonts w:ascii="Arial" w:hAnsi="Arial" w:cs="Arial"/>
          <w:sz w:val="22"/>
          <w:szCs w:val="22"/>
        </w:rPr>
        <w:t xml:space="preserve">, </w:t>
      </w:r>
      <w:r w:rsidR="00BE69C2" w:rsidRPr="00BE69C2">
        <w:rPr>
          <w:rFonts w:ascii="Arial" w:hAnsi="Arial" w:cs="Arial"/>
          <w:sz w:val="22"/>
          <w:szCs w:val="22"/>
        </w:rPr>
        <w:t>to</w:t>
      </w:r>
      <w:r w:rsidR="00BE69C2" w:rsidRPr="00BE69C2">
        <w:rPr>
          <w:rFonts w:ascii="Arial" w:hAnsi="Arial" w:cs="Arial"/>
          <w:sz w:val="22"/>
          <w:szCs w:val="22"/>
        </w:rPr>
        <w:t xml:space="preserve"> be submitted to and approved in writing by the Local Planning Authority before Building 103 is brought into use</w:t>
      </w:r>
      <w:r w:rsidR="00BE69C2" w:rsidRPr="00BE69C2">
        <w:rPr>
          <w:rFonts w:ascii="Arial" w:hAnsi="Arial" w:cs="Arial"/>
          <w:sz w:val="22"/>
          <w:szCs w:val="22"/>
        </w:rPr>
        <w:t xml:space="preserve">. </w:t>
      </w:r>
    </w:p>
    <w:p w:rsidR="00BE69C2" w:rsidRPr="00BE69C2" w:rsidRDefault="00BE69C2" w:rsidP="00BE69C2">
      <w:pPr>
        <w:keepLines/>
        <w:ind w:left="720" w:hanging="720"/>
        <w:jc w:val="both"/>
        <w:rPr>
          <w:rFonts w:ascii="Arial" w:hAnsi="Arial" w:cs="Arial"/>
          <w:sz w:val="22"/>
          <w:szCs w:val="22"/>
        </w:rPr>
      </w:pPr>
    </w:p>
    <w:p w:rsidR="00F33226" w:rsidRDefault="00F33226" w:rsidP="00F33226">
      <w:pPr>
        <w:keepLines/>
        <w:ind w:left="567"/>
        <w:jc w:val="both"/>
        <w:rPr>
          <w:rFonts w:ascii="Arial" w:hAnsi="Arial" w:cs="Arial"/>
          <w:sz w:val="22"/>
          <w:szCs w:val="22"/>
        </w:rPr>
      </w:pPr>
      <w:r>
        <w:rPr>
          <w:rFonts w:ascii="Arial" w:hAnsi="Arial" w:cs="Arial"/>
          <w:sz w:val="22"/>
          <w:szCs w:val="22"/>
        </w:rPr>
        <w:t>Oxfordshire County Council as Local Highways Authority advises that they object to the discharge of this condition. They considered that t</w:t>
      </w:r>
      <w:r w:rsidR="00BE69C2" w:rsidRPr="00F33226">
        <w:rPr>
          <w:rFonts w:ascii="Arial" w:hAnsi="Arial" w:cs="Arial"/>
          <w:sz w:val="22"/>
          <w:szCs w:val="22"/>
        </w:rPr>
        <w:t xml:space="preserve">he proposal </w:t>
      </w:r>
      <w:r>
        <w:rPr>
          <w:rFonts w:ascii="Arial" w:hAnsi="Arial" w:cs="Arial"/>
          <w:sz w:val="22"/>
          <w:szCs w:val="22"/>
        </w:rPr>
        <w:t xml:space="preserve">only utilises the </w:t>
      </w:r>
      <w:r w:rsidR="00BE69C2" w:rsidRPr="00F33226">
        <w:rPr>
          <w:rFonts w:ascii="Arial" w:hAnsi="Arial" w:cs="Arial"/>
          <w:sz w:val="22"/>
          <w:szCs w:val="22"/>
        </w:rPr>
        <w:t>existing areas of hardstanding only</w:t>
      </w:r>
      <w:r>
        <w:rPr>
          <w:rFonts w:ascii="Arial" w:hAnsi="Arial" w:cs="Arial"/>
          <w:sz w:val="22"/>
          <w:szCs w:val="22"/>
        </w:rPr>
        <w:t xml:space="preserve"> ‘</w:t>
      </w:r>
      <w:r w:rsidR="00BE69C2" w:rsidRPr="00F33226">
        <w:rPr>
          <w:rFonts w:ascii="Arial" w:hAnsi="Arial" w:cs="Arial"/>
          <w:i/>
          <w:sz w:val="22"/>
          <w:szCs w:val="22"/>
        </w:rPr>
        <w:t>and does not take into account our comments on the unsuitable layout, which we provided in response to the consultation on 16/01545/F</w:t>
      </w:r>
      <w:r>
        <w:rPr>
          <w:rFonts w:ascii="Arial" w:hAnsi="Arial" w:cs="Arial"/>
          <w:i/>
          <w:sz w:val="22"/>
          <w:szCs w:val="22"/>
        </w:rPr>
        <w:t>’</w:t>
      </w:r>
      <w:r w:rsidR="00BE69C2" w:rsidRPr="00F33226">
        <w:rPr>
          <w:rFonts w:ascii="Arial" w:hAnsi="Arial" w:cs="Arial"/>
          <w:sz w:val="22"/>
          <w:szCs w:val="22"/>
        </w:rPr>
        <w:t>. </w:t>
      </w:r>
      <w:r>
        <w:rPr>
          <w:rFonts w:ascii="Arial" w:hAnsi="Arial" w:cs="Arial"/>
          <w:sz w:val="22"/>
          <w:szCs w:val="22"/>
        </w:rPr>
        <w:t>The predominant issue</w:t>
      </w:r>
      <w:r w:rsidR="002B1D71">
        <w:rPr>
          <w:rFonts w:ascii="Arial" w:hAnsi="Arial" w:cs="Arial"/>
          <w:sz w:val="22"/>
          <w:szCs w:val="22"/>
        </w:rPr>
        <w:t>s</w:t>
      </w:r>
      <w:r>
        <w:rPr>
          <w:rFonts w:ascii="Arial" w:hAnsi="Arial" w:cs="Arial"/>
          <w:sz w:val="22"/>
          <w:szCs w:val="22"/>
        </w:rPr>
        <w:t xml:space="preserve"> relate to the ‘</w:t>
      </w:r>
      <w:r w:rsidR="00BE69C2" w:rsidRPr="00F33226">
        <w:rPr>
          <w:rFonts w:ascii="Arial" w:hAnsi="Arial" w:cs="Arial"/>
          <w:i/>
          <w:sz w:val="22"/>
          <w:szCs w:val="22"/>
        </w:rPr>
        <w:t>lack of a transport statement which would demonstrate suitable number of parking spaces, perpendicular parking bays, and lack of pedestrian facilities</w:t>
      </w:r>
      <w:r>
        <w:rPr>
          <w:rFonts w:ascii="Arial" w:hAnsi="Arial" w:cs="Arial"/>
          <w:i/>
          <w:sz w:val="22"/>
          <w:szCs w:val="22"/>
        </w:rPr>
        <w:t>’.</w:t>
      </w:r>
      <w:r>
        <w:rPr>
          <w:rFonts w:ascii="Arial" w:hAnsi="Arial" w:cs="Arial"/>
          <w:sz w:val="22"/>
          <w:szCs w:val="22"/>
        </w:rPr>
        <w:t xml:space="preserve"> Whilst they note that the area would be subject </w:t>
      </w:r>
      <w:r w:rsidR="00BE69C2" w:rsidRPr="00F33226">
        <w:rPr>
          <w:rFonts w:ascii="Arial" w:hAnsi="Arial" w:cs="Arial"/>
          <w:sz w:val="22"/>
          <w:szCs w:val="22"/>
        </w:rPr>
        <w:t>review as part of the Village Centre North development</w:t>
      </w:r>
      <w:r>
        <w:rPr>
          <w:rFonts w:ascii="Arial" w:hAnsi="Arial" w:cs="Arial"/>
          <w:sz w:val="22"/>
          <w:szCs w:val="22"/>
        </w:rPr>
        <w:t>, this does not yet have</w:t>
      </w:r>
      <w:r w:rsidR="00BE69C2" w:rsidRPr="00F33226">
        <w:rPr>
          <w:rFonts w:ascii="Arial" w:hAnsi="Arial" w:cs="Arial"/>
          <w:sz w:val="22"/>
          <w:szCs w:val="22"/>
        </w:rPr>
        <w:t xml:space="preserve"> planning </w:t>
      </w:r>
      <w:r>
        <w:rPr>
          <w:rFonts w:ascii="Arial" w:hAnsi="Arial" w:cs="Arial"/>
          <w:sz w:val="22"/>
          <w:szCs w:val="22"/>
        </w:rPr>
        <w:t>permission</w:t>
      </w:r>
      <w:r w:rsidR="002B1D71">
        <w:rPr>
          <w:rFonts w:ascii="Arial" w:hAnsi="Arial" w:cs="Arial"/>
          <w:sz w:val="22"/>
          <w:szCs w:val="22"/>
        </w:rPr>
        <w:t xml:space="preserve"> and cannot be a consideration of this application (which is a requirement of an extant planning permission).</w:t>
      </w:r>
    </w:p>
    <w:p w:rsidR="00F33226" w:rsidRDefault="00F33226" w:rsidP="00F33226">
      <w:pPr>
        <w:keepLines/>
        <w:ind w:left="567"/>
        <w:jc w:val="both"/>
        <w:rPr>
          <w:rFonts w:ascii="Arial" w:hAnsi="Arial" w:cs="Arial"/>
          <w:sz w:val="22"/>
          <w:szCs w:val="22"/>
        </w:rPr>
      </w:pPr>
    </w:p>
    <w:p w:rsidR="00BE69C2" w:rsidRPr="00F33226" w:rsidRDefault="002B1D71" w:rsidP="002B1D71">
      <w:pPr>
        <w:keepLines/>
        <w:ind w:left="567"/>
        <w:jc w:val="both"/>
        <w:rPr>
          <w:rFonts w:ascii="Arial" w:hAnsi="Arial" w:cs="Arial"/>
          <w:sz w:val="22"/>
          <w:szCs w:val="22"/>
        </w:rPr>
      </w:pPr>
      <w:r>
        <w:rPr>
          <w:rFonts w:ascii="Arial" w:hAnsi="Arial" w:cs="Arial"/>
          <w:sz w:val="22"/>
          <w:szCs w:val="22"/>
        </w:rPr>
        <w:t>The Highways Officer further advises that:</w:t>
      </w:r>
      <w:r w:rsidR="00F33226">
        <w:rPr>
          <w:rFonts w:ascii="Arial" w:hAnsi="Arial" w:cs="Arial"/>
          <w:sz w:val="22"/>
          <w:szCs w:val="22"/>
        </w:rPr>
        <w:t xml:space="preserve"> </w:t>
      </w:r>
    </w:p>
    <w:p w:rsidR="00BE69C2" w:rsidRDefault="00BE69C2" w:rsidP="00F33226">
      <w:pPr>
        <w:keepLines/>
        <w:ind w:left="567"/>
        <w:jc w:val="both"/>
        <w:rPr>
          <w:rFonts w:ascii="Arial" w:hAnsi="Arial" w:cs="Arial"/>
          <w:sz w:val="22"/>
          <w:szCs w:val="22"/>
        </w:rPr>
      </w:pPr>
    </w:p>
    <w:p w:rsidR="002B1D71" w:rsidRPr="002B1D71" w:rsidRDefault="002B1D71" w:rsidP="002B1D71">
      <w:pPr>
        <w:keepLines/>
        <w:ind w:left="1440"/>
        <w:jc w:val="both"/>
        <w:rPr>
          <w:rFonts w:ascii="Arial" w:hAnsi="Arial" w:cs="Arial"/>
          <w:i/>
          <w:sz w:val="22"/>
          <w:szCs w:val="22"/>
        </w:rPr>
      </w:pPr>
      <w:r w:rsidRPr="002B1D71">
        <w:rPr>
          <w:rFonts w:ascii="Arial" w:hAnsi="Arial" w:cs="Arial"/>
          <w:i/>
          <w:sz w:val="22"/>
          <w:szCs w:val="22"/>
        </w:rPr>
        <w:t xml:space="preserve">If the parking provision proves to be inadequate, it could lead to overspill parking on Camp Road, which could cause an obstruction.  </w:t>
      </w:r>
    </w:p>
    <w:p w:rsidR="002B1D71" w:rsidRPr="002B1D71" w:rsidRDefault="002B1D71" w:rsidP="002B1D71">
      <w:pPr>
        <w:keepLines/>
        <w:ind w:left="1440"/>
        <w:jc w:val="both"/>
        <w:rPr>
          <w:rFonts w:ascii="Arial" w:hAnsi="Arial" w:cs="Arial"/>
          <w:i/>
          <w:sz w:val="22"/>
          <w:szCs w:val="22"/>
        </w:rPr>
      </w:pPr>
    </w:p>
    <w:p w:rsidR="002B1D71" w:rsidRPr="002B1D71" w:rsidRDefault="002B1D71" w:rsidP="002B1D71">
      <w:pPr>
        <w:keepLines/>
        <w:ind w:left="1440"/>
        <w:jc w:val="both"/>
        <w:rPr>
          <w:rFonts w:ascii="Arial" w:hAnsi="Arial" w:cs="Arial"/>
          <w:i/>
          <w:sz w:val="22"/>
          <w:szCs w:val="22"/>
        </w:rPr>
      </w:pPr>
      <w:r w:rsidRPr="002B1D71">
        <w:rPr>
          <w:rFonts w:ascii="Arial" w:hAnsi="Arial" w:cs="Arial"/>
          <w:i/>
          <w:sz w:val="22"/>
          <w:szCs w:val="22"/>
        </w:rPr>
        <w:t>Vehicles reversing out of perpendicular bays close to the junction with Camp Road could conflict with vehicles turning in off Camp Road.</w:t>
      </w:r>
    </w:p>
    <w:p w:rsidR="002B1D71" w:rsidRPr="002B1D71" w:rsidRDefault="002B1D71" w:rsidP="002B1D71">
      <w:pPr>
        <w:keepLines/>
        <w:ind w:left="1440"/>
        <w:jc w:val="both"/>
        <w:rPr>
          <w:rFonts w:ascii="Arial" w:hAnsi="Arial" w:cs="Arial"/>
          <w:i/>
          <w:sz w:val="22"/>
          <w:szCs w:val="22"/>
        </w:rPr>
      </w:pPr>
    </w:p>
    <w:p w:rsidR="002B1D71" w:rsidRPr="002B1D71" w:rsidRDefault="002B1D71" w:rsidP="002B1D71">
      <w:pPr>
        <w:keepLines/>
        <w:ind w:left="1440"/>
        <w:jc w:val="both"/>
        <w:rPr>
          <w:rFonts w:ascii="Arial" w:hAnsi="Arial" w:cs="Arial"/>
          <w:i/>
          <w:sz w:val="22"/>
          <w:szCs w:val="22"/>
        </w:rPr>
      </w:pPr>
      <w:r w:rsidRPr="002B1D71">
        <w:rPr>
          <w:rFonts w:ascii="Arial" w:hAnsi="Arial" w:cs="Arial"/>
          <w:i/>
          <w:sz w:val="22"/>
          <w:szCs w:val="22"/>
        </w:rPr>
        <w:t>It has not been demonstrated that coaches can enter and exit in forward gear. This would not be permitted off adopted highway for safety reasons.</w:t>
      </w:r>
    </w:p>
    <w:p w:rsidR="002B1D71" w:rsidRPr="002B1D71" w:rsidRDefault="002B1D71" w:rsidP="002B1D71">
      <w:pPr>
        <w:keepLines/>
        <w:ind w:left="1440"/>
        <w:jc w:val="both"/>
        <w:rPr>
          <w:rFonts w:ascii="Arial" w:hAnsi="Arial" w:cs="Arial"/>
          <w:i/>
          <w:sz w:val="22"/>
          <w:szCs w:val="22"/>
        </w:rPr>
      </w:pPr>
    </w:p>
    <w:p w:rsidR="002B1D71" w:rsidRPr="002B1D71" w:rsidRDefault="002B1D71" w:rsidP="002B1D71">
      <w:pPr>
        <w:keepLines/>
        <w:ind w:left="1440"/>
        <w:jc w:val="both"/>
        <w:rPr>
          <w:rFonts w:ascii="Arial" w:hAnsi="Arial" w:cs="Arial"/>
          <w:sz w:val="22"/>
          <w:szCs w:val="22"/>
        </w:rPr>
      </w:pPr>
      <w:r w:rsidRPr="002B1D71">
        <w:rPr>
          <w:rFonts w:ascii="Arial" w:hAnsi="Arial" w:cs="Arial"/>
          <w:i/>
          <w:sz w:val="22"/>
          <w:szCs w:val="22"/>
        </w:rPr>
        <w:lastRenderedPageBreak/>
        <w:t>The layout is certainly incompatible with the adoption of the surrounding roads, which are currently private, but as the public are now free to access the surrounding roads, I am concerned about the safety of road users.</w:t>
      </w:r>
    </w:p>
    <w:p w:rsidR="002B1D71" w:rsidRPr="002B1D71" w:rsidRDefault="002B1D71" w:rsidP="002B1D71">
      <w:pPr>
        <w:keepLines/>
        <w:ind w:left="567"/>
        <w:jc w:val="both"/>
        <w:rPr>
          <w:rFonts w:ascii="Arial" w:hAnsi="Arial" w:cs="Arial"/>
          <w:sz w:val="22"/>
          <w:szCs w:val="22"/>
        </w:rPr>
      </w:pPr>
    </w:p>
    <w:p w:rsidR="002B1D71" w:rsidRPr="009F1EC3" w:rsidRDefault="002B1D71" w:rsidP="009F1EC3">
      <w:pPr>
        <w:keepLines/>
        <w:ind w:left="1440"/>
        <w:jc w:val="both"/>
        <w:rPr>
          <w:rFonts w:ascii="Arial" w:hAnsi="Arial" w:cs="Arial"/>
          <w:i/>
          <w:sz w:val="22"/>
          <w:szCs w:val="22"/>
        </w:rPr>
      </w:pPr>
      <w:r w:rsidRPr="009F1EC3">
        <w:rPr>
          <w:rFonts w:ascii="Arial" w:hAnsi="Arial" w:cs="Arial"/>
          <w:i/>
          <w:sz w:val="22"/>
          <w:szCs w:val="22"/>
        </w:rPr>
        <w:t>In my view this situation would only be acceptable as a very short term temporary measure, and since in practice it could exist for some considerable time to come, I object to the discharge of this condition.</w:t>
      </w:r>
    </w:p>
    <w:p w:rsidR="002B1D71" w:rsidRPr="009F1EC3" w:rsidRDefault="002B1D71" w:rsidP="009F1EC3">
      <w:pPr>
        <w:keepLines/>
        <w:ind w:left="1440"/>
        <w:jc w:val="both"/>
        <w:rPr>
          <w:rFonts w:ascii="Arial" w:hAnsi="Arial" w:cs="Arial"/>
          <w:i/>
          <w:sz w:val="22"/>
          <w:szCs w:val="22"/>
        </w:rPr>
      </w:pPr>
    </w:p>
    <w:p w:rsidR="00FA7E18" w:rsidRPr="00BE69C2" w:rsidRDefault="00F33226" w:rsidP="00A7544E">
      <w:pPr>
        <w:tabs>
          <w:tab w:val="left" w:pos="6480"/>
        </w:tabs>
        <w:ind w:left="567"/>
        <w:jc w:val="both"/>
        <w:rPr>
          <w:rFonts w:ascii="Arial" w:hAnsi="Arial" w:cs="Arial"/>
          <w:sz w:val="22"/>
          <w:szCs w:val="22"/>
        </w:rPr>
      </w:pPr>
      <w:r>
        <w:rPr>
          <w:rFonts w:ascii="Arial" w:hAnsi="Arial" w:cs="Arial"/>
          <w:sz w:val="22"/>
          <w:szCs w:val="22"/>
        </w:rPr>
        <w:t xml:space="preserve">Having regard to all of the above, the details submitted for the discharge of this condition are considered to be inadequate and therefore should be refused accordingly. Given the limited amount of time before the determination deadline, it is not appropriate to seek further information (as this will require further consultation). </w:t>
      </w:r>
    </w:p>
    <w:p w:rsidR="00FA7E18" w:rsidRPr="00BE69C2" w:rsidRDefault="00FA7E18" w:rsidP="00A7544E">
      <w:pPr>
        <w:tabs>
          <w:tab w:val="left" w:pos="6480"/>
        </w:tabs>
        <w:ind w:left="567"/>
        <w:jc w:val="both"/>
        <w:rPr>
          <w:rFonts w:ascii="Arial" w:hAnsi="Arial" w:cs="Arial"/>
          <w:sz w:val="22"/>
          <w:szCs w:val="22"/>
        </w:rPr>
      </w:pPr>
    </w:p>
    <w:p w:rsidR="000A2229" w:rsidRPr="00BE69C2" w:rsidRDefault="000A2229" w:rsidP="00A43B25">
      <w:pPr>
        <w:numPr>
          <w:ilvl w:val="0"/>
          <w:numId w:val="2"/>
        </w:numPr>
        <w:tabs>
          <w:tab w:val="clear" w:pos="360"/>
          <w:tab w:val="num" w:pos="567"/>
          <w:tab w:val="left" w:pos="6480"/>
        </w:tabs>
        <w:ind w:left="567" w:hanging="567"/>
        <w:jc w:val="both"/>
        <w:rPr>
          <w:rFonts w:ascii="Arial" w:hAnsi="Arial" w:cs="Arial"/>
          <w:b/>
          <w:sz w:val="22"/>
          <w:szCs w:val="22"/>
        </w:rPr>
      </w:pPr>
      <w:r w:rsidRPr="00BE69C2">
        <w:rPr>
          <w:rFonts w:ascii="Arial" w:hAnsi="Arial" w:cs="Arial"/>
          <w:b/>
          <w:sz w:val="22"/>
          <w:szCs w:val="22"/>
        </w:rPr>
        <w:t>Recommendation</w:t>
      </w:r>
    </w:p>
    <w:p w:rsidR="00BB754C" w:rsidRPr="00BE69C2" w:rsidRDefault="00BB754C" w:rsidP="005F69AD">
      <w:pPr>
        <w:ind w:firstLine="567"/>
        <w:jc w:val="both"/>
        <w:rPr>
          <w:rFonts w:ascii="Arial" w:hAnsi="Arial" w:cs="Arial"/>
          <w:b/>
          <w:sz w:val="22"/>
          <w:szCs w:val="22"/>
        </w:rPr>
      </w:pPr>
    </w:p>
    <w:p w:rsidR="005F69AD" w:rsidRPr="00BE69C2" w:rsidRDefault="005F69AD" w:rsidP="005F69AD">
      <w:pPr>
        <w:ind w:firstLine="567"/>
        <w:jc w:val="both"/>
        <w:rPr>
          <w:rFonts w:ascii="Arial" w:hAnsi="Arial" w:cs="Arial"/>
          <w:b/>
          <w:sz w:val="22"/>
          <w:szCs w:val="22"/>
        </w:rPr>
      </w:pPr>
      <w:r w:rsidRPr="00BE69C2">
        <w:rPr>
          <w:rFonts w:ascii="Arial" w:hAnsi="Arial" w:cs="Arial"/>
          <w:b/>
          <w:sz w:val="22"/>
          <w:szCs w:val="22"/>
        </w:rPr>
        <w:t>Approval, in accordance with the following details:</w:t>
      </w:r>
    </w:p>
    <w:p w:rsidR="00BB754C" w:rsidRPr="00BE69C2" w:rsidRDefault="00BB754C" w:rsidP="00B311FB">
      <w:pPr>
        <w:pStyle w:val="ListParagraph"/>
        <w:tabs>
          <w:tab w:val="left" w:pos="6480"/>
        </w:tabs>
        <w:ind w:left="567"/>
        <w:jc w:val="both"/>
        <w:rPr>
          <w:rFonts w:ascii="Arial" w:hAnsi="Arial" w:cs="Arial"/>
          <w:sz w:val="22"/>
          <w:szCs w:val="22"/>
          <w:u w:val="single"/>
        </w:rPr>
      </w:pPr>
    </w:p>
    <w:p w:rsidR="00B311FB" w:rsidRPr="003C6761" w:rsidRDefault="000A2229" w:rsidP="00B311FB">
      <w:pPr>
        <w:pStyle w:val="ListParagraph"/>
        <w:tabs>
          <w:tab w:val="left" w:pos="6480"/>
        </w:tabs>
        <w:ind w:left="567"/>
        <w:jc w:val="both"/>
        <w:rPr>
          <w:rFonts w:ascii="Arial" w:hAnsi="Arial" w:cs="Arial"/>
          <w:sz w:val="22"/>
          <w:szCs w:val="22"/>
        </w:rPr>
      </w:pPr>
      <w:r w:rsidRPr="003C6761">
        <w:rPr>
          <w:rFonts w:ascii="Arial" w:hAnsi="Arial" w:cs="Arial"/>
          <w:sz w:val="22"/>
          <w:szCs w:val="22"/>
          <w:u w:val="single"/>
        </w:rPr>
        <w:t xml:space="preserve">Condition </w:t>
      </w:r>
      <w:r w:rsidR="003C6761" w:rsidRPr="003C6761">
        <w:rPr>
          <w:rFonts w:ascii="Arial" w:hAnsi="Arial" w:cs="Arial"/>
          <w:sz w:val="22"/>
          <w:szCs w:val="22"/>
          <w:u w:val="single"/>
        </w:rPr>
        <w:t>6</w:t>
      </w:r>
      <w:r w:rsidR="00B311FB" w:rsidRPr="003C6761">
        <w:rPr>
          <w:rFonts w:ascii="Arial" w:hAnsi="Arial" w:cs="Arial"/>
          <w:sz w:val="22"/>
          <w:szCs w:val="22"/>
          <w:u w:val="single"/>
        </w:rPr>
        <w:t>:</w:t>
      </w:r>
      <w:r w:rsidR="00B311FB" w:rsidRPr="003C6761">
        <w:rPr>
          <w:rFonts w:ascii="Arial" w:hAnsi="Arial" w:cs="Arial"/>
          <w:sz w:val="22"/>
          <w:szCs w:val="22"/>
        </w:rPr>
        <w:t xml:space="preserve"> </w:t>
      </w:r>
    </w:p>
    <w:p w:rsidR="003C6761" w:rsidRPr="003C6761" w:rsidRDefault="003C6761" w:rsidP="00B311FB">
      <w:pPr>
        <w:pStyle w:val="ListParagraph"/>
        <w:tabs>
          <w:tab w:val="left" w:pos="6480"/>
        </w:tabs>
        <w:ind w:left="567"/>
        <w:jc w:val="both"/>
        <w:rPr>
          <w:rFonts w:ascii="Arial" w:hAnsi="Arial" w:cs="Arial"/>
          <w:sz w:val="22"/>
          <w:szCs w:val="22"/>
        </w:rPr>
      </w:pPr>
      <w:r w:rsidRPr="003C6761">
        <w:rPr>
          <w:rFonts w:ascii="Arial" w:hAnsi="Arial" w:cs="Arial"/>
          <w:sz w:val="22"/>
          <w:szCs w:val="22"/>
        </w:rPr>
        <w:t xml:space="preserve">The car parking layout provided is not considered to be acceptable, given </w:t>
      </w:r>
      <w:r w:rsidRPr="003C6761">
        <w:rPr>
          <w:rFonts w:ascii="Arial" w:hAnsi="Arial" w:cs="Arial"/>
          <w:sz w:val="22"/>
          <w:szCs w:val="22"/>
        </w:rPr>
        <w:t xml:space="preserve">the </w:t>
      </w:r>
      <w:r w:rsidRPr="003C6761">
        <w:rPr>
          <w:rFonts w:ascii="Arial" w:hAnsi="Arial" w:cs="Arial"/>
          <w:sz w:val="22"/>
          <w:szCs w:val="22"/>
        </w:rPr>
        <w:t xml:space="preserve">lack of a transport statement </w:t>
      </w:r>
      <w:r w:rsidRPr="003C6761">
        <w:rPr>
          <w:rFonts w:ascii="Arial" w:hAnsi="Arial" w:cs="Arial"/>
          <w:sz w:val="22"/>
          <w:szCs w:val="22"/>
        </w:rPr>
        <w:t xml:space="preserve">demonstrating a </w:t>
      </w:r>
      <w:r w:rsidRPr="003C6761">
        <w:rPr>
          <w:rFonts w:ascii="Arial" w:hAnsi="Arial" w:cs="Arial"/>
          <w:sz w:val="22"/>
          <w:szCs w:val="22"/>
        </w:rPr>
        <w:t>suitable number of parking spaces</w:t>
      </w:r>
      <w:r w:rsidRPr="003C6761">
        <w:rPr>
          <w:rFonts w:ascii="Arial" w:hAnsi="Arial" w:cs="Arial"/>
          <w:sz w:val="22"/>
          <w:szCs w:val="22"/>
        </w:rPr>
        <w:t xml:space="preserve"> (which could result in overspill parking onto Camp Road – causing an obstruction); the presence of </w:t>
      </w:r>
      <w:r w:rsidRPr="003C6761">
        <w:rPr>
          <w:rFonts w:ascii="Arial" w:hAnsi="Arial" w:cs="Arial"/>
          <w:sz w:val="22"/>
          <w:szCs w:val="22"/>
        </w:rPr>
        <w:t>perpendicular parking bays</w:t>
      </w:r>
      <w:r w:rsidRPr="003C6761">
        <w:rPr>
          <w:rFonts w:ascii="Arial" w:hAnsi="Arial" w:cs="Arial"/>
          <w:sz w:val="22"/>
          <w:szCs w:val="22"/>
        </w:rPr>
        <w:t xml:space="preserve"> (which could result in vehicles reversing out</w:t>
      </w:r>
      <w:r w:rsidRPr="003C6761">
        <w:rPr>
          <w:rFonts w:ascii="Arial" w:hAnsi="Arial" w:cs="Arial"/>
          <w:sz w:val="22"/>
          <w:szCs w:val="22"/>
        </w:rPr>
        <w:t>,</w:t>
      </w:r>
      <w:r w:rsidRPr="003C6761">
        <w:rPr>
          <w:rFonts w:ascii="Arial" w:hAnsi="Arial" w:cs="Arial"/>
          <w:sz w:val="22"/>
          <w:szCs w:val="22"/>
        </w:rPr>
        <w:t xml:space="preserve"> close to the junction with Camp Road); the</w:t>
      </w:r>
      <w:r w:rsidRPr="003C6761">
        <w:rPr>
          <w:rFonts w:ascii="Arial" w:hAnsi="Arial" w:cs="Arial"/>
          <w:sz w:val="22"/>
          <w:szCs w:val="22"/>
        </w:rPr>
        <w:t xml:space="preserve"> lack of pedestrian facilities</w:t>
      </w:r>
      <w:r w:rsidRPr="003C6761">
        <w:rPr>
          <w:rFonts w:ascii="Arial" w:hAnsi="Arial" w:cs="Arial"/>
          <w:sz w:val="22"/>
          <w:szCs w:val="22"/>
        </w:rPr>
        <w:t>; and the lack of any information demonstrating that coaches can enter and exit the site in a forward facing gear.</w:t>
      </w:r>
      <w:r>
        <w:rPr>
          <w:rFonts w:ascii="Arial" w:hAnsi="Arial" w:cs="Arial"/>
          <w:sz w:val="22"/>
          <w:szCs w:val="22"/>
        </w:rPr>
        <w:t xml:space="preserve"> T</w:t>
      </w:r>
      <w:r>
        <w:rPr>
          <w:rFonts w:ascii="Arial" w:hAnsi="Arial" w:cs="Arial"/>
          <w:sz w:val="22"/>
          <w:szCs w:val="22"/>
        </w:rPr>
        <w:t>herefore</w:t>
      </w:r>
      <w:r>
        <w:rPr>
          <w:rFonts w:ascii="Arial" w:hAnsi="Arial" w:cs="Arial"/>
          <w:sz w:val="22"/>
          <w:szCs w:val="22"/>
        </w:rPr>
        <w:t>, t</w:t>
      </w:r>
      <w:r w:rsidRPr="003C6761">
        <w:rPr>
          <w:rFonts w:ascii="Arial" w:hAnsi="Arial" w:cs="Arial"/>
          <w:sz w:val="22"/>
          <w:szCs w:val="22"/>
        </w:rPr>
        <w:t>he plan</w:t>
      </w:r>
      <w:r>
        <w:rPr>
          <w:rFonts w:ascii="Arial" w:hAnsi="Arial" w:cs="Arial"/>
          <w:sz w:val="22"/>
          <w:szCs w:val="22"/>
        </w:rPr>
        <w:t>s</w:t>
      </w:r>
      <w:r w:rsidRPr="003C6761">
        <w:rPr>
          <w:rFonts w:ascii="Arial" w:hAnsi="Arial" w:cs="Arial"/>
          <w:sz w:val="22"/>
          <w:szCs w:val="22"/>
        </w:rPr>
        <w:t xml:space="preserve"> as submitted</w:t>
      </w:r>
      <w:r>
        <w:rPr>
          <w:rFonts w:ascii="Arial" w:hAnsi="Arial" w:cs="Arial"/>
          <w:sz w:val="22"/>
          <w:szCs w:val="22"/>
        </w:rPr>
        <w:t xml:space="preserve"> amount</w:t>
      </w:r>
      <w:r w:rsidRPr="003C6761">
        <w:rPr>
          <w:rFonts w:ascii="Arial" w:hAnsi="Arial" w:cs="Arial"/>
          <w:sz w:val="22"/>
          <w:szCs w:val="22"/>
        </w:rPr>
        <w:t xml:space="preserve"> to an unsafe, unusable and unacceptable parking layout which would be contrary to Policy ESD15 of the Cherwell Local Plan 2011-2031 Part 1 and Government guidance contained within the National Planning Policy Framework</w:t>
      </w:r>
    </w:p>
    <w:p w:rsidR="00BB754C" w:rsidRPr="003C6761" w:rsidRDefault="00BB754C" w:rsidP="00B311FB">
      <w:pPr>
        <w:pStyle w:val="ListParagraph"/>
        <w:tabs>
          <w:tab w:val="left" w:pos="6480"/>
        </w:tabs>
        <w:ind w:left="567"/>
        <w:jc w:val="both"/>
        <w:rPr>
          <w:rFonts w:ascii="Arial" w:hAnsi="Arial" w:cs="Arial"/>
          <w:sz w:val="22"/>
          <w:szCs w:val="22"/>
        </w:rPr>
      </w:pPr>
    </w:p>
    <w:p w:rsidR="002B1D71" w:rsidRPr="00BE69C2" w:rsidRDefault="002B1D71" w:rsidP="00B311FB">
      <w:pPr>
        <w:pStyle w:val="ListParagraph"/>
        <w:tabs>
          <w:tab w:val="left" w:pos="6480"/>
        </w:tabs>
        <w:ind w:left="567"/>
        <w:jc w:val="both"/>
        <w:rPr>
          <w:rFonts w:ascii="Arial" w:hAnsi="Arial" w:cs="Arial"/>
          <w:sz w:val="22"/>
          <w:szCs w:val="22"/>
        </w:rPr>
      </w:pPr>
    </w:p>
    <w:p w:rsidR="00BB754C" w:rsidRPr="00BE69C2" w:rsidRDefault="00BB754C" w:rsidP="00B311FB">
      <w:pPr>
        <w:pStyle w:val="ListParagraph"/>
        <w:tabs>
          <w:tab w:val="left" w:pos="6480"/>
        </w:tabs>
        <w:ind w:left="567"/>
        <w:jc w:val="both"/>
        <w:rPr>
          <w:rFonts w:ascii="Arial" w:hAnsi="Arial" w:cs="Arial"/>
          <w:sz w:val="22"/>
          <w:szCs w:val="22"/>
        </w:rPr>
      </w:pPr>
    </w:p>
    <w:p w:rsidR="00CE7C8B" w:rsidRPr="00BE69C2" w:rsidRDefault="00EF5F71" w:rsidP="00BB754C">
      <w:pPr>
        <w:keepLines/>
        <w:ind w:left="567"/>
        <w:jc w:val="center"/>
        <w:rPr>
          <w:rFonts w:ascii="Arial" w:hAnsi="Arial" w:cs="Arial"/>
          <w:sz w:val="22"/>
          <w:szCs w:val="22"/>
        </w:rPr>
      </w:pPr>
      <w:r w:rsidRPr="00BE69C2">
        <w:rPr>
          <w:rFonts w:ascii="Arial" w:hAnsi="Arial" w:cs="Arial"/>
          <w:sz w:val="22"/>
          <w:szCs w:val="22"/>
        </w:rPr>
        <w:t>Case Officer: Matthew Coyne</w:t>
      </w:r>
      <w:r w:rsidR="0019459F" w:rsidRPr="00BE69C2">
        <w:rPr>
          <w:rFonts w:ascii="Arial" w:hAnsi="Arial" w:cs="Arial"/>
          <w:sz w:val="22"/>
          <w:szCs w:val="22"/>
        </w:rPr>
        <w:tab/>
      </w:r>
      <w:r w:rsidR="0019459F" w:rsidRPr="00BE69C2">
        <w:rPr>
          <w:rFonts w:ascii="Arial" w:hAnsi="Arial" w:cs="Arial"/>
          <w:sz w:val="22"/>
          <w:szCs w:val="22"/>
        </w:rPr>
        <w:tab/>
      </w:r>
      <w:bookmarkStart w:id="0" w:name="_GoBack"/>
      <w:bookmarkEnd w:id="0"/>
      <w:r w:rsidR="002B1D71">
        <w:rPr>
          <w:rFonts w:ascii="Arial" w:hAnsi="Arial" w:cs="Arial"/>
          <w:sz w:val="22"/>
          <w:szCs w:val="22"/>
        </w:rPr>
        <w:tab/>
      </w:r>
      <w:r w:rsidR="002B1D71">
        <w:rPr>
          <w:rFonts w:ascii="Arial" w:hAnsi="Arial" w:cs="Arial"/>
          <w:sz w:val="22"/>
          <w:szCs w:val="22"/>
        </w:rPr>
        <w:tab/>
      </w:r>
      <w:r w:rsidR="0019459F" w:rsidRPr="00BE69C2">
        <w:rPr>
          <w:rFonts w:ascii="Arial" w:hAnsi="Arial" w:cs="Arial"/>
          <w:sz w:val="22"/>
          <w:szCs w:val="22"/>
        </w:rPr>
        <w:t xml:space="preserve">DATED: </w:t>
      </w:r>
      <w:r w:rsidR="002B1D71">
        <w:rPr>
          <w:rFonts w:ascii="Arial" w:hAnsi="Arial" w:cs="Arial"/>
          <w:sz w:val="22"/>
          <w:szCs w:val="22"/>
        </w:rPr>
        <w:t>23</w:t>
      </w:r>
      <w:r w:rsidR="00BB754C" w:rsidRPr="00BE69C2">
        <w:rPr>
          <w:rFonts w:ascii="Arial" w:hAnsi="Arial" w:cs="Arial"/>
          <w:sz w:val="22"/>
          <w:szCs w:val="22"/>
        </w:rPr>
        <w:t xml:space="preserve"> </w:t>
      </w:r>
      <w:r w:rsidR="002B1D71">
        <w:rPr>
          <w:rFonts w:ascii="Arial" w:hAnsi="Arial" w:cs="Arial"/>
          <w:sz w:val="22"/>
          <w:szCs w:val="22"/>
        </w:rPr>
        <w:t>November</w:t>
      </w:r>
      <w:r w:rsidR="00BB754C" w:rsidRPr="00BE69C2">
        <w:rPr>
          <w:rFonts w:ascii="Arial" w:hAnsi="Arial" w:cs="Arial"/>
          <w:sz w:val="22"/>
          <w:szCs w:val="22"/>
        </w:rPr>
        <w:t xml:space="preserve"> </w:t>
      </w:r>
      <w:r w:rsidR="004419B7" w:rsidRPr="00BE69C2">
        <w:rPr>
          <w:rFonts w:ascii="Arial" w:hAnsi="Arial" w:cs="Arial"/>
          <w:sz w:val="22"/>
          <w:szCs w:val="22"/>
        </w:rPr>
        <w:t>2017</w:t>
      </w:r>
    </w:p>
    <w:sectPr w:rsidR="00CE7C8B" w:rsidRPr="00BE69C2"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BE69C2" w:rsidTr="004A1E35">
      <w:trPr>
        <w:trHeight w:val="567"/>
      </w:trPr>
      <w:tc>
        <w:tcPr>
          <w:tcW w:w="6190" w:type="dxa"/>
          <w:gridSpan w:val="3"/>
        </w:tcPr>
        <w:p w:rsidR="001F7A39" w:rsidRPr="00BE69C2" w:rsidRDefault="001F7A39" w:rsidP="008057FB">
          <w:pPr>
            <w:tabs>
              <w:tab w:val="left" w:pos="6480"/>
            </w:tabs>
            <w:spacing w:after="0"/>
            <w:rPr>
              <w:rFonts w:ascii="Arial" w:hAnsi="Arial" w:cs="Arial"/>
              <w:sz w:val="22"/>
            </w:rPr>
          </w:pPr>
          <w:r w:rsidRPr="00BE69C2">
            <w:rPr>
              <w:rFonts w:ascii="Arial" w:hAnsi="Arial" w:cs="Arial"/>
              <w:sz w:val="22"/>
            </w:rPr>
            <w:t xml:space="preserve">Building </w:t>
          </w:r>
          <w:r w:rsidR="00DF0B63" w:rsidRPr="00BE69C2">
            <w:rPr>
              <w:rFonts w:ascii="Arial" w:hAnsi="Arial" w:cs="Arial"/>
              <w:sz w:val="22"/>
            </w:rPr>
            <w:t>103</w:t>
          </w:r>
          <w:r w:rsidRPr="00BE69C2">
            <w:rPr>
              <w:rFonts w:ascii="Arial" w:hAnsi="Arial" w:cs="Arial"/>
              <w:sz w:val="22"/>
            </w:rPr>
            <w:t xml:space="preserve">, </w:t>
          </w:r>
          <w:proofErr w:type="spellStart"/>
          <w:r w:rsidRPr="00BE69C2">
            <w:rPr>
              <w:rFonts w:ascii="Arial" w:hAnsi="Arial" w:cs="Arial"/>
              <w:sz w:val="22"/>
            </w:rPr>
            <w:t>Heyford</w:t>
          </w:r>
          <w:proofErr w:type="spellEnd"/>
          <w:r w:rsidRPr="00BE69C2">
            <w:rPr>
              <w:rFonts w:ascii="Arial" w:hAnsi="Arial" w:cs="Arial"/>
              <w:sz w:val="22"/>
            </w:rPr>
            <w:t xml:space="preserve"> Park</w:t>
          </w:r>
        </w:p>
        <w:p w:rsidR="001F7A39" w:rsidRPr="00BE69C2" w:rsidRDefault="001F7A39" w:rsidP="008057FB">
          <w:pPr>
            <w:tabs>
              <w:tab w:val="left" w:pos="6480"/>
            </w:tabs>
            <w:spacing w:after="0"/>
            <w:rPr>
              <w:rFonts w:ascii="Arial" w:hAnsi="Arial" w:cs="Arial"/>
              <w:sz w:val="22"/>
            </w:rPr>
          </w:pPr>
          <w:r w:rsidRPr="00BE69C2">
            <w:rPr>
              <w:rFonts w:ascii="Arial" w:hAnsi="Arial" w:cs="Arial"/>
              <w:sz w:val="22"/>
            </w:rPr>
            <w:t xml:space="preserve">Camp Road, Upper </w:t>
          </w:r>
          <w:proofErr w:type="spellStart"/>
          <w:r w:rsidRPr="00BE69C2">
            <w:rPr>
              <w:rFonts w:ascii="Arial" w:hAnsi="Arial" w:cs="Arial"/>
              <w:sz w:val="22"/>
            </w:rPr>
            <w:t>Heyford</w:t>
          </w:r>
          <w:proofErr w:type="spellEnd"/>
        </w:p>
        <w:p w:rsidR="001F7A39" w:rsidRPr="00BE69C2" w:rsidRDefault="001F7A39" w:rsidP="00BB754C">
          <w:pPr>
            <w:tabs>
              <w:tab w:val="left" w:pos="6480"/>
            </w:tabs>
            <w:spacing w:after="0"/>
            <w:rPr>
              <w:rFonts w:ascii="Arial" w:hAnsi="Arial" w:cs="Arial"/>
              <w:sz w:val="22"/>
            </w:rPr>
          </w:pPr>
          <w:r w:rsidRPr="00BE69C2">
            <w:rPr>
              <w:rFonts w:ascii="Arial" w:hAnsi="Arial" w:cs="Arial"/>
              <w:sz w:val="22"/>
            </w:rPr>
            <w:t>Bicester</w:t>
          </w:r>
          <w:r w:rsidR="00BB754C" w:rsidRPr="00BE69C2">
            <w:rPr>
              <w:rFonts w:ascii="Arial" w:hAnsi="Arial" w:cs="Arial"/>
              <w:sz w:val="22"/>
            </w:rPr>
            <w:t xml:space="preserve">, </w:t>
          </w:r>
          <w:r w:rsidRPr="00BE69C2">
            <w:rPr>
              <w:rFonts w:ascii="Arial" w:hAnsi="Arial" w:cs="Arial"/>
              <w:sz w:val="22"/>
            </w:rPr>
            <w:t>OX25 5HA</w:t>
          </w:r>
        </w:p>
        <w:p w:rsidR="007E1CBB" w:rsidRPr="00BE69C2" w:rsidRDefault="007E1CBB" w:rsidP="00BB754C">
          <w:pPr>
            <w:tabs>
              <w:tab w:val="left" w:pos="6480"/>
            </w:tabs>
            <w:spacing w:after="0"/>
            <w:rPr>
              <w:rFonts w:ascii="Arial" w:hAnsi="Arial" w:cs="Arial"/>
              <w:sz w:val="22"/>
            </w:rPr>
          </w:pPr>
        </w:p>
      </w:tc>
      <w:tc>
        <w:tcPr>
          <w:tcW w:w="2814" w:type="dxa"/>
        </w:tcPr>
        <w:p w:rsidR="008A6B7C" w:rsidRPr="00BE69C2" w:rsidRDefault="00A152B4" w:rsidP="007E1CBB">
          <w:pPr>
            <w:spacing w:after="0"/>
            <w:jc w:val="right"/>
            <w:rPr>
              <w:rFonts w:ascii="Arial" w:hAnsi="Arial" w:cs="Arial"/>
              <w:b/>
              <w:sz w:val="22"/>
            </w:rPr>
          </w:pPr>
          <w:r w:rsidRPr="00BE69C2">
            <w:rPr>
              <w:rFonts w:ascii="Arial" w:hAnsi="Arial" w:cs="Arial"/>
              <w:b/>
              <w:sz w:val="22"/>
            </w:rPr>
            <w:t>17/00</w:t>
          </w:r>
          <w:r w:rsidR="007E1CBB" w:rsidRPr="00BE69C2">
            <w:rPr>
              <w:rFonts w:ascii="Arial" w:hAnsi="Arial" w:cs="Arial"/>
              <w:b/>
              <w:sz w:val="22"/>
            </w:rPr>
            <w:t>500</w:t>
          </w:r>
          <w:r w:rsidRPr="00BE69C2">
            <w:rPr>
              <w:rFonts w:ascii="Arial" w:hAnsi="Arial" w:cs="Arial"/>
              <w:b/>
              <w:sz w:val="22"/>
            </w:rPr>
            <w:t>/DISC</w:t>
          </w:r>
        </w:p>
      </w:tc>
    </w:tr>
    <w:tr w:rsidR="00346878" w:rsidRPr="00BE69C2" w:rsidTr="008057FB">
      <w:trPr>
        <w:trHeight w:val="381"/>
      </w:trPr>
      <w:tc>
        <w:tcPr>
          <w:tcW w:w="1809" w:type="dxa"/>
        </w:tcPr>
        <w:p w:rsidR="00346878" w:rsidRPr="00BE69C2" w:rsidRDefault="00346878" w:rsidP="00346878">
          <w:pPr>
            <w:tabs>
              <w:tab w:val="left" w:pos="6480"/>
            </w:tabs>
            <w:rPr>
              <w:rFonts w:ascii="Arial" w:hAnsi="Arial" w:cs="Arial"/>
              <w:b/>
              <w:sz w:val="22"/>
            </w:rPr>
          </w:pPr>
          <w:r w:rsidRPr="00BE69C2">
            <w:rPr>
              <w:rFonts w:ascii="Arial" w:hAnsi="Arial" w:cs="Arial"/>
              <w:b/>
              <w:sz w:val="22"/>
            </w:rPr>
            <w:t xml:space="preserve">Case Officer: </w:t>
          </w:r>
        </w:p>
      </w:tc>
      <w:tc>
        <w:tcPr>
          <w:tcW w:w="2410" w:type="dxa"/>
        </w:tcPr>
        <w:p w:rsidR="00346878" w:rsidRPr="00BE69C2" w:rsidRDefault="00346878" w:rsidP="00F4438B">
          <w:pPr>
            <w:tabs>
              <w:tab w:val="left" w:pos="6480"/>
            </w:tabs>
            <w:spacing w:after="0"/>
            <w:rPr>
              <w:rFonts w:ascii="Arial" w:hAnsi="Arial" w:cs="Arial"/>
              <w:b/>
              <w:sz w:val="22"/>
            </w:rPr>
          </w:pPr>
          <w:r w:rsidRPr="00BE69C2">
            <w:rPr>
              <w:rFonts w:ascii="Arial" w:hAnsi="Arial" w:cs="Arial"/>
              <w:sz w:val="22"/>
            </w:rPr>
            <w:t>Matthew Coyne</w:t>
          </w:r>
        </w:p>
      </w:tc>
      <w:tc>
        <w:tcPr>
          <w:tcW w:w="4785" w:type="dxa"/>
          <w:gridSpan w:val="2"/>
        </w:tcPr>
        <w:p w:rsidR="00346878" w:rsidRPr="00BE69C2" w:rsidRDefault="00346878" w:rsidP="0001345F">
          <w:pPr>
            <w:spacing w:after="0"/>
            <w:rPr>
              <w:rFonts w:ascii="Arial" w:hAnsi="Arial" w:cs="Arial"/>
              <w:b/>
              <w:sz w:val="22"/>
            </w:rPr>
          </w:pPr>
          <w:r w:rsidRPr="00BE69C2">
            <w:rPr>
              <w:rFonts w:ascii="Arial" w:hAnsi="Arial" w:cs="Arial"/>
              <w:b/>
              <w:sz w:val="22"/>
            </w:rPr>
            <w:t xml:space="preserve">Recommendation: </w:t>
          </w:r>
          <w:r w:rsidR="0001345F" w:rsidRPr="00BE69C2">
            <w:rPr>
              <w:rFonts w:ascii="Arial" w:hAnsi="Arial" w:cs="Arial"/>
              <w:sz w:val="22"/>
            </w:rPr>
            <w:t>Approve</w:t>
          </w:r>
        </w:p>
      </w:tc>
    </w:tr>
    <w:tr w:rsidR="008A6B7C" w:rsidRPr="00BE69C2" w:rsidTr="008057FB">
      <w:trPr>
        <w:trHeight w:val="376"/>
      </w:trPr>
      <w:tc>
        <w:tcPr>
          <w:tcW w:w="1809" w:type="dxa"/>
        </w:tcPr>
        <w:p w:rsidR="008A6B7C" w:rsidRPr="00BE69C2" w:rsidRDefault="008A6B7C" w:rsidP="00F4438B">
          <w:pPr>
            <w:tabs>
              <w:tab w:val="left" w:pos="6480"/>
            </w:tabs>
            <w:spacing w:after="0"/>
            <w:rPr>
              <w:rFonts w:ascii="Arial" w:hAnsi="Arial" w:cs="Arial"/>
              <w:b/>
              <w:sz w:val="22"/>
            </w:rPr>
          </w:pPr>
          <w:r w:rsidRPr="00BE69C2">
            <w:rPr>
              <w:rFonts w:ascii="Arial" w:hAnsi="Arial" w:cs="Arial"/>
              <w:b/>
              <w:sz w:val="22"/>
            </w:rPr>
            <w:t xml:space="preserve">Applicant: </w:t>
          </w:r>
        </w:p>
      </w:tc>
      <w:tc>
        <w:tcPr>
          <w:tcW w:w="7195" w:type="dxa"/>
          <w:gridSpan w:val="3"/>
        </w:tcPr>
        <w:p w:rsidR="008A6B7C" w:rsidRPr="00BE69C2" w:rsidRDefault="001F7A39" w:rsidP="00D6785B">
          <w:pPr>
            <w:tabs>
              <w:tab w:val="left" w:pos="2190"/>
            </w:tabs>
            <w:spacing w:after="0"/>
            <w:rPr>
              <w:rFonts w:ascii="Arial" w:hAnsi="Arial" w:cs="Arial"/>
              <w:sz w:val="22"/>
            </w:rPr>
          </w:pPr>
          <w:proofErr w:type="spellStart"/>
          <w:r w:rsidRPr="00BE69C2">
            <w:rPr>
              <w:rFonts w:ascii="Arial" w:hAnsi="Arial" w:cs="Arial"/>
              <w:sz w:val="22"/>
            </w:rPr>
            <w:t>Heyford</w:t>
          </w:r>
          <w:proofErr w:type="spellEnd"/>
          <w:r w:rsidRPr="00BE69C2">
            <w:rPr>
              <w:rFonts w:ascii="Arial" w:hAnsi="Arial" w:cs="Arial"/>
              <w:sz w:val="22"/>
            </w:rPr>
            <w:t xml:space="preserve"> Park Estates Limited</w:t>
          </w:r>
        </w:p>
      </w:tc>
    </w:tr>
    <w:tr w:rsidR="001C244E" w:rsidRPr="00BE69C2" w:rsidTr="00E1043C">
      <w:trPr>
        <w:trHeight w:val="134"/>
      </w:trPr>
      <w:tc>
        <w:tcPr>
          <w:tcW w:w="1809" w:type="dxa"/>
        </w:tcPr>
        <w:p w:rsidR="001C244E" w:rsidRPr="00BE69C2" w:rsidRDefault="001C244E" w:rsidP="00F4438B">
          <w:pPr>
            <w:tabs>
              <w:tab w:val="left" w:pos="6480"/>
            </w:tabs>
            <w:spacing w:after="0"/>
            <w:rPr>
              <w:rFonts w:ascii="Arial" w:hAnsi="Arial" w:cs="Arial"/>
              <w:sz w:val="22"/>
            </w:rPr>
          </w:pPr>
          <w:r w:rsidRPr="00BE69C2">
            <w:rPr>
              <w:rFonts w:ascii="Arial" w:hAnsi="Arial" w:cs="Arial"/>
              <w:b/>
              <w:sz w:val="22"/>
            </w:rPr>
            <w:t>Proposal:</w:t>
          </w:r>
          <w:r w:rsidRPr="00BE69C2">
            <w:rPr>
              <w:rFonts w:ascii="Arial" w:hAnsi="Arial" w:cs="Arial"/>
              <w:sz w:val="22"/>
            </w:rPr>
            <w:t xml:space="preserve"> </w:t>
          </w:r>
        </w:p>
      </w:tc>
      <w:tc>
        <w:tcPr>
          <w:tcW w:w="7195" w:type="dxa"/>
          <w:gridSpan w:val="3"/>
        </w:tcPr>
        <w:p w:rsidR="001C244E" w:rsidRPr="00BE69C2" w:rsidRDefault="00DF0B63" w:rsidP="00DF0B63">
          <w:pPr>
            <w:tabs>
              <w:tab w:val="left" w:pos="6480"/>
            </w:tabs>
            <w:spacing w:after="0"/>
            <w:rPr>
              <w:rFonts w:ascii="Arial" w:hAnsi="Arial" w:cs="Arial"/>
              <w:sz w:val="22"/>
            </w:rPr>
          </w:pPr>
          <w:r w:rsidRPr="00BE69C2">
            <w:rPr>
              <w:rFonts w:ascii="Arial" w:hAnsi="Arial" w:cs="Arial"/>
              <w:sz w:val="22"/>
            </w:rPr>
            <w:t>D</w:t>
          </w:r>
          <w:r w:rsidR="00E1043C" w:rsidRPr="00BE69C2">
            <w:rPr>
              <w:rFonts w:ascii="Arial" w:hAnsi="Arial" w:cs="Arial"/>
              <w:sz w:val="22"/>
            </w:rPr>
            <w:t xml:space="preserve">ischarge of Condition </w:t>
          </w:r>
          <w:r w:rsidRPr="00BE69C2">
            <w:rPr>
              <w:rFonts w:ascii="Arial" w:hAnsi="Arial" w:cs="Arial"/>
              <w:sz w:val="22"/>
            </w:rPr>
            <w:t>6</w:t>
          </w:r>
          <w:r w:rsidR="00E1043C" w:rsidRPr="00BE69C2">
            <w:rPr>
              <w:rFonts w:ascii="Arial" w:hAnsi="Arial" w:cs="Arial"/>
              <w:sz w:val="22"/>
            </w:rPr>
            <w:t xml:space="preserve"> (</w:t>
          </w:r>
          <w:r w:rsidR="00265E1A" w:rsidRPr="00BE69C2">
            <w:rPr>
              <w:rFonts w:ascii="Arial" w:hAnsi="Arial" w:cs="Arial"/>
              <w:sz w:val="22"/>
            </w:rPr>
            <w:t>Parking</w:t>
          </w:r>
          <w:r w:rsidRPr="00BE69C2">
            <w:rPr>
              <w:rFonts w:ascii="Arial" w:hAnsi="Arial" w:cs="Arial"/>
              <w:sz w:val="22"/>
            </w:rPr>
            <w:t xml:space="preserve"> Layout</w:t>
          </w:r>
          <w:r w:rsidR="00E1043C" w:rsidRPr="00BE69C2">
            <w:rPr>
              <w:rFonts w:ascii="Arial" w:hAnsi="Arial" w:cs="Arial"/>
              <w:sz w:val="22"/>
            </w:rPr>
            <w:t>)</w:t>
          </w:r>
          <w:r w:rsidR="008057FB" w:rsidRPr="00BE69C2">
            <w:rPr>
              <w:rFonts w:ascii="Arial" w:hAnsi="Arial" w:cs="Arial"/>
              <w:sz w:val="22"/>
            </w:rPr>
            <w:t xml:space="preserve"> of 16/</w:t>
          </w:r>
          <w:r w:rsidR="00A152B4" w:rsidRPr="00BE69C2">
            <w:rPr>
              <w:rFonts w:ascii="Arial" w:hAnsi="Arial" w:cs="Arial"/>
              <w:sz w:val="22"/>
            </w:rPr>
            <w:t>0</w:t>
          </w:r>
          <w:r w:rsidR="00642228" w:rsidRPr="00BE69C2">
            <w:rPr>
              <w:rFonts w:ascii="Arial" w:hAnsi="Arial" w:cs="Arial"/>
              <w:sz w:val="22"/>
            </w:rPr>
            <w:t>1545</w:t>
          </w:r>
          <w:r w:rsidR="00A152B4" w:rsidRPr="00BE69C2">
            <w:rPr>
              <w:rFonts w:ascii="Arial" w:hAnsi="Arial" w:cs="Arial"/>
              <w:sz w:val="22"/>
            </w:rPr>
            <w:t>/</w:t>
          </w:r>
          <w:r w:rsidR="008057FB" w:rsidRPr="00BE69C2">
            <w:rPr>
              <w:rFonts w:ascii="Arial" w:hAnsi="Arial" w:cs="Arial"/>
              <w:sz w:val="22"/>
            </w:rPr>
            <w:t>F</w:t>
          </w:r>
        </w:p>
      </w:tc>
    </w:tr>
    <w:tr w:rsidR="008A6B7C" w:rsidRPr="00BE69C2" w:rsidTr="008057FB">
      <w:trPr>
        <w:trHeight w:val="339"/>
      </w:trPr>
      <w:tc>
        <w:tcPr>
          <w:tcW w:w="1809" w:type="dxa"/>
          <w:tcBorders>
            <w:bottom w:val="single" w:sz="4" w:space="0" w:color="auto"/>
          </w:tcBorders>
          <w:vAlign w:val="center"/>
        </w:tcPr>
        <w:p w:rsidR="008A6B7C" w:rsidRPr="00BE69C2" w:rsidRDefault="008A6B7C" w:rsidP="00B67EFD">
          <w:pPr>
            <w:tabs>
              <w:tab w:val="left" w:pos="6480"/>
            </w:tabs>
            <w:spacing w:after="0"/>
            <w:rPr>
              <w:rFonts w:ascii="Arial" w:hAnsi="Arial" w:cs="Arial"/>
              <w:b/>
              <w:sz w:val="22"/>
            </w:rPr>
          </w:pPr>
          <w:r w:rsidRPr="00BE69C2">
            <w:rPr>
              <w:rFonts w:ascii="Arial" w:hAnsi="Arial" w:cs="Arial"/>
              <w:b/>
              <w:sz w:val="22"/>
            </w:rPr>
            <w:t>Report type:</w:t>
          </w:r>
        </w:p>
      </w:tc>
      <w:tc>
        <w:tcPr>
          <w:tcW w:w="7195" w:type="dxa"/>
          <w:gridSpan w:val="3"/>
          <w:tcBorders>
            <w:bottom w:val="single" w:sz="4" w:space="0" w:color="auto"/>
          </w:tcBorders>
          <w:vAlign w:val="center"/>
        </w:tcPr>
        <w:p w:rsidR="008A6B7C" w:rsidRPr="00BE69C2" w:rsidRDefault="008A6B7C" w:rsidP="00B67EFD">
          <w:pPr>
            <w:tabs>
              <w:tab w:val="left" w:pos="6480"/>
            </w:tabs>
            <w:spacing w:after="0"/>
            <w:rPr>
              <w:rFonts w:ascii="Arial" w:hAnsi="Arial" w:cs="Arial"/>
              <w:sz w:val="22"/>
            </w:rPr>
          </w:pPr>
          <w:r w:rsidRPr="00BE69C2">
            <w:rPr>
              <w:rFonts w:ascii="Arial" w:hAnsi="Arial" w:cs="Arial"/>
              <w:sz w:val="22"/>
            </w:rPr>
            <w:t>Delegated</w:t>
          </w:r>
        </w:p>
      </w:tc>
    </w:tr>
  </w:tbl>
  <w:p w:rsidR="007A3BF0" w:rsidRPr="00BE69C2" w:rsidRDefault="007A3BF0" w:rsidP="00BB754C">
    <w:pPr>
      <w:tabs>
        <w:tab w:val="left" w:pos="6480"/>
      </w:tabs>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54D"/>
    <w:rsid w:val="00001C4A"/>
    <w:rsid w:val="000052C9"/>
    <w:rsid w:val="0001345F"/>
    <w:rsid w:val="00020DB4"/>
    <w:rsid w:val="00025638"/>
    <w:rsid w:val="00030184"/>
    <w:rsid w:val="00032411"/>
    <w:rsid w:val="00032735"/>
    <w:rsid w:val="00033FAF"/>
    <w:rsid w:val="000356CA"/>
    <w:rsid w:val="00044F69"/>
    <w:rsid w:val="00055B98"/>
    <w:rsid w:val="0005605C"/>
    <w:rsid w:val="00066471"/>
    <w:rsid w:val="00073B2F"/>
    <w:rsid w:val="0007584A"/>
    <w:rsid w:val="00082A60"/>
    <w:rsid w:val="00084780"/>
    <w:rsid w:val="00093A2E"/>
    <w:rsid w:val="00097D4A"/>
    <w:rsid w:val="000A169E"/>
    <w:rsid w:val="000A2229"/>
    <w:rsid w:val="000B5CDD"/>
    <w:rsid w:val="000B7A1C"/>
    <w:rsid w:val="000B7DEC"/>
    <w:rsid w:val="000C23E4"/>
    <w:rsid w:val="000C6638"/>
    <w:rsid w:val="000D01B8"/>
    <w:rsid w:val="000D61D1"/>
    <w:rsid w:val="000E2076"/>
    <w:rsid w:val="001024F4"/>
    <w:rsid w:val="0011000E"/>
    <w:rsid w:val="0011096D"/>
    <w:rsid w:val="00111F86"/>
    <w:rsid w:val="001253D0"/>
    <w:rsid w:val="0013073C"/>
    <w:rsid w:val="00134631"/>
    <w:rsid w:val="0013551E"/>
    <w:rsid w:val="00136617"/>
    <w:rsid w:val="001463A1"/>
    <w:rsid w:val="00147948"/>
    <w:rsid w:val="001506B2"/>
    <w:rsid w:val="00150D66"/>
    <w:rsid w:val="00152728"/>
    <w:rsid w:val="00152AC0"/>
    <w:rsid w:val="0016656E"/>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658B"/>
    <w:rsid w:val="001F7A39"/>
    <w:rsid w:val="002018FE"/>
    <w:rsid w:val="00203755"/>
    <w:rsid w:val="00213ACA"/>
    <w:rsid w:val="00213EE1"/>
    <w:rsid w:val="00222A79"/>
    <w:rsid w:val="002325EF"/>
    <w:rsid w:val="00233023"/>
    <w:rsid w:val="00243141"/>
    <w:rsid w:val="00243FFC"/>
    <w:rsid w:val="0024539F"/>
    <w:rsid w:val="002459B7"/>
    <w:rsid w:val="0025322B"/>
    <w:rsid w:val="0026422C"/>
    <w:rsid w:val="00265354"/>
    <w:rsid w:val="00265E1A"/>
    <w:rsid w:val="00277BBF"/>
    <w:rsid w:val="002867C2"/>
    <w:rsid w:val="00291B98"/>
    <w:rsid w:val="002A378A"/>
    <w:rsid w:val="002B1D71"/>
    <w:rsid w:val="002B2596"/>
    <w:rsid w:val="002D5911"/>
    <w:rsid w:val="002E35F7"/>
    <w:rsid w:val="002F0B83"/>
    <w:rsid w:val="002F2C57"/>
    <w:rsid w:val="00301E60"/>
    <w:rsid w:val="00310ABF"/>
    <w:rsid w:val="0032279D"/>
    <w:rsid w:val="0032789C"/>
    <w:rsid w:val="003353EC"/>
    <w:rsid w:val="0034682D"/>
    <w:rsid w:val="00346878"/>
    <w:rsid w:val="0035130D"/>
    <w:rsid w:val="0037252B"/>
    <w:rsid w:val="003744D6"/>
    <w:rsid w:val="003806D3"/>
    <w:rsid w:val="00381F5A"/>
    <w:rsid w:val="00384125"/>
    <w:rsid w:val="00384B23"/>
    <w:rsid w:val="00384E65"/>
    <w:rsid w:val="003858CB"/>
    <w:rsid w:val="00385F21"/>
    <w:rsid w:val="00387013"/>
    <w:rsid w:val="00394D26"/>
    <w:rsid w:val="003A0119"/>
    <w:rsid w:val="003B1A64"/>
    <w:rsid w:val="003C66A0"/>
    <w:rsid w:val="003C6761"/>
    <w:rsid w:val="003E42E1"/>
    <w:rsid w:val="003E49FB"/>
    <w:rsid w:val="003E5C0C"/>
    <w:rsid w:val="003F01B9"/>
    <w:rsid w:val="003F0A89"/>
    <w:rsid w:val="003F1F09"/>
    <w:rsid w:val="003F21AD"/>
    <w:rsid w:val="004052A3"/>
    <w:rsid w:val="004071ED"/>
    <w:rsid w:val="00414486"/>
    <w:rsid w:val="00427355"/>
    <w:rsid w:val="004419B7"/>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31430"/>
    <w:rsid w:val="00531FEA"/>
    <w:rsid w:val="005418EA"/>
    <w:rsid w:val="00541ED2"/>
    <w:rsid w:val="0056684C"/>
    <w:rsid w:val="005726E3"/>
    <w:rsid w:val="00586288"/>
    <w:rsid w:val="005B79C5"/>
    <w:rsid w:val="005D5FAA"/>
    <w:rsid w:val="005E2902"/>
    <w:rsid w:val="005E3F6B"/>
    <w:rsid w:val="005F14DB"/>
    <w:rsid w:val="005F69AD"/>
    <w:rsid w:val="005F7FE9"/>
    <w:rsid w:val="00602D56"/>
    <w:rsid w:val="006034C3"/>
    <w:rsid w:val="00604F13"/>
    <w:rsid w:val="00606249"/>
    <w:rsid w:val="0060704F"/>
    <w:rsid w:val="00611273"/>
    <w:rsid w:val="00613865"/>
    <w:rsid w:val="006219A9"/>
    <w:rsid w:val="006245C1"/>
    <w:rsid w:val="006418EE"/>
    <w:rsid w:val="00642228"/>
    <w:rsid w:val="00644822"/>
    <w:rsid w:val="00657A35"/>
    <w:rsid w:val="00661314"/>
    <w:rsid w:val="00665479"/>
    <w:rsid w:val="00687F20"/>
    <w:rsid w:val="00691748"/>
    <w:rsid w:val="006934A4"/>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738FA"/>
    <w:rsid w:val="0078118A"/>
    <w:rsid w:val="0078747C"/>
    <w:rsid w:val="00792257"/>
    <w:rsid w:val="007A1BF0"/>
    <w:rsid w:val="007A3BF0"/>
    <w:rsid w:val="007B384B"/>
    <w:rsid w:val="007D1510"/>
    <w:rsid w:val="007D3AF4"/>
    <w:rsid w:val="007E0634"/>
    <w:rsid w:val="007E1CBB"/>
    <w:rsid w:val="007E4080"/>
    <w:rsid w:val="007E52A2"/>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4060E"/>
    <w:rsid w:val="00941226"/>
    <w:rsid w:val="0094249F"/>
    <w:rsid w:val="00945D9D"/>
    <w:rsid w:val="00946543"/>
    <w:rsid w:val="00947495"/>
    <w:rsid w:val="0095585F"/>
    <w:rsid w:val="00971164"/>
    <w:rsid w:val="00984781"/>
    <w:rsid w:val="00992101"/>
    <w:rsid w:val="00992511"/>
    <w:rsid w:val="00996461"/>
    <w:rsid w:val="009A0EAA"/>
    <w:rsid w:val="009A5D55"/>
    <w:rsid w:val="009B05DD"/>
    <w:rsid w:val="009B58ED"/>
    <w:rsid w:val="009C4400"/>
    <w:rsid w:val="009D3450"/>
    <w:rsid w:val="009E1109"/>
    <w:rsid w:val="009E4D0B"/>
    <w:rsid w:val="009E5DBE"/>
    <w:rsid w:val="009E774D"/>
    <w:rsid w:val="009E7FA9"/>
    <w:rsid w:val="009F1EC3"/>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74B28"/>
    <w:rsid w:val="00A7544E"/>
    <w:rsid w:val="00A76D1F"/>
    <w:rsid w:val="00A9003C"/>
    <w:rsid w:val="00A913FC"/>
    <w:rsid w:val="00A94792"/>
    <w:rsid w:val="00AA1A6D"/>
    <w:rsid w:val="00AA5685"/>
    <w:rsid w:val="00AB0984"/>
    <w:rsid w:val="00AB1820"/>
    <w:rsid w:val="00AB2C56"/>
    <w:rsid w:val="00AD206D"/>
    <w:rsid w:val="00AD615D"/>
    <w:rsid w:val="00AE05E7"/>
    <w:rsid w:val="00AE207C"/>
    <w:rsid w:val="00AF2251"/>
    <w:rsid w:val="00B0322B"/>
    <w:rsid w:val="00B06F36"/>
    <w:rsid w:val="00B10309"/>
    <w:rsid w:val="00B22919"/>
    <w:rsid w:val="00B23A05"/>
    <w:rsid w:val="00B311FB"/>
    <w:rsid w:val="00B327A4"/>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B754C"/>
    <w:rsid w:val="00BC6BB9"/>
    <w:rsid w:val="00BC7E37"/>
    <w:rsid w:val="00BD0F67"/>
    <w:rsid w:val="00BD4C20"/>
    <w:rsid w:val="00BD58BD"/>
    <w:rsid w:val="00BD6C89"/>
    <w:rsid w:val="00BE065A"/>
    <w:rsid w:val="00BE21DB"/>
    <w:rsid w:val="00BE6312"/>
    <w:rsid w:val="00BE69C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33A4"/>
    <w:rsid w:val="00C94E8C"/>
    <w:rsid w:val="00C95AB2"/>
    <w:rsid w:val="00C976BC"/>
    <w:rsid w:val="00CA2027"/>
    <w:rsid w:val="00CA399E"/>
    <w:rsid w:val="00CB01DB"/>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49CF"/>
    <w:rsid w:val="00D65BB5"/>
    <w:rsid w:val="00D6785B"/>
    <w:rsid w:val="00D762EE"/>
    <w:rsid w:val="00D96697"/>
    <w:rsid w:val="00D96E9D"/>
    <w:rsid w:val="00DA0A06"/>
    <w:rsid w:val="00DB1DAA"/>
    <w:rsid w:val="00DB7700"/>
    <w:rsid w:val="00DC5906"/>
    <w:rsid w:val="00DD0DA3"/>
    <w:rsid w:val="00DF0B63"/>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226"/>
    <w:rsid w:val="00F33AC2"/>
    <w:rsid w:val="00F4043F"/>
    <w:rsid w:val="00F4438B"/>
    <w:rsid w:val="00F510D9"/>
    <w:rsid w:val="00F52726"/>
    <w:rsid w:val="00F52E6F"/>
    <w:rsid w:val="00F623D8"/>
    <w:rsid w:val="00F63553"/>
    <w:rsid w:val="00F66625"/>
    <w:rsid w:val="00F7207C"/>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720">
      <w:bodyDiv w:val="1"/>
      <w:marLeft w:val="0"/>
      <w:marRight w:val="0"/>
      <w:marTop w:val="0"/>
      <w:marBottom w:val="0"/>
      <w:divBdr>
        <w:top w:val="none" w:sz="0" w:space="0" w:color="auto"/>
        <w:left w:val="none" w:sz="0" w:space="0" w:color="auto"/>
        <w:bottom w:val="none" w:sz="0" w:space="0" w:color="auto"/>
        <w:right w:val="none" w:sz="0" w:space="0" w:color="auto"/>
      </w:divBdr>
    </w:div>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623</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34</cp:revision>
  <cp:lastPrinted>2012-07-19T10:56:00Z</cp:lastPrinted>
  <dcterms:created xsi:type="dcterms:W3CDTF">2016-03-04T10:02:00Z</dcterms:created>
  <dcterms:modified xsi:type="dcterms:W3CDTF">2017-11-23T11:12:00Z</dcterms:modified>
</cp:coreProperties>
</file>