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F" w:rsidRPr="00B121FB" w:rsidRDefault="00E8522C" w:rsidP="00AD206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</w:rPr>
      </w:pPr>
      <w:r w:rsidRPr="00B121FB">
        <w:rPr>
          <w:rFonts w:ascii="Arial" w:hAnsi="Arial" w:cs="Arial"/>
          <w:b/>
        </w:rPr>
        <w:t xml:space="preserve">Application </w:t>
      </w:r>
      <w:r w:rsidR="00E34DE8" w:rsidRPr="00B121FB">
        <w:rPr>
          <w:rFonts w:ascii="Arial" w:hAnsi="Arial" w:cs="Arial"/>
          <w:b/>
        </w:rPr>
        <w:t xml:space="preserve">Site </w:t>
      </w:r>
      <w:r w:rsidRPr="00B121FB">
        <w:rPr>
          <w:rFonts w:ascii="Arial" w:hAnsi="Arial" w:cs="Arial"/>
          <w:b/>
        </w:rPr>
        <w:t xml:space="preserve">and Locality </w:t>
      </w:r>
    </w:p>
    <w:p w:rsidR="000475E7" w:rsidRPr="00B121FB" w:rsidRDefault="000475E7" w:rsidP="000475E7">
      <w:pPr>
        <w:ind w:left="360"/>
        <w:jc w:val="both"/>
        <w:rPr>
          <w:rFonts w:ascii="Arial" w:hAnsi="Arial" w:cs="Arial"/>
          <w:b/>
        </w:rPr>
      </w:pPr>
    </w:p>
    <w:p w:rsidR="00A86478" w:rsidRPr="00A86478" w:rsidRDefault="00A86478" w:rsidP="00A86478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86478">
        <w:rPr>
          <w:rFonts w:ascii="Arial" w:hAnsi="Arial" w:cs="Arial"/>
        </w:rPr>
        <w:t>uilding 103 is constructed of red brick under a gabled slated roof. Built in the late 1920’s it is one of the oldest remaining buildings on the base</w:t>
      </w:r>
      <w:r>
        <w:rPr>
          <w:rFonts w:ascii="Arial" w:hAnsi="Arial" w:cs="Arial"/>
        </w:rPr>
        <w:t>. It has previous s</w:t>
      </w:r>
      <w:r w:rsidRPr="00A86478">
        <w:rPr>
          <w:rFonts w:ascii="Arial" w:hAnsi="Arial" w:cs="Arial"/>
        </w:rPr>
        <w:t xml:space="preserve">erved as a power station and </w:t>
      </w:r>
      <w:r>
        <w:rPr>
          <w:rFonts w:ascii="Arial" w:hAnsi="Arial" w:cs="Arial"/>
        </w:rPr>
        <w:t xml:space="preserve">has also </w:t>
      </w:r>
      <w:r w:rsidRPr="00A86478">
        <w:rPr>
          <w:rFonts w:ascii="Arial" w:hAnsi="Arial" w:cs="Arial"/>
        </w:rPr>
        <w:t xml:space="preserve">housed emergency vehicles. </w:t>
      </w:r>
      <w:r>
        <w:rPr>
          <w:rFonts w:ascii="Arial" w:hAnsi="Arial" w:cs="Arial"/>
        </w:rPr>
        <w:t xml:space="preserve">More recently, </w:t>
      </w:r>
      <w:r w:rsidRPr="00A86478">
        <w:rPr>
          <w:rFonts w:ascii="Arial" w:hAnsi="Arial" w:cs="Arial"/>
        </w:rPr>
        <w:t>it was used by a company who repair, upgrade and convert narrow boats.</w:t>
      </w:r>
    </w:p>
    <w:p w:rsidR="00A86478" w:rsidRPr="006C530C" w:rsidRDefault="00A86478" w:rsidP="00A86478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6C530C">
        <w:rPr>
          <w:rFonts w:ascii="Arial" w:hAnsi="Arial" w:cs="Arial"/>
        </w:rPr>
        <w:t>Planning permission was granted for the use of building 103 for a Heritage Centre and building 315 for storage and distribution purposes (permission 16/01545/F refers).</w:t>
      </w:r>
    </w:p>
    <w:p w:rsidR="00055B98" w:rsidRPr="00B121FB" w:rsidRDefault="00E8522C" w:rsidP="00AD206D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after="240"/>
        <w:ind w:left="567" w:hanging="567"/>
        <w:jc w:val="both"/>
        <w:rPr>
          <w:rFonts w:ascii="Arial" w:hAnsi="Arial" w:cs="Arial"/>
          <w:b/>
        </w:rPr>
      </w:pPr>
      <w:r w:rsidRPr="00B121FB">
        <w:rPr>
          <w:rFonts w:ascii="Arial" w:hAnsi="Arial" w:cs="Arial"/>
          <w:b/>
        </w:rPr>
        <w:t>Description of Proposed Development</w:t>
      </w:r>
    </w:p>
    <w:p w:rsidR="007E39BC" w:rsidRPr="003B225F" w:rsidRDefault="007E39BC" w:rsidP="000D1D47">
      <w:pPr>
        <w:numPr>
          <w:ilvl w:val="1"/>
          <w:numId w:val="5"/>
        </w:numPr>
        <w:spacing w:after="240"/>
        <w:ind w:left="567" w:hanging="563"/>
        <w:jc w:val="both"/>
        <w:rPr>
          <w:rFonts w:ascii="Arial" w:hAnsi="Arial" w:cs="Arial"/>
        </w:rPr>
      </w:pPr>
      <w:r w:rsidRPr="003B225F">
        <w:rPr>
          <w:rFonts w:ascii="Arial" w:hAnsi="Arial" w:cs="Arial"/>
        </w:rPr>
        <w:t xml:space="preserve">The current application seeks a non-material amendment to </w:t>
      </w:r>
      <w:r w:rsidR="00E30059" w:rsidRPr="006C530C">
        <w:rPr>
          <w:rFonts w:ascii="Arial" w:hAnsi="Arial" w:cs="Arial"/>
        </w:rPr>
        <w:t>16/01545/F</w:t>
      </w:r>
      <w:r w:rsidR="00E30059">
        <w:rPr>
          <w:rFonts w:ascii="Arial" w:hAnsi="Arial" w:cs="Arial"/>
        </w:rPr>
        <w:t xml:space="preserve"> </w:t>
      </w:r>
      <w:r w:rsidR="00324B19">
        <w:rPr>
          <w:rFonts w:ascii="Arial" w:hAnsi="Arial" w:cs="Arial"/>
        </w:rPr>
        <w:t xml:space="preserve">to include </w:t>
      </w:r>
      <w:r w:rsidR="00E30059">
        <w:rPr>
          <w:rFonts w:ascii="Arial" w:hAnsi="Arial" w:cs="Arial"/>
        </w:rPr>
        <w:t>the addition of two new windows on either side elevation; the retention of the chimney; and internal alterations and layout changes.</w:t>
      </w:r>
      <w:r w:rsidRPr="003B225F">
        <w:rPr>
          <w:rFonts w:ascii="Arial" w:hAnsi="Arial" w:cs="Arial"/>
        </w:rPr>
        <w:t xml:space="preserve"> </w:t>
      </w:r>
    </w:p>
    <w:p w:rsidR="00E34DE8" w:rsidRPr="00B121FB" w:rsidRDefault="00E34DE8" w:rsidP="00230A45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spacing w:after="240"/>
        <w:ind w:left="567" w:hanging="567"/>
        <w:jc w:val="both"/>
        <w:rPr>
          <w:rFonts w:ascii="Arial" w:hAnsi="Arial" w:cs="Arial"/>
          <w:b/>
        </w:rPr>
      </w:pPr>
      <w:r w:rsidRPr="00B121FB">
        <w:rPr>
          <w:rFonts w:ascii="Arial" w:hAnsi="Arial" w:cs="Arial"/>
          <w:b/>
        </w:rPr>
        <w:t>Appraisal</w:t>
      </w:r>
    </w:p>
    <w:p w:rsidR="00E30059" w:rsidRDefault="0086148E" w:rsidP="00230A45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230A45">
        <w:rPr>
          <w:rFonts w:ascii="Arial" w:hAnsi="Arial" w:cs="Arial"/>
        </w:rPr>
        <w:t>T</w:t>
      </w:r>
      <w:r w:rsidR="007E39BC" w:rsidRPr="00230A45">
        <w:rPr>
          <w:rFonts w:ascii="Arial" w:hAnsi="Arial" w:cs="Arial"/>
        </w:rPr>
        <w:t xml:space="preserve">he </w:t>
      </w:r>
      <w:r w:rsidRPr="00230A45">
        <w:rPr>
          <w:rFonts w:ascii="Arial" w:hAnsi="Arial" w:cs="Arial"/>
        </w:rPr>
        <w:t xml:space="preserve">proposed change is </w:t>
      </w:r>
      <w:r w:rsidR="007E39BC" w:rsidRPr="00230A45">
        <w:rPr>
          <w:rFonts w:ascii="Arial" w:hAnsi="Arial" w:cs="Arial"/>
        </w:rPr>
        <w:t xml:space="preserve">very minor in nature. </w:t>
      </w:r>
      <w:r w:rsidR="00E30059">
        <w:rPr>
          <w:rFonts w:ascii="Arial" w:hAnsi="Arial" w:cs="Arial"/>
        </w:rPr>
        <w:t xml:space="preserve">The two new windows are considered to be in keeping with the style and character of building and are a minor alteration to the previous scheme. The retention of the chimney is considered to be a positive amendment to the scheme and again is minor in nature. Furthermore, the revised internal layout is not considered to affect the </w:t>
      </w:r>
      <w:r w:rsidR="00E8473C">
        <w:rPr>
          <w:rFonts w:ascii="Arial" w:hAnsi="Arial" w:cs="Arial"/>
        </w:rPr>
        <w:t xml:space="preserve">visual appearance of the building or the way in which it functions. </w:t>
      </w:r>
    </w:p>
    <w:p w:rsidR="00E8473C" w:rsidRDefault="00E8473C" w:rsidP="00E8473C">
      <w:pPr>
        <w:pStyle w:val="ListParagraph"/>
        <w:ind w:left="567"/>
        <w:jc w:val="both"/>
        <w:rPr>
          <w:rFonts w:ascii="Arial" w:hAnsi="Arial" w:cs="Arial"/>
        </w:rPr>
      </w:pPr>
    </w:p>
    <w:p w:rsidR="007E39BC" w:rsidRPr="00E8473C" w:rsidRDefault="00E8473C" w:rsidP="00E30059">
      <w:pPr>
        <w:pStyle w:val="ListParagraph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E8473C">
        <w:rPr>
          <w:rFonts w:ascii="Arial" w:hAnsi="Arial" w:cs="Arial"/>
        </w:rPr>
        <w:t>Having regard to the above, it is considered that the alterations are minor in their nature and would fulfil the criteria of a non-material amendment.</w:t>
      </w:r>
      <w:r w:rsidR="007E39BC" w:rsidRPr="00E8473C">
        <w:rPr>
          <w:rFonts w:ascii="Arial" w:hAnsi="Arial" w:cs="Arial"/>
        </w:rPr>
        <w:t xml:space="preserve"> </w:t>
      </w:r>
    </w:p>
    <w:p w:rsidR="00230A45" w:rsidRDefault="00230A45" w:rsidP="00230A45">
      <w:pPr>
        <w:pStyle w:val="ListParagraph"/>
        <w:ind w:left="567"/>
        <w:jc w:val="both"/>
        <w:rPr>
          <w:rFonts w:ascii="Arial" w:hAnsi="Arial" w:cs="Arial"/>
        </w:rPr>
      </w:pPr>
    </w:p>
    <w:p w:rsidR="0032279D" w:rsidRPr="00B121FB" w:rsidRDefault="00E34DE8" w:rsidP="00AD206D">
      <w:pPr>
        <w:numPr>
          <w:ilvl w:val="0"/>
          <w:numId w:val="2"/>
        </w:numPr>
        <w:tabs>
          <w:tab w:val="clear" w:pos="360"/>
          <w:tab w:val="left" w:pos="567"/>
        </w:tabs>
        <w:spacing w:after="240"/>
        <w:ind w:left="709" w:hanging="709"/>
        <w:jc w:val="both"/>
        <w:rPr>
          <w:rFonts w:ascii="Arial" w:hAnsi="Arial" w:cs="Arial"/>
          <w:b/>
        </w:rPr>
      </w:pPr>
      <w:r w:rsidRPr="00B121FB">
        <w:rPr>
          <w:rFonts w:ascii="Arial" w:hAnsi="Arial" w:cs="Arial"/>
          <w:b/>
        </w:rPr>
        <w:t>Conclusion</w:t>
      </w:r>
    </w:p>
    <w:p w:rsidR="000E137B" w:rsidRPr="00BC2B31" w:rsidRDefault="000E137B" w:rsidP="00BC2B31">
      <w:pPr>
        <w:pStyle w:val="ListParagraph"/>
        <w:numPr>
          <w:ilvl w:val="0"/>
          <w:numId w:val="14"/>
        </w:numPr>
        <w:spacing w:after="240"/>
        <w:ind w:left="567" w:hanging="567"/>
        <w:jc w:val="both"/>
        <w:rPr>
          <w:rFonts w:ascii="Arial" w:hAnsi="Arial" w:cs="Arial"/>
        </w:rPr>
      </w:pPr>
      <w:r w:rsidRPr="00BC2B31">
        <w:rPr>
          <w:rFonts w:ascii="Arial" w:hAnsi="Arial" w:cs="Arial"/>
        </w:rPr>
        <w:t>In summary, having regard to the circumstances of the proposed change, and for the reasons above, the proposed amendment is considered to fulfil the criteria for a non-material amendment.</w:t>
      </w:r>
    </w:p>
    <w:p w:rsidR="00E56EB3" w:rsidRPr="000D28BF" w:rsidRDefault="0032279D" w:rsidP="00007D61">
      <w:pPr>
        <w:numPr>
          <w:ilvl w:val="0"/>
          <w:numId w:val="2"/>
        </w:numPr>
        <w:tabs>
          <w:tab w:val="clear" w:pos="360"/>
          <w:tab w:val="left" w:pos="567"/>
        </w:tabs>
        <w:ind w:left="709" w:hanging="709"/>
        <w:jc w:val="both"/>
        <w:rPr>
          <w:rFonts w:ascii="Arial" w:hAnsi="Arial" w:cs="Arial"/>
          <w:b/>
        </w:rPr>
      </w:pPr>
      <w:r w:rsidRPr="000D28BF">
        <w:rPr>
          <w:rFonts w:ascii="Arial" w:hAnsi="Arial" w:cs="Arial"/>
          <w:b/>
        </w:rPr>
        <w:t>Recommendation</w:t>
      </w:r>
    </w:p>
    <w:p w:rsidR="000D28BF" w:rsidRPr="000D28BF" w:rsidRDefault="000E137B" w:rsidP="000D28BF">
      <w:pPr>
        <w:ind w:left="567"/>
        <w:rPr>
          <w:rFonts w:ascii="Arial" w:hAnsi="Arial" w:cs="Arial"/>
        </w:rPr>
      </w:pPr>
      <w:proofErr w:type="gramStart"/>
      <w:r w:rsidRPr="000D28BF">
        <w:rPr>
          <w:rFonts w:ascii="Arial" w:hAnsi="Arial" w:cs="Arial"/>
        </w:rPr>
        <w:t xml:space="preserve">Approval </w:t>
      </w:r>
      <w:r w:rsidR="00911982" w:rsidRPr="000D28BF">
        <w:rPr>
          <w:rFonts w:ascii="Arial" w:hAnsi="Arial" w:cs="Arial"/>
        </w:rPr>
        <w:t>– in accordance with d</w:t>
      </w:r>
      <w:r w:rsidR="00396536" w:rsidRPr="000D28BF">
        <w:rPr>
          <w:rFonts w:ascii="Arial" w:hAnsi="Arial" w:cs="Arial"/>
        </w:rPr>
        <w:t>rawing</w:t>
      </w:r>
      <w:r w:rsidR="000D28BF" w:rsidRPr="000D28BF">
        <w:rPr>
          <w:rFonts w:ascii="Arial" w:hAnsi="Arial" w:cs="Arial"/>
        </w:rPr>
        <w:t>s</w:t>
      </w:r>
      <w:r w:rsidR="00396536" w:rsidRPr="000D28BF">
        <w:rPr>
          <w:rFonts w:ascii="Arial" w:hAnsi="Arial" w:cs="Arial"/>
        </w:rPr>
        <w:t xml:space="preserve"> No. </w:t>
      </w:r>
      <w:r w:rsidR="00E8473C">
        <w:rPr>
          <w:rFonts w:ascii="Arial" w:hAnsi="Arial" w:cs="Arial"/>
        </w:rPr>
        <w:t>628 HC03 (</w:t>
      </w:r>
      <w:r w:rsidR="00E8473C">
        <w:rPr>
          <w:rFonts w:ascii="Arial" w:hAnsi="Arial" w:cs="Arial"/>
        </w:rPr>
        <w:t>Proposed Ground &amp; First Floor Plans</w:t>
      </w:r>
      <w:r w:rsidR="00E8473C">
        <w:rPr>
          <w:rFonts w:ascii="Arial" w:hAnsi="Arial" w:cs="Arial"/>
        </w:rPr>
        <w:t>); and 628 HC04</w:t>
      </w:r>
      <w:r w:rsidR="00C50F98">
        <w:rPr>
          <w:rFonts w:ascii="Arial" w:hAnsi="Arial" w:cs="Arial"/>
        </w:rPr>
        <w:t xml:space="preserve"> (</w:t>
      </w:r>
      <w:r w:rsidR="00E8473C">
        <w:rPr>
          <w:rFonts w:ascii="Arial" w:hAnsi="Arial" w:cs="Arial"/>
        </w:rPr>
        <w:t>Proposed Ground &amp; First Floor Plans).</w:t>
      </w:r>
      <w:proofErr w:type="gramEnd"/>
      <w:r w:rsidR="000D28BF" w:rsidRPr="000D28BF">
        <w:rPr>
          <w:rFonts w:ascii="Arial" w:hAnsi="Arial" w:cs="Arial"/>
        </w:rPr>
        <w:t xml:space="preserve"> </w:t>
      </w:r>
    </w:p>
    <w:p w:rsidR="00396536" w:rsidRDefault="00396536" w:rsidP="00396536">
      <w:pPr>
        <w:ind w:left="360"/>
        <w:rPr>
          <w:rFonts w:ascii="Arial" w:hAnsi="Arial" w:cs="Arial"/>
        </w:rPr>
      </w:pPr>
    </w:p>
    <w:p w:rsidR="00230A45" w:rsidRPr="00B121FB" w:rsidRDefault="00EF5F71">
      <w:pPr>
        <w:jc w:val="center"/>
        <w:rPr>
          <w:rFonts w:ascii="Arial" w:hAnsi="Arial" w:cs="Arial"/>
        </w:rPr>
      </w:pPr>
      <w:r w:rsidRPr="00B121FB">
        <w:rPr>
          <w:rFonts w:ascii="Arial" w:hAnsi="Arial" w:cs="Arial"/>
        </w:rPr>
        <w:t>Case Officer: Matthew Coyne</w:t>
      </w:r>
      <w:r w:rsidR="0019459F" w:rsidRPr="00B121FB">
        <w:rPr>
          <w:rFonts w:ascii="Arial" w:hAnsi="Arial" w:cs="Arial"/>
        </w:rPr>
        <w:tab/>
      </w:r>
      <w:r w:rsidR="000E137B" w:rsidRPr="00B121FB">
        <w:rPr>
          <w:rFonts w:ascii="Arial" w:hAnsi="Arial" w:cs="Arial"/>
        </w:rPr>
        <w:tab/>
      </w:r>
      <w:r w:rsidR="000E137B" w:rsidRPr="00B121FB">
        <w:rPr>
          <w:rFonts w:ascii="Arial" w:hAnsi="Arial" w:cs="Arial"/>
        </w:rPr>
        <w:tab/>
      </w:r>
      <w:r w:rsidR="000E137B" w:rsidRPr="00B121FB">
        <w:rPr>
          <w:rFonts w:ascii="Arial" w:hAnsi="Arial" w:cs="Arial"/>
        </w:rPr>
        <w:tab/>
      </w:r>
      <w:r w:rsidR="0019459F" w:rsidRPr="00B121FB">
        <w:rPr>
          <w:rFonts w:ascii="Arial" w:hAnsi="Arial" w:cs="Arial"/>
        </w:rPr>
        <w:t xml:space="preserve">DATED: </w:t>
      </w:r>
      <w:r w:rsidR="00007D61">
        <w:rPr>
          <w:rFonts w:ascii="Arial" w:hAnsi="Arial" w:cs="Arial"/>
        </w:rPr>
        <w:t>09 March</w:t>
      </w:r>
      <w:bookmarkStart w:id="0" w:name="_GoBack"/>
      <w:bookmarkEnd w:id="0"/>
      <w:r w:rsidR="00230A45">
        <w:rPr>
          <w:rFonts w:ascii="Arial" w:hAnsi="Arial" w:cs="Arial"/>
        </w:rPr>
        <w:t xml:space="preserve"> 2017</w:t>
      </w:r>
    </w:p>
    <w:sectPr w:rsidR="00230A45" w:rsidRPr="00B121FB" w:rsidSect="00BC2B31">
      <w:headerReference w:type="default" r:id="rId9"/>
      <w:headerReference w:type="first" r:id="rId10"/>
      <w:pgSz w:w="11906" w:h="16838"/>
      <w:pgMar w:top="1079" w:right="170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AD" w:rsidRDefault="003F21AD" w:rsidP="00213EE1">
      <w:r>
        <w:separator/>
      </w:r>
    </w:p>
  </w:endnote>
  <w:endnote w:type="continuationSeparator" w:id="0">
    <w:p w:rsidR="003F21AD" w:rsidRDefault="003F21AD" w:rsidP="0021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AD" w:rsidRDefault="003F21AD" w:rsidP="00213EE1">
      <w:r>
        <w:separator/>
      </w:r>
    </w:p>
  </w:footnote>
  <w:footnote w:type="continuationSeparator" w:id="0">
    <w:p w:rsidR="003F21AD" w:rsidRDefault="003F21AD" w:rsidP="0021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E1" w:rsidRDefault="00213EE1" w:rsidP="005D5FAA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971"/>
      <w:gridCol w:w="3132"/>
    </w:tblGrid>
    <w:tr w:rsidR="008A6B7C" w:rsidRPr="00230A45" w:rsidTr="00BC2B31">
      <w:trPr>
        <w:trHeight w:val="850"/>
      </w:trPr>
      <w:tc>
        <w:tcPr>
          <w:tcW w:w="6190" w:type="dxa"/>
          <w:gridSpan w:val="3"/>
        </w:tcPr>
        <w:p w:rsidR="005A70DC" w:rsidRDefault="00A86478" w:rsidP="00230A45">
          <w:pPr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Buildings 103 + 315 </w:t>
          </w:r>
          <w:proofErr w:type="spellStart"/>
          <w:r>
            <w:rPr>
              <w:rFonts w:ascii="Arial" w:hAnsi="Arial" w:cs="Arial"/>
            </w:rPr>
            <w:t>Heyford</w:t>
          </w:r>
          <w:proofErr w:type="spellEnd"/>
          <w:r>
            <w:rPr>
              <w:rFonts w:ascii="Arial" w:hAnsi="Arial" w:cs="Arial"/>
            </w:rPr>
            <w:t xml:space="preserve"> Park</w:t>
          </w:r>
        </w:p>
        <w:p w:rsidR="00A86478" w:rsidRDefault="00A86478" w:rsidP="00230A45">
          <w:pPr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Camp Road, Upper </w:t>
          </w:r>
          <w:proofErr w:type="spellStart"/>
          <w:r>
            <w:rPr>
              <w:rFonts w:ascii="Arial" w:hAnsi="Arial" w:cs="Arial"/>
            </w:rPr>
            <w:t>Heyford</w:t>
          </w:r>
          <w:proofErr w:type="spellEnd"/>
        </w:p>
        <w:p w:rsidR="00A86478" w:rsidRPr="00230A45" w:rsidRDefault="00A86478" w:rsidP="00230A45">
          <w:pPr>
            <w:spacing w:after="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Bicester, OX25 5HA</w:t>
          </w:r>
        </w:p>
      </w:tc>
      <w:tc>
        <w:tcPr>
          <w:tcW w:w="3132" w:type="dxa"/>
        </w:tcPr>
        <w:p w:rsidR="008A6B7C" w:rsidRPr="00230A45" w:rsidRDefault="005A70DC" w:rsidP="00A86478">
          <w:pPr>
            <w:spacing w:after="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17/000</w:t>
          </w:r>
          <w:r w:rsidR="00A86478">
            <w:rPr>
              <w:rFonts w:ascii="Arial" w:hAnsi="Arial" w:cs="Arial"/>
              <w:b/>
            </w:rPr>
            <w:t>14</w:t>
          </w:r>
          <w:r>
            <w:rPr>
              <w:rFonts w:ascii="Arial" w:hAnsi="Arial" w:cs="Arial"/>
              <w:b/>
            </w:rPr>
            <w:t>/NMA</w:t>
          </w:r>
        </w:p>
      </w:tc>
    </w:tr>
    <w:tr w:rsidR="00346878" w:rsidRPr="00BC2B31" w:rsidTr="00BC2B31">
      <w:trPr>
        <w:trHeight w:val="324"/>
      </w:trPr>
      <w:tc>
        <w:tcPr>
          <w:tcW w:w="1809" w:type="dxa"/>
        </w:tcPr>
        <w:p w:rsidR="00346878" w:rsidRPr="00BC2B31" w:rsidRDefault="00346878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>Case Officer:</w:t>
          </w:r>
        </w:p>
      </w:tc>
      <w:tc>
        <w:tcPr>
          <w:tcW w:w="2410" w:type="dxa"/>
        </w:tcPr>
        <w:p w:rsidR="00346878" w:rsidRPr="00BC2B31" w:rsidRDefault="00346878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>Matthew Coyne</w:t>
          </w:r>
        </w:p>
      </w:tc>
      <w:tc>
        <w:tcPr>
          <w:tcW w:w="5103" w:type="dxa"/>
          <w:gridSpan w:val="2"/>
        </w:tcPr>
        <w:p w:rsidR="00346878" w:rsidRPr="00BC2B31" w:rsidRDefault="00346878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 xml:space="preserve">Recommendation: </w:t>
          </w:r>
          <w:r w:rsidR="0001345F" w:rsidRPr="00BC2B31">
            <w:rPr>
              <w:rFonts w:ascii="Arial" w:hAnsi="Arial" w:cs="Arial"/>
            </w:rPr>
            <w:t>Approve</w:t>
          </w:r>
        </w:p>
      </w:tc>
    </w:tr>
    <w:tr w:rsidR="008A6B7C" w:rsidRPr="00BC2B31" w:rsidTr="00BC2B31">
      <w:trPr>
        <w:trHeight w:val="232"/>
      </w:trPr>
      <w:tc>
        <w:tcPr>
          <w:tcW w:w="1809" w:type="dxa"/>
        </w:tcPr>
        <w:p w:rsidR="008A6B7C" w:rsidRPr="00BC2B31" w:rsidRDefault="008A6B7C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 xml:space="preserve">Applicant: </w:t>
          </w:r>
        </w:p>
      </w:tc>
      <w:tc>
        <w:tcPr>
          <w:tcW w:w="7513" w:type="dxa"/>
          <w:gridSpan w:val="3"/>
        </w:tcPr>
        <w:p w:rsidR="008A6B7C" w:rsidRPr="00BC2B31" w:rsidRDefault="00A86478" w:rsidP="00BC2B31">
          <w:pPr>
            <w:spacing w:line="240" w:lineRule="auto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Heyford</w:t>
          </w:r>
          <w:proofErr w:type="spellEnd"/>
          <w:r>
            <w:rPr>
              <w:rFonts w:ascii="Arial" w:hAnsi="Arial" w:cs="Arial"/>
            </w:rPr>
            <w:t xml:space="preserve"> Park Estates Ltd</w:t>
          </w:r>
        </w:p>
      </w:tc>
    </w:tr>
    <w:tr w:rsidR="001C244E" w:rsidRPr="00BC2B31" w:rsidTr="00BC2B31">
      <w:trPr>
        <w:trHeight w:val="438"/>
      </w:trPr>
      <w:tc>
        <w:tcPr>
          <w:tcW w:w="1809" w:type="dxa"/>
        </w:tcPr>
        <w:p w:rsidR="001C244E" w:rsidRPr="00BC2B31" w:rsidRDefault="001C244E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 xml:space="preserve">Proposal: </w:t>
          </w:r>
        </w:p>
      </w:tc>
      <w:tc>
        <w:tcPr>
          <w:tcW w:w="7513" w:type="dxa"/>
          <w:gridSpan w:val="3"/>
        </w:tcPr>
        <w:p w:rsidR="001C244E" w:rsidRPr="00BC2B31" w:rsidRDefault="001C244E" w:rsidP="00A86478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 xml:space="preserve">Non Material Amendment to </w:t>
          </w:r>
          <w:r w:rsidR="00A86478">
            <w:rPr>
              <w:rFonts w:ascii="Arial" w:hAnsi="Arial" w:cs="Arial"/>
            </w:rPr>
            <w:t>16/01545/F</w:t>
          </w:r>
          <w:r w:rsidR="005A70DC">
            <w:rPr>
              <w:rFonts w:ascii="Arial" w:hAnsi="Arial" w:cs="Arial"/>
            </w:rPr>
            <w:t xml:space="preserve"> </w:t>
          </w:r>
          <w:r w:rsidR="00230A45" w:rsidRPr="00BC2B31">
            <w:rPr>
              <w:rFonts w:ascii="Arial" w:hAnsi="Arial" w:cs="Arial"/>
            </w:rPr>
            <w:t>–</w:t>
          </w:r>
          <w:r w:rsidR="005A70DC">
            <w:rPr>
              <w:rFonts w:ascii="Arial" w:hAnsi="Arial" w:cs="Arial"/>
            </w:rPr>
            <w:t xml:space="preserve"> </w:t>
          </w:r>
          <w:r w:rsidR="00A86478">
            <w:rPr>
              <w:rFonts w:ascii="Arial" w:hAnsi="Arial" w:cs="Arial"/>
            </w:rPr>
            <w:t>Amendments to the proposal internal layout of Building 103</w:t>
          </w:r>
        </w:p>
      </w:tc>
    </w:tr>
    <w:tr w:rsidR="008A6B7C" w:rsidRPr="00BC2B31" w:rsidTr="00BC2B31">
      <w:trPr>
        <w:trHeight w:val="224"/>
      </w:trPr>
      <w:tc>
        <w:tcPr>
          <w:tcW w:w="1809" w:type="dxa"/>
          <w:tcBorders>
            <w:bottom w:val="single" w:sz="4" w:space="0" w:color="auto"/>
          </w:tcBorders>
          <w:vAlign w:val="center"/>
        </w:tcPr>
        <w:p w:rsidR="008A6B7C" w:rsidRPr="00BC2B31" w:rsidRDefault="008A6B7C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>Report type:</w:t>
          </w:r>
        </w:p>
      </w:tc>
      <w:tc>
        <w:tcPr>
          <w:tcW w:w="7513" w:type="dxa"/>
          <w:gridSpan w:val="3"/>
          <w:tcBorders>
            <w:bottom w:val="single" w:sz="4" w:space="0" w:color="auto"/>
          </w:tcBorders>
          <w:vAlign w:val="center"/>
        </w:tcPr>
        <w:p w:rsidR="008A6B7C" w:rsidRPr="00BC2B31" w:rsidRDefault="008A6B7C" w:rsidP="00BC2B31">
          <w:pPr>
            <w:spacing w:line="240" w:lineRule="auto"/>
            <w:rPr>
              <w:rFonts w:ascii="Arial" w:hAnsi="Arial" w:cs="Arial"/>
            </w:rPr>
          </w:pPr>
          <w:r w:rsidRPr="00BC2B31">
            <w:rPr>
              <w:rFonts w:ascii="Arial" w:hAnsi="Arial" w:cs="Arial"/>
            </w:rPr>
            <w:t>Delegated</w:t>
          </w:r>
        </w:p>
      </w:tc>
    </w:tr>
  </w:tbl>
  <w:p w:rsidR="007A3BF0" w:rsidRPr="00230A45" w:rsidRDefault="007A3BF0" w:rsidP="00462D5F">
    <w:pPr>
      <w:tabs>
        <w:tab w:val="left" w:pos="64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0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D5B6FBB"/>
    <w:multiLevelType w:val="hybridMultilevel"/>
    <w:tmpl w:val="486E18C8"/>
    <w:lvl w:ilvl="0" w:tplc="C7E40EB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81011"/>
    <w:multiLevelType w:val="multilevel"/>
    <w:tmpl w:val="650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243536E1"/>
    <w:multiLevelType w:val="multilevel"/>
    <w:tmpl w:val="B380A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b w:val="0"/>
        <w:u w:val="single"/>
      </w:rPr>
    </w:lvl>
  </w:abstractNum>
  <w:abstractNum w:abstractNumId="4">
    <w:nsid w:val="273B2F3B"/>
    <w:multiLevelType w:val="hybridMultilevel"/>
    <w:tmpl w:val="2A1E2DE2"/>
    <w:lvl w:ilvl="0" w:tplc="FB28DB4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45507"/>
    <w:multiLevelType w:val="multilevel"/>
    <w:tmpl w:val="796481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6965D0F"/>
    <w:multiLevelType w:val="multilevel"/>
    <w:tmpl w:val="DA08DD9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50BB572A"/>
    <w:multiLevelType w:val="hybridMultilevel"/>
    <w:tmpl w:val="7826B6CE"/>
    <w:lvl w:ilvl="0" w:tplc="FB28DB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7C21E9"/>
    <w:multiLevelType w:val="multilevel"/>
    <w:tmpl w:val="5A2469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AD7349B"/>
    <w:multiLevelType w:val="multilevel"/>
    <w:tmpl w:val="2EBA00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5FEC2B5B"/>
    <w:multiLevelType w:val="hybridMultilevel"/>
    <w:tmpl w:val="D78801B6"/>
    <w:lvl w:ilvl="0" w:tplc="8ED89168">
      <w:start w:val="1"/>
      <w:numFmt w:val="decimal"/>
      <w:lvlText w:val="5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A6C20"/>
    <w:multiLevelType w:val="multilevel"/>
    <w:tmpl w:val="1EC0F2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38866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7EF436F6"/>
    <w:multiLevelType w:val="hybridMultilevel"/>
    <w:tmpl w:val="5038C6A2"/>
    <w:lvl w:ilvl="0" w:tplc="FCE22B74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F"/>
    <w:rsid w:val="00001C4A"/>
    <w:rsid w:val="000052C9"/>
    <w:rsid w:val="00007D61"/>
    <w:rsid w:val="0001345F"/>
    <w:rsid w:val="00025638"/>
    <w:rsid w:val="00030184"/>
    <w:rsid w:val="00032411"/>
    <w:rsid w:val="00032735"/>
    <w:rsid w:val="00033FAF"/>
    <w:rsid w:val="000356CA"/>
    <w:rsid w:val="00044F69"/>
    <w:rsid w:val="000475E7"/>
    <w:rsid w:val="00055B98"/>
    <w:rsid w:val="0005605C"/>
    <w:rsid w:val="00066471"/>
    <w:rsid w:val="0007584A"/>
    <w:rsid w:val="00082A60"/>
    <w:rsid w:val="00084780"/>
    <w:rsid w:val="00093A2E"/>
    <w:rsid w:val="00097D4A"/>
    <w:rsid w:val="000A169E"/>
    <w:rsid w:val="000B5CDD"/>
    <w:rsid w:val="000B7A1C"/>
    <w:rsid w:val="000C23E4"/>
    <w:rsid w:val="000C6638"/>
    <w:rsid w:val="000D01B8"/>
    <w:rsid w:val="000D1D47"/>
    <w:rsid w:val="000D28BF"/>
    <w:rsid w:val="000D61D1"/>
    <w:rsid w:val="000E137B"/>
    <w:rsid w:val="000E2076"/>
    <w:rsid w:val="001024F4"/>
    <w:rsid w:val="0011000E"/>
    <w:rsid w:val="0011096D"/>
    <w:rsid w:val="00111F86"/>
    <w:rsid w:val="001253D0"/>
    <w:rsid w:val="0013551E"/>
    <w:rsid w:val="001463A1"/>
    <w:rsid w:val="00147948"/>
    <w:rsid w:val="00150D66"/>
    <w:rsid w:val="00152728"/>
    <w:rsid w:val="00152AC0"/>
    <w:rsid w:val="0016656E"/>
    <w:rsid w:val="001675B9"/>
    <w:rsid w:val="00167904"/>
    <w:rsid w:val="00175CAE"/>
    <w:rsid w:val="0018308A"/>
    <w:rsid w:val="0018664C"/>
    <w:rsid w:val="0019459F"/>
    <w:rsid w:val="00196591"/>
    <w:rsid w:val="001A6174"/>
    <w:rsid w:val="001A67DC"/>
    <w:rsid w:val="001B3666"/>
    <w:rsid w:val="001C244E"/>
    <w:rsid w:val="001C274C"/>
    <w:rsid w:val="001C7B03"/>
    <w:rsid w:val="001D44D6"/>
    <w:rsid w:val="001D4CF0"/>
    <w:rsid w:val="001F658B"/>
    <w:rsid w:val="00203755"/>
    <w:rsid w:val="00213ACA"/>
    <w:rsid w:val="00213EE1"/>
    <w:rsid w:val="00222A79"/>
    <w:rsid w:val="0022703A"/>
    <w:rsid w:val="00230A45"/>
    <w:rsid w:val="00233023"/>
    <w:rsid w:val="00243141"/>
    <w:rsid w:val="00243FFC"/>
    <w:rsid w:val="0024539F"/>
    <w:rsid w:val="002459B7"/>
    <w:rsid w:val="0026422C"/>
    <w:rsid w:val="00265354"/>
    <w:rsid w:val="00277BBF"/>
    <w:rsid w:val="002867C2"/>
    <w:rsid w:val="002905BF"/>
    <w:rsid w:val="00291B98"/>
    <w:rsid w:val="002A378A"/>
    <w:rsid w:val="002B2596"/>
    <w:rsid w:val="002D5911"/>
    <w:rsid w:val="002E35F7"/>
    <w:rsid w:val="002F2C57"/>
    <w:rsid w:val="00301E60"/>
    <w:rsid w:val="00310ABF"/>
    <w:rsid w:val="0032279D"/>
    <w:rsid w:val="00324B19"/>
    <w:rsid w:val="0032789C"/>
    <w:rsid w:val="0034682D"/>
    <w:rsid w:val="00346878"/>
    <w:rsid w:val="0035130D"/>
    <w:rsid w:val="003609A5"/>
    <w:rsid w:val="0037252B"/>
    <w:rsid w:val="003744D6"/>
    <w:rsid w:val="003806D3"/>
    <w:rsid w:val="00381F5A"/>
    <w:rsid w:val="00384125"/>
    <w:rsid w:val="003858CB"/>
    <w:rsid w:val="00385F21"/>
    <w:rsid w:val="00387013"/>
    <w:rsid w:val="00394D26"/>
    <w:rsid w:val="00396536"/>
    <w:rsid w:val="003B1A64"/>
    <w:rsid w:val="003B225F"/>
    <w:rsid w:val="003E42E1"/>
    <w:rsid w:val="003E49FB"/>
    <w:rsid w:val="003E5C0C"/>
    <w:rsid w:val="003F01B9"/>
    <w:rsid w:val="003F0A89"/>
    <w:rsid w:val="003F1F09"/>
    <w:rsid w:val="003F21AD"/>
    <w:rsid w:val="004052A3"/>
    <w:rsid w:val="004071ED"/>
    <w:rsid w:val="00414486"/>
    <w:rsid w:val="004451EB"/>
    <w:rsid w:val="00446635"/>
    <w:rsid w:val="00454F50"/>
    <w:rsid w:val="0045780D"/>
    <w:rsid w:val="00462D5F"/>
    <w:rsid w:val="00467D08"/>
    <w:rsid w:val="00472D4D"/>
    <w:rsid w:val="00482FFD"/>
    <w:rsid w:val="004853D7"/>
    <w:rsid w:val="00493932"/>
    <w:rsid w:val="004A1791"/>
    <w:rsid w:val="004A1E35"/>
    <w:rsid w:val="004A3A4E"/>
    <w:rsid w:val="004B179F"/>
    <w:rsid w:val="004C3324"/>
    <w:rsid w:val="004D4B4D"/>
    <w:rsid w:val="004D51E6"/>
    <w:rsid w:val="004D72E1"/>
    <w:rsid w:val="004E240E"/>
    <w:rsid w:val="004E2BD7"/>
    <w:rsid w:val="004F056A"/>
    <w:rsid w:val="004F7F94"/>
    <w:rsid w:val="00505A95"/>
    <w:rsid w:val="0051246A"/>
    <w:rsid w:val="00513F2F"/>
    <w:rsid w:val="00514714"/>
    <w:rsid w:val="00531430"/>
    <w:rsid w:val="00531FEA"/>
    <w:rsid w:val="00541ED2"/>
    <w:rsid w:val="0056684C"/>
    <w:rsid w:val="00586288"/>
    <w:rsid w:val="005A70DC"/>
    <w:rsid w:val="005B79C5"/>
    <w:rsid w:val="005D5FAA"/>
    <w:rsid w:val="005E2902"/>
    <w:rsid w:val="005E3F6B"/>
    <w:rsid w:val="005F14DB"/>
    <w:rsid w:val="005F7FE9"/>
    <w:rsid w:val="00602D56"/>
    <w:rsid w:val="00604F13"/>
    <w:rsid w:val="0060704F"/>
    <w:rsid w:val="00611273"/>
    <w:rsid w:val="00613865"/>
    <w:rsid w:val="006219A9"/>
    <w:rsid w:val="00623997"/>
    <w:rsid w:val="006245C1"/>
    <w:rsid w:val="006418EE"/>
    <w:rsid w:val="00644822"/>
    <w:rsid w:val="00657A35"/>
    <w:rsid w:val="00661314"/>
    <w:rsid w:val="00665479"/>
    <w:rsid w:val="00687F20"/>
    <w:rsid w:val="00691748"/>
    <w:rsid w:val="006A25DF"/>
    <w:rsid w:val="006A294B"/>
    <w:rsid w:val="006A3A26"/>
    <w:rsid w:val="006A48C5"/>
    <w:rsid w:val="006A6B28"/>
    <w:rsid w:val="006D633C"/>
    <w:rsid w:val="006E45A5"/>
    <w:rsid w:val="006E516B"/>
    <w:rsid w:val="006F385C"/>
    <w:rsid w:val="0070431F"/>
    <w:rsid w:val="00707C44"/>
    <w:rsid w:val="007141CD"/>
    <w:rsid w:val="00714B66"/>
    <w:rsid w:val="00717B1C"/>
    <w:rsid w:val="0072345B"/>
    <w:rsid w:val="00727A61"/>
    <w:rsid w:val="00733D56"/>
    <w:rsid w:val="007360ED"/>
    <w:rsid w:val="00740F91"/>
    <w:rsid w:val="007534A2"/>
    <w:rsid w:val="0077204A"/>
    <w:rsid w:val="0078118A"/>
    <w:rsid w:val="0078747C"/>
    <w:rsid w:val="00792257"/>
    <w:rsid w:val="007A1BF0"/>
    <w:rsid w:val="007A3BF0"/>
    <w:rsid w:val="007B384B"/>
    <w:rsid w:val="007D1510"/>
    <w:rsid w:val="007D3AF4"/>
    <w:rsid w:val="007E0634"/>
    <w:rsid w:val="007E39BC"/>
    <w:rsid w:val="007E64C1"/>
    <w:rsid w:val="007F36F0"/>
    <w:rsid w:val="007F7305"/>
    <w:rsid w:val="00801E4B"/>
    <w:rsid w:val="00802129"/>
    <w:rsid w:val="00804583"/>
    <w:rsid w:val="00805C40"/>
    <w:rsid w:val="008172E8"/>
    <w:rsid w:val="00822127"/>
    <w:rsid w:val="00823B07"/>
    <w:rsid w:val="00824EDB"/>
    <w:rsid w:val="008314A6"/>
    <w:rsid w:val="008369A1"/>
    <w:rsid w:val="00840B59"/>
    <w:rsid w:val="00841F58"/>
    <w:rsid w:val="00844477"/>
    <w:rsid w:val="00845A0F"/>
    <w:rsid w:val="00847257"/>
    <w:rsid w:val="008474B6"/>
    <w:rsid w:val="008504D2"/>
    <w:rsid w:val="008520ED"/>
    <w:rsid w:val="00854E99"/>
    <w:rsid w:val="00856C5C"/>
    <w:rsid w:val="0086148E"/>
    <w:rsid w:val="008631D2"/>
    <w:rsid w:val="00865452"/>
    <w:rsid w:val="008767F3"/>
    <w:rsid w:val="0087696B"/>
    <w:rsid w:val="0088092D"/>
    <w:rsid w:val="0088116F"/>
    <w:rsid w:val="00882F4B"/>
    <w:rsid w:val="008841C0"/>
    <w:rsid w:val="00886567"/>
    <w:rsid w:val="0089310B"/>
    <w:rsid w:val="00896DDA"/>
    <w:rsid w:val="008A2CB0"/>
    <w:rsid w:val="008A6B7C"/>
    <w:rsid w:val="008B1D03"/>
    <w:rsid w:val="008B1EC2"/>
    <w:rsid w:val="008B4BC9"/>
    <w:rsid w:val="008B68B4"/>
    <w:rsid w:val="008B79DD"/>
    <w:rsid w:val="008D7438"/>
    <w:rsid w:val="008E031B"/>
    <w:rsid w:val="008E56BB"/>
    <w:rsid w:val="00902BB3"/>
    <w:rsid w:val="0091063B"/>
    <w:rsid w:val="00911451"/>
    <w:rsid w:val="00911982"/>
    <w:rsid w:val="009156BF"/>
    <w:rsid w:val="0091615F"/>
    <w:rsid w:val="009315CF"/>
    <w:rsid w:val="0094060E"/>
    <w:rsid w:val="00941226"/>
    <w:rsid w:val="0094249F"/>
    <w:rsid w:val="00945D9D"/>
    <w:rsid w:val="00947495"/>
    <w:rsid w:val="0095585F"/>
    <w:rsid w:val="00971164"/>
    <w:rsid w:val="0097745C"/>
    <w:rsid w:val="00984781"/>
    <w:rsid w:val="00996461"/>
    <w:rsid w:val="009A0EAA"/>
    <w:rsid w:val="009A5D55"/>
    <w:rsid w:val="009B05DD"/>
    <w:rsid w:val="009B58ED"/>
    <w:rsid w:val="009C4400"/>
    <w:rsid w:val="009E1109"/>
    <w:rsid w:val="009E4D0B"/>
    <w:rsid w:val="009E5DBE"/>
    <w:rsid w:val="009E774D"/>
    <w:rsid w:val="009E7FA9"/>
    <w:rsid w:val="009F2A36"/>
    <w:rsid w:val="00A04DD9"/>
    <w:rsid w:val="00A05300"/>
    <w:rsid w:val="00A41752"/>
    <w:rsid w:val="00A4183C"/>
    <w:rsid w:val="00A43FB5"/>
    <w:rsid w:val="00A47884"/>
    <w:rsid w:val="00A51AAE"/>
    <w:rsid w:val="00A51D19"/>
    <w:rsid w:val="00A5293B"/>
    <w:rsid w:val="00A63B22"/>
    <w:rsid w:val="00A64752"/>
    <w:rsid w:val="00A74B28"/>
    <w:rsid w:val="00A76D1F"/>
    <w:rsid w:val="00A86478"/>
    <w:rsid w:val="00A9003C"/>
    <w:rsid w:val="00A913FC"/>
    <w:rsid w:val="00A94792"/>
    <w:rsid w:val="00AA1A6D"/>
    <w:rsid w:val="00AB0984"/>
    <w:rsid w:val="00AB1820"/>
    <w:rsid w:val="00AB2C56"/>
    <w:rsid w:val="00AD206D"/>
    <w:rsid w:val="00AD615D"/>
    <w:rsid w:val="00AE05E7"/>
    <w:rsid w:val="00AE207C"/>
    <w:rsid w:val="00B0322B"/>
    <w:rsid w:val="00B06F36"/>
    <w:rsid w:val="00B10309"/>
    <w:rsid w:val="00B121FB"/>
    <w:rsid w:val="00B22919"/>
    <w:rsid w:val="00B23A05"/>
    <w:rsid w:val="00B37337"/>
    <w:rsid w:val="00B43AC4"/>
    <w:rsid w:val="00B4437C"/>
    <w:rsid w:val="00B501B1"/>
    <w:rsid w:val="00B539D5"/>
    <w:rsid w:val="00B5552A"/>
    <w:rsid w:val="00B555CC"/>
    <w:rsid w:val="00B61005"/>
    <w:rsid w:val="00B666E8"/>
    <w:rsid w:val="00B67EFD"/>
    <w:rsid w:val="00BA4C0C"/>
    <w:rsid w:val="00BB028D"/>
    <w:rsid w:val="00BB59BC"/>
    <w:rsid w:val="00BB5D30"/>
    <w:rsid w:val="00BC2B31"/>
    <w:rsid w:val="00BC6BB9"/>
    <w:rsid w:val="00BD0F67"/>
    <w:rsid w:val="00BD4C20"/>
    <w:rsid w:val="00BD58BD"/>
    <w:rsid w:val="00BD6C89"/>
    <w:rsid w:val="00BE065A"/>
    <w:rsid w:val="00BE6294"/>
    <w:rsid w:val="00BE6312"/>
    <w:rsid w:val="00BF270D"/>
    <w:rsid w:val="00BF5517"/>
    <w:rsid w:val="00BF6FE5"/>
    <w:rsid w:val="00C02A79"/>
    <w:rsid w:val="00C046A2"/>
    <w:rsid w:val="00C2425F"/>
    <w:rsid w:val="00C31A61"/>
    <w:rsid w:val="00C3289F"/>
    <w:rsid w:val="00C40478"/>
    <w:rsid w:val="00C41387"/>
    <w:rsid w:val="00C42178"/>
    <w:rsid w:val="00C43A8B"/>
    <w:rsid w:val="00C45C72"/>
    <w:rsid w:val="00C50F98"/>
    <w:rsid w:val="00C64BA8"/>
    <w:rsid w:val="00C7162C"/>
    <w:rsid w:val="00C745FB"/>
    <w:rsid w:val="00C774E3"/>
    <w:rsid w:val="00C90DB1"/>
    <w:rsid w:val="00C91378"/>
    <w:rsid w:val="00C927AF"/>
    <w:rsid w:val="00C94E8C"/>
    <w:rsid w:val="00C95AB2"/>
    <w:rsid w:val="00C976BC"/>
    <w:rsid w:val="00CA399E"/>
    <w:rsid w:val="00CB01DB"/>
    <w:rsid w:val="00CC06DE"/>
    <w:rsid w:val="00CC62BA"/>
    <w:rsid w:val="00CC7465"/>
    <w:rsid w:val="00CD0754"/>
    <w:rsid w:val="00CF18FD"/>
    <w:rsid w:val="00D01F6F"/>
    <w:rsid w:val="00D14ADE"/>
    <w:rsid w:val="00D20B12"/>
    <w:rsid w:val="00D271DB"/>
    <w:rsid w:val="00D3040C"/>
    <w:rsid w:val="00D41A65"/>
    <w:rsid w:val="00D4712E"/>
    <w:rsid w:val="00D51EA0"/>
    <w:rsid w:val="00D54187"/>
    <w:rsid w:val="00D56DAE"/>
    <w:rsid w:val="00D649CF"/>
    <w:rsid w:val="00D65BB5"/>
    <w:rsid w:val="00D762EE"/>
    <w:rsid w:val="00D96E9D"/>
    <w:rsid w:val="00DA0A06"/>
    <w:rsid w:val="00DB1DAA"/>
    <w:rsid w:val="00DB7700"/>
    <w:rsid w:val="00DC0089"/>
    <w:rsid w:val="00DC5906"/>
    <w:rsid w:val="00DD0DA3"/>
    <w:rsid w:val="00DF74F7"/>
    <w:rsid w:val="00E109BB"/>
    <w:rsid w:val="00E2356A"/>
    <w:rsid w:val="00E24462"/>
    <w:rsid w:val="00E30059"/>
    <w:rsid w:val="00E33344"/>
    <w:rsid w:val="00E34DE8"/>
    <w:rsid w:val="00E40337"/>
    <w:rsid w:val="00E51C4D"/>
    <w:rsid w:val="00E56EB3"/>
    <w:rsid w:val="00E717B8"/>
    <w:rsid w:val="00E8399D"/>
    <w:rsid w:val="00E8473C"/>
    <w:rsid w:val="00E8522C"/>
    <w:rsid w:val="00E85A78"/>
    <w:rsid w:val="00E8654C"/>
    <w:rsid w:val="00E92B0A"/>
    <w:rsid w:val="00E944EA"/>
    <w:rsid w:val="00E97C9A"/>
    <w:rsid w:val="00EB6BB6"/>
    <w:rsid w:val="00EC1328"/>
    <w:rsid w:val="00ED6DEF"/>
    <w:rsid w:val="00EE17D2"/>
    <w:rsid w:val="00EE5573"/>
    <w:rsid w:val="00EF2EBC"/>
    <w:rsid w:val="00EF3861"/>
    <w:rsid w:val="00EF41E7"/>
    <w:rsid w:val="00EF5F71"/>
    <w:rsid w:val="00EF7E28"/>
    <w:rsid w:val="00F045C0"/>
    <w:rsid w:val="00F10A2B"/>
    <w:rsid w:val="00F12730"/>
    <w:rsid w:val="00F21B1C"/>
    <w:rsid w:val="00F31E21"/>
    <w:rsid w:val="00F33AC2"/>
    <w:rsid w:val="00F4438B"/>
    <w:rsid w:val="00F52726"/>
    <w:rsid w:val="00F623D8"/>
    <w:rsid w:val="00F63553"/>
    <w:rsid w:val="00F66625"/>
    <w:rsid w:val="00F7207C"/>
    <w:rsid w:val="00FB174F"/>
    <w:rsid w:val="00FB5094"/>
    <w:rsid w:val="00FB5C8F"/>
    <w:rsid w:val="00FB75DE"/>
    <w:rsid w:val="00FE376C"/>
    <w:rsid w:val="00FE5151"/>
    <w:rsid w:val="00FE7C86"/>
    <w:rsid w:val="00FF109E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59D1-CD5A-4E58-904B-90FF247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Godswell Park, Bloxham</vt:lpstr>
    </vt:vector>
  </TitlesOfParts>
  <Company>Cherwell District Council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Godswell Park, Bloxham</dc:title>
  <dc:creator>Rebecca Horley</dc:creator>
  <cp:lastModifiedBy>Matthew Coyne</cp:lastModifiedBy>
  <cp:revision>10</cp:revision>
  <cp:lastPrinted>2012-07-19T10:56:00Z</cp:lastPrinted>
  <dcterms:created xsi:type="dcterms:W3CDTF">2017-02-22T17:14:00Z</dcterms:created>
  <dcterms:modified xsi:type="dcterms:W3CDTF">2017-03-09T11:22:00Z</dcterms:modified>
</cp:coreProperties>
</file>