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9D32" w14:textId="3E2A1E1B" w:rsidR="00CF0DEE" w:rsidRDefault="00CF0DEE" w:rsidP="001160A3">
      <w:pPr>
        <w:rPr>
          <w:rFonts w:asciiTheme="majorHAnsi" w:hAnsiTheme="majorHAnsi" w:cs="Arial"/>
          <w:b/>
          <w:sz w:val="28"/>
          <w:szCs w:val="28"/>
        </w:rPr>
      </w:pPr>
      <w:r>
        <w:rPr>
          <w:rFonts w:asciiTheme="majorHAnsi" w:hAnsiTheme="majorHAnsi" w:cs="Arial"/>
          <w:b/>
          <w:sz w:val="28"/>
          <w:szCs w:val="28"/>
        </w:rPr>
        <w:t>Heyford Park Phase 6</w:t>
      </w:r>
    </w:p>
    <w:p w14:paraId="70D1BF82" w14:textId="77777777" w:rsidR="00CF0DEE" w:rsidRDefault="00CF0DEE" w:rsidP="001160A3">
      <w:pPr>
        <w:rPr>
          <w:rFonts w:asciiTheme="majorHAnsi" w:hAnsiTheme="majorHAnsi" w:cs="Arial"/>
          <w:b/>
          <w:sz w:val="28"/>
          <w:szCs w:val="28"/>
        </w:rPr>
      </w:pPr>
    </w:p>
    <w:p w14:paraId="28D4B03E" w14:textId="7FDC36AA" w:rsidR="001160A3" w:rsidRPr="00CF0DEE" w:rsidRDefault="001160A3" w:rsidP="001160A3">
      <w:pPr>
        <w:rPr>
          <w:rFonts w:asciiTheme="majorHAnsi" w:hAnsiTheme="majorHAnsi"/>
          <w:sz w:val="28"/>
          <w:szCs w:val="28"/>
        </w:rPr>
      </w:pPr>
      <w:r w:rsidRPr="00CF0DEE">
        <w:rPr>
          <w:rFonts w:asciiTheme="majorHAnsi" w:hAnsiTheme="majorHAnsi" w:cs="Arial"/>
          <w:sz w:val="28"/>
          <w:szCs w:val="28"/>
        </w:rPr>
        <w:t>Demolition of Buildings 485 &amp; 488 &amp; the erection of 43 dwellings with associated parking, infrastructure, landscaping &amp; public open space.</w:t>
      </w:r>
    </w:p>
    <w:p w14:paraId="027A0814" w14:textId="77777777" w:rsidR="001160A3" w:rsidRDefault="001160A3" w:rsidP="001160A3">
      <w:pPr>
        <w:rPr>
          <w:rFonts w:asciiTheme="majorHAnsi" w:hAnsiTheme="majorHAnsi"/>
          <w:sz w:val="28"/>
          <w:szCs w:val="28"/>
        </w:rPr>
      </w:pPr>
    </w:p>
    <w:p w14:paraId="1E949AAB" w14:textId="77777777" w:rsidR="001160A3" w:rsidRDefault="001160A3" w:rsidP="001160A3">
      <w:pPr>
        <w:rPr>
          <w:rFonts w:asciiTheme="majorHAnsi" w:hAnsiTheme="majorHAnsi" w:cs="Helvetica"/>
          <w:sz w:val="28"/>
          <w:szCs w:val="28"/>
        </w:rPr>
      </w:pPr>
      <w:r w:rsidRPr="00124D30">
        <w:rPr>
          <w:rFonts w:asciiTheme="majorHAnsi" w:hAnsiTheme="majorHAnsi"/>
          <w:sz w:val="28"/>
          <w:szCs w:val="28"/>
        </w:rPr>
        <w:t xml:space="preserve">Ref: </w:t>
      </w:r>
      <w:r>
        <w:rPr>
          <w:rFonts w:asciiTheme="majorHAnsi" w:hAnsiTheme="majorHAnsi" w:cs="Helvetica"/>
          <w:sz w:val="28"/>
          <w:szCs w:val="28"/>
        </w:rPr>
        <w:t>16/00263</w:t>
      </w:r>
      <w:r w:rsidRPr="00124D30">
        <w:rPr>
          <w:rFonts w:asciiTheme="majorHAnsi" w:hAnsiTheme="majorHAnsi" w:cs="Helvetica"/>
          <w:sz w:val="28"/>
          <w:szCs w:val="28"/>
        </w:rPr>
        <w:t>/F</w:t>
      </w:r>
    </w:p>
    <w:p w14:paraId="45FE5CD4" w14:textId="77777777" w:rsidR="001160A3" w:rsidRDefault="001160A3" w:rsidP="001160A3">
      <w:pPr>
        <w:rPr>
          <w:rFonts w:asciiTheme="majorHAnsi" w:hAnsiTheme="majorHAnsi" w:cs="Helvetica"/>
          <w:sz w:val="28"/>
          <w:szCs w:val="28"/>
        </w:rPr>
      </w:pPr>
    </w:p>
    <w:p w14:paraId="4A3BFF2A" w14:textId="77777777" w:rsidR="001160A3" w:rsidRPr="00124D30" w:rsidRDefault="001160A3" w:rsidP="001160A3">
      <w:pPr>
        <w:rPr>
          <w:rFonts w:asciiTheme="majorHAnsi" w:hAnsiTheme="majorHAnsi"/>
          <w:b/>
          <w:sz w:val="28"/>
          <w:szCs w:val="28"/>
        </w:rPr>
      </w:pPr>
      <w:r>
        <w:rPr>
          <w:rFonts w:asciiTheme="majorHAnsi" w:hAnsiTheme="majorHAnsi" w:cs="Helvetica"/>
          <w:sz w:val="28"/>
          <w:szCs w:val="28"/>
        </w:rPr>
        <w:t>Urban Design Comments - 12 April</w:t>
      </w:r>
      <w:r w:rsidRPr="001402B3">
        <w:rPr>
          <w:rFonts w:asciiTheme="majorHAnsi" w:hAnsiTheme="majorHAnsi" w:cs="Helvetica"/>
          <w:sz w:val="28"/>
          <w:szCs w:val="28"/>
        </w:rPr>
        <w:t xml:space="preserve"> 2016</w:t>
      </w:r>
    </w:p>
    <w:p w14:paraId="7AB8D967" w14:textId="77777777" w:rsidR="005C25AD" w:rsidRDefault="005C25AD" w:rsidP="001160A3"/>
    <w:p w14:paraId="65D4AA52" w14:textId="78D376A2" w:rsidR="009A415C" w:rsidRPr="000941B2" w:rsidRDefault="00491D10" w:rsidP="001160A3">
      <w:pPr>
        <w:rPr>
          <w:rFonts w:asciiTheme="majorHAnsi" w:hAnsiTheme="majorHAnsi"/>
          <w:b/>
        </w:rPr>
      </w:pPr>
      <w:r w:rsidRPr="009A415C">
        <w:rPr>
          <w:rFonts w:asciiTheme="majorHAnsi" w:hAnsiTheme="majorHAnsi"/>
          <w:b/>
        </w:rPr>
        <w:t xml:space="preserve">Proposed Demolition </w:t>
      </w:r>
    </w:p>
    <w:p w14:paraId="2A96EACD" w14:textId="77777777" w:rsidR="00491D10" w:rsidRDefault="001160A3" w:rsidP="001160A3">
      <w:pPr>
        <w:rPr>
          <w:rFonts w:asciiTheme="majorHAnsi" w:hAnsiTheme="majorHAnsi"/>
        </w:rPr>
      </w:pPr>
      <w:r w:rsidRPr="001160A3">
        <w:rPr>
          <w:rFonts w:asciiTheme="majorHAnsi" w:hAnsiTheme="majorHAnsi"/>
        </w:rPr>
        <w:t xml:space="preserve">The proposed demolition of </w:t>
      </w:r>
      <w:r w:rsidR="00AF41F1">
        <w:rPr>
          <w:rFonts w:asciiTheme="majorHAnsi" w:hAnsiTheme="majorHAnsi"/>
        </w:rPr>
        <w:t xml:space="preserve">buildings 485 and 488 is regrettable particularly as a building similar to building </w:t>
      </w:r>
      <w:r w:rsidR="00ED5B0F">
        <w:rPr>
          <w:rFonts w:asciiTheme="majorHAnsi" w:hAnsiTheme="majorHAnsi"/>
        </w:rPr>
        <w:t xml:space="preserve">488 has been converted so </w:t>
      </w:r>
      <w:r w:rsidR="00491D10">
        <w:rPr>
          <w:rFonts w:asciiTheme="majorHAnsi" w:hAnsiTheme="majorHAnsi"/>
        </w:rPr>
        <w:t xml:space="preserve">apparently </w:t>
      </w:r>
      <w:r w:rsidR="00ED5B0F">
        <w:rPr>
          <w:rFonts w:asciiTheme="majorHAnsi" w:hAnsiTheme="majorHAnsi"/>
        </w:rPr>
        <w:t xml:space="preserve">successfully at the Garden Quarter in Bicester.  </w:t>
      </w:r>
    </w:p>
    <w:p w14:paraId="7ABA7A3C" w14:textId="77777777" w:rsidR="00491D10" w:rsidRDefault="00491D10" w:rsidP="001160A3">
      <w:pPr>
        <w:rPr>
          <w:rFonts w:asciiTheme="majorHAnsi" w:hAnsiTheme="majorHAnsi"/>
        </w:rPr>
      </w:pPr>
    </w:p>
    <w:p w14:paraId="5EF03FBD" w14:textId="4CF19543" w:rsidR="00491D10" w:rsidRDefault="00ED5B0F" w:rsidP="001160A3">
      <w:pPr>
        <w:rPr>
          <w:rFonts w:asciiTheme="majorHAnsi" w:hAnsiTheme="majorHAnsi"/>
        </w:rPr>
      </w:pPr>
      <w:r>
        <w:rPr>
          <w:rFonts w:asciiTheme="majorHAnsi" w:hAnsiTheme="majorHAnsi"/>
        </w:rPr>
        <w:t>These survivors of the historic use of the site sh</w:t>
      </w:r>
      <w:r w:rsidR="00653C5F">
        <w:rPr>
          <w:rFonts w:asciiTheme="majorHAnsi" w:hAnsiTheme="majorHAnsi"/>
        </w:rPr>
        <w:t xml:space="preserve">ould be seen as </w:t>
      </w:r>
      <w:r w:rsidR="00403F9C">
        <w:rPr>
          <w:rFonts w:asciiTheme="majorHAnsi" w:hAnsiTheme="majorHAnsi"/>
        </w:rPr>
        <w:t>assets that</w:t>
      </w:r>
      <w:r w:rsidR="00653C5F">
        <w:rPr>
          <w:rFonts w:asciiTheme="majorHAnsi" w:hAnsiTheme="majorHAnsi"/>
        </w:rPr>
        <w:t xml:space="preserve"> </w:t>
      </w:r>
      <w:r>
        <w:rPr>
          <w:rFonts w:asciiTheme="majorHAnsi" w:hAnsiTheme="majorHAnsi"/>
        </w:rPr>
        <w:t>contribute to historic context and sense</w:t>
      </w:r>
      <w:r w:rsidR="00653C5F">
        <w:rPr>
          <w:rFonts w:asciiTheme="majorHAnsi" w:hAnsiTheme="majorHAnsi"/>
        </w:rPr>
        <w:t xml:space="preserve"> of place and aid legibility. </w:t>
      </w:r>
    </w:p>
    <w:p w14:paraId="41CA1DE3" w14:textId="77777777" w:rsidR="00491D10" w:rsidRDefault="00491D10" w:rsidP="001160A3">
      <w:pPr>
        <w:rPr>
          <w:rFonts w:asciiTheme="majorHAnsi" w:hAnsiTheme="majorHAnsi"/>
        </w:rPr>
      </w:pPr>
    </w:p>
    <w:p w14:paraId="01E95A58" w14:textId="6AF80780" w:rsidR="001160A3" w:rsidRDefault="00653C5F" w:rsidP="001160A3">
      <w:pPr>
        <w:rPr>
          <w:rFonts w:asciiTheme="majorHAnsi" w:hAnsiTheme="majorHAnsi"/>
        </w:rPr>
      </w:pPr>
      <w:r>
        <w:rPr>
          <w:rFonts w:asciiTheme="majorHAnsi" w:hAnsiTheme="majorHAnsi"/>
        </w:rPr>
        <w:t xml:space="preserve">Irrespective of their heritage significance retention of one or both buildings is desirable to provide </w:t>
      </w:r>
      <w:r w:rsidR="00ED5B0F">
        <w:rPr>
          <w:rFonts w:asciiTheme="majorHAnsi" w:hAnsiTheme="majorHAnsi"/>
        </w:rPr>
        <w:t xml:space="preserve">interest </w:t>
      </w:r>
      <w:r>
        <w:rPr>
          <w:rFonts w:asciiTheme="majorHAnsi" w:hAnsiTheme="majorHAnsi"/>
        </w:rPr>
        <w:t xml:space="preserve">and help differentiate and add interest to a fairly homogeneous form of development beyond the distinctive character </w:t>
      </w:r>
      <w:r w:rsidR="00403F9C">
        <w:rPr>
          <w:rFonts w:asciiTheme="majorHAnsi" w:hAnsiTheme="majorHAnsi"/>
        </w:rPr>
        <w:t>of the buildings around the green.</w:t>
      </w:r>
    </w:p>
    <w:p w14:paraId="4844A360" w14:textId="77777777" w:rsidR="00403F9C" w:rsidRDefault="00403F9C" w:rsidP="001160A3">
      <w:pPr>
        <w:rPr>
          <w:rFonts w:asciiTheme="majorHAnsi" w:hAnsiTheme="majorHAnsi"/>
        </w:rPr>
      </w:pPr>
    </w:p>
    <w:p w14:paraId="0C3C66AE" w14:textId="45B76A3E" w:rsidR="00403F9C" w:rsidRDefault="00403F9C" w:rsidP="001160A3">
      <w:pPr>
        <w:rPr>
          <w:rFonts w:asciiTheme="majorHAnsi" w:hAnsiTheme="majorHAnsi"/>
        </w:rPr>
      </w:pPr>
      <w:r>
        <w:rPr>
          <w:rFonts w:asciiTheme="majorHAnsi" w:hAnsiTheme="majorHAnsi"/>
        </w:rPr>
        <w:t>I would urge the applicant to reconsider refurbishment of these building and if not both then 488 in particular.</w:t>
      </w:r>
    </w:p>
    <w:p w14:paraId="28739BE0" w14:textId="77777777" w:rsidR="00403F9C" w:rsidRDefault="00403F9C" w:rsidP="001160A3">
      <w:pPr>
        <w:rPr>
          <w:rFonts w:asciiTheme="majorHAnsi" w:hAnsiTheme="majorHAnsi"/>
        </w:rPr>
      </w:pPr>
    </w:p>
    <w:p w14:paraId="757BB7AB" w14:textId="637B0ECC" w:rsidR="00403F9C" w:rsidRDefault="00403F9C" w:rsidP="001160A3">
      <w:pPr>
        <w:rPr>
          <w:rFonts w:asciiTheme="majorHAnsi" w:hAnsiTheme="majorHAnsi"/>
          <w:b/>
        </w:rPr>
      </w:pPr>
      <w:r>
        <w:rPr>
          <w:rFonts w:asciiTheme="majorHAnsi" w:hAnsiTheme="majorHAnsi"/>
          <w:b/>
        </w:rPr>
        <w:t>Distinction and Legibility</w:t>
      </w:r>
    </w:p>
    <w:p w14:paraId="18FDB5B0" w14:textId="26420632" w:rsidR="00403F9C" w:rsidRDefault="00403F9C" w:rsidP="001160A3">
      <w:pPr>
        <w:rPr>
          <w:rFonts w:asciiTheme="majorHAnsi" w:hAnsiTheme="majorHAnsi"/>
        </w:rPr>
      </w:pPr>
      <w:r>
        <w:rPr>
          <w:rFonts w:asciiTheme="majorHAnsi" w:hAnsiTheme="majorHAnsi"/>
        </w:rPr>
        <w:t>If loss of buildings 485 and 488 is approved then the applicant should be asked to consider compensatory introduction of a one or two distinctive ‘rogue’ buildings as incidents to relieve the homogeneity of much of the development and to aid legibility.  Such buildings should be distinctive one-off designs.</w:t>
      </w:r>
    </w:p>
    <w:p w14:paraId="6724FB8A" w14:textId="77777777" w:rsidR="00CB4DCC" w:rsidRDefault="00CB4DCC" w:rsidP="001160A3">
      <w:pPr>
        <w:rPr>
          <w:rFonts w:asciiTheme="majorHAnsi" w:hAnsiTheme="majorHAnsi"/>
        </w:rPr>
      </w:pPr>
    </w:p>
    <w:p w14:paraId="2536FF2A" w14:textId="02F3A252" w:rsidR="00CB4DCC" w:rsidRPr="000941B2" w:rsidRDefault="00CB4DCC" w:rsidP="001160A3">
      <w:pPr>
        <w:rPr>
          <w:rFonts w:asciiTheme="majorHAnsi" w:hAnsiTheme="majorHAnsi"/>
        </w:rPr>
      </w:pPr>
      <w:r>
        <w:rPr>
          <w:rFonts w:asciiTheme="majorHAnsi" w:hAnsiTheme="majorHAnsi"/>
          <w:b/>
        </w:rPr>
        <w:t>House Types</w:t>
      </w:r>
    </w:p>
    <w:p w14:paraId="49E7C613" w14:textId="76E4FC25" w:rsidR="00CB4DCC" w:rsidRDefault="00CB4DCC" w:rsidP="001160A3">
      <w:pPr>
        <w:rPr>
          <w:rFonts w:asciiTheme="majorHAnsi" w:hAnsiTheme="majorHAnsi"/>
        </w:rPr>
      </w:pPr>
      <w:r>
        <w:rPr>
          <w:rFonts w:asciiTheme="majorHAnsi" w:hAnsiTheme="majorHAnsi"/>
        </w:rPr>
        <w:t xml:space="preserve">House type SP1-V2 has </w:t>
      </w:r>
      <w:r w:rsidR="000941B2">
        <w:rPr>
          <w:rFonts w:asciiTheme="majorHAnsi" w:hAnsiTheme="majorHAnsi"/>
        </w:rPr>
        <w:t xml:space="preserve">poor proportions with a tall roof and too much unbroken space between the first floor window heads and the eaves. </w:t>
      </w:r>
    </w:p>
    <w:p w14:paraId="39ACC5EE" w14:textId="77777777" w:rsidR="00CF0DEE" w:rsidRDefault="00CF0DEE" w:rsidP="001160A3">
      <w:pPr>
        <w:rPr>
          <w:rFonts w:asciiTheme="majorHAnsi" w:hAnsiTheme="majorHAnsi"/>
        </w:rPr>
      </w:pPr>
    </w:p>
    <w:p w14:paraId="3431FDEC" w14:textId="6C92C8B2" w:rsidR="00CF0DEE" w:rsidRPr="00CB4DCC" w:rsidRDefault="00E53058" w:rsidP="001160A3">
      <w:pPr>
        <w:rPr>
          <w:rFonts w:asciiTheme="majorHAnsi" w:hAnsiTheme="majorHAnsi"/>
        </w:rPr>
      </w:pPr>
      <w:r>
        <w:rPr>
          <w:rFonts w:asciiTheme="majorHAnsi" w:hAnsiTheme="majorHAnsi"/>
        </w:rPr>
        <w:t xml:space="preserve">All traditional form houses should have chimneys or flues punctuating their roofline. The affordable housing in particular should not be distinguishable by lack of chimneys. </w:t>
      </w:r>
    </w:p>
    <w:p w14:paraId="5BA69C3F" w14:textId="77777777" w:rsidR="00CB4DCC" w:rsidRDefault="00CB4DCC" w:rsidP="001160A3">
      <w:pPr>
        <w:rPr>
          <w:rFonts w:asciiTheme="majorHAnsi" w:hAnsiTheme="majorHAnsi"/>
          <w:b/>
        </w:rPr>
      </w:pPr>
    </w:p>
    <w:p w14:paraId="1F3529D0" w14:textId="57A6E114" w:rsidR="000941B2" w:rsidRDefault="000941B2" w:rsidP="001160A3">
      <w:pPr>
        <w:rPr>
          <w:rFonts w:asciiTheme="majorHAnsi" w:hAnsiTheme="majorHAnsi"/>
          <w:b/>
        </w:rPr>
      </w:pPr>
      <w:r>
        <w:rPr>
          <w:rFonts w:asciiTheme="majorHAnsi" w:hAnsiTheme="majorHAnsi"/>
          <w:b/>
        </w:rPr>
        <w:t>Street Scenes</w:t>
      </w:r>
    </w:p>
    <w:p w14:paraId="5591C995" w14:textId="1ADEDB66" w:rsidR="000941B2" w:rsidRPr="000941B2" w:rsidRDefault="00E53058" w:rsidP="001160A3">
      <w:pPr>
        <w:rPr>
          <w:rFonts w:asciiTheme="majorHAnsi" w:hAnsiTheme="majorHAnsi"/>
        </w:rPr>
      </w:pPr>
      <w:r>
        <w:rPr>
          <w:rFonts w:asciiTheme="majorHAnsi" w:hAnsiTheme="majorHAnsi"/>
        </w:rPr>
        <w:t>Not all streets scenes are covered by the submitted plans</w:t>
      </w:r>
      <w:r w:rsidR="000941B2" w:rsidRPr="000941B2">
        <w:rPr>
          <w:rFonts w:asciiTheme="majorHAnsi" w:hAnsiTheme="majorHAnsi"/>
        </w:rPr>
        <w:t>.</w:t>
      </w:r>
    </w:p>
    <w:p w14:paraId="1B90DB2E" w14:textId="77777777" w:rsidR="000941B2" w:rsidRDefault="000941B2" w:rsidP="001160A3">
      <w:pPr>
        <w:rPr>
          <w:rFonts w:asciiTheme="majorHAnsi" w:hAnsiTheme="majorHAnsi"/>
          <w:b/>
        </w:rPr>
      </w:pPr>
    </w:p>
    <w:p w14:paraId="695BA732" w14:textId="3815AC70" w:rsidR="000D223D" w:rsidRPr="000D223D" w:rsidRDefault="000D223D" w:rsidP="001160A3">
      <w:pPr>
        <w:rPr>
          <w:rFonts w:asciiTheme="majorHAnsi" w:hAnsiTheme="majorHAnsi"/>
          <w:b/>
        </w:rPr>
      </w:pPr>
      <w:r w:rsidRPr="000D223D">
        <w:rPr>
          <w:rFonts w:asciiTheme="majorHAnsi" w:hAnsiTheme="majorHAnsi"/>
          <w:b/>
        </w:rPr>
        <w:t>Sub-Station</w:t>
      </w:r>
    </w:p>
    <w:p w14:paraId="582FCE0C" w14:textId="1A077D4B" w:rsidR="00403F9C" w:rsidRPr="00E53058" w:rsidRDefault="000D223D" w:rsidP="001160A3">
      <w:pPr>
        <w:rPr>
          <w:rFonts w:asciiTheme="majorHAnsi" w:hAnsiTheme="majorHAnsi"/>
        </w:rPr>
      </w:pPr>
      <w:r>
        <w:rPr>
          <w:rFonts w:asciiTheme="majorHAnsi" w:hAnsiTheme="majorHAnsi"/>
        </w:rPr>
        <w:t>Although the sub-station is not part of this application its prominence in the street needs to be considered in relation to whether there needs to be any mitigation of its visual impact within this development.</w:t>
      </w:r>
    </w:p>
    <w:p w14:paraId="6508CCC6" w14:textId="77777777" w:rsidR="00E53058" w:rsidRDefault="00E53058" w:rsidP="001160A3">
      <w:pPr>
        <w:rPr>
          <w:rFonts w:asciiTheme="majorHAnsi" w:hAnsiTheme="majorHAnsi"/>
          <w:b/>
        </w:rPr>
      </w:pPr>
    </w:p>
    <w:p w14:paraId="706FACEE" w14:textId="32850BF2" w:rsidR="00403F9C" w:rsidRPr="00A3441E" w:rsidRDefault="00403F9C" w:rsidP="001160A3">
      <w:pPr>
        <w:rPr>
          <w:rFonts w:asciiTheme="majorHAnsi" w:hAnsiTheme="majorHAnsi"/>
        </w:rPr>
      </w:pPr>
      <w:r>
        <w:rPr>
          <w:rFonts w:asciiTheme="majorHAnsi" w:hAnsiTheme="majorHAnsi"/>
          <w:b/>
        </w:rPr>
        <w:t>Parking</w:t>
      </w:r>
      <w:r>
        <w:rPr>
          <w:rFonts w:asciiTheme="majorHAnsi" w:hAnsiTheme="majorHAnsi"/>
        </w:rPr>
        <w:t xml:space="preserve"> </w:t>
      </w:r>
    </w:p>
    <w:p w14:paraId="233D1CC0" w14:textId="50BA25A9" w:rsidR="00A3441E" w:rsidRDefault="00403F9C" w:rsidP="00A3441E">
      <w:pPr>
        <w:rPr>
          <w:rFonts w:asciiTheme="majorHAnsi" w:hAnsiTheme="majorHAnsi" w:cs="Times New Roman"/>
          <w:lang w:val="en-GB"/>
        </w:rPr>
      </w:pPr>
      <w:r w:rsidRPr="00A3441E">
        <w:rPr>
          <w:rFonts w:asciiTheme="majorHAnsi" w:hAnsiTheme="majorHAnsi"/>
        </w:rPr>
        <w:t>Although tandem parking has been</w:t>
      </w:r>
      <w:r w:rsidR="00A3441E" w:rsidRPr="00A3441E">
        <w:rPr>
          <w:rFonts w:asciiTheme="majorHAnsi" w:hAnsiTheme="majorHAnsi"/>
        </w:rPr>
        <w:t xml:space="preserve"> approved elsewhere on the Heyford Park development</w:t>
      </w:r>
      <w:r w:rsidRPr="00A3441E">
        <w:rPr>
          <w:rFonts w:asciiTheme="majorHAnsi" w:hAnsiTheme="majorHAnsi"/>
        </w:rPr>
        <w:t xml:space="preserve"> it is inconvenient for users and tends to lead to more par</w:t>
      </w:r>
      <w:r w:rsidR="00E53058">
        <w:rPr>
          <w:rFonts w:asciiTheme="majorHAnsi" w:hAnsiTheme="majorHAnsi"/>
        </w:rPr>
        <w:t>king on the carriageway or half-on half-</w:t>
      </w:r>
      <w:r w:rsidRPr="00A3441E">
        <w:rPr>
          <w:rFonts w:asciiTheme="majorHAnsi" w:hAnsiTheme="majorHAnsi"/>
        </w:rPr>
        <w:t xml:space="preserve">off footways.  I note that only two </w:t>
      </w:r>
      <w:r w:rsidR="00122A26" w:rsidRPr="00A3441E">
        <w:rPr>
          <w:rFonts w:asciiTheme="majorHAnsi" w:hAnsiTheme="majorHAnsi"/>
        </w:rPr>
        <w:t xml:space="preserve">on street visitor parking </w:t>
      </w:r>
      <w:r w:rsidR="00122A26" w:rsidRPr="00A3441E">
        <w:rPr>
          <w:rFonts w:asciiTheme="majorHAnsi" w:hAnsiTheme="majorHAnsi"/>
        </w:rPr>
        <w:lastRenderedPageBreak/>
        <w:t xml:space="preserve">bays have been designed into the layout. </w:t>
      </w:r>
      <w:r w:rsidR="00A3441E" w:rsidRPr="00A3441E">
        <w:rPr>
          <w:rFonts w:asciiTheme="majorHAnsi" w:hAnsiTheme="majorHAnsi"/>
        </w:rPr>
        <w:t xml:space="preserve">The ‘Space to Park’ - URBED / University of Edinburgh / Design for Homes 2013 study recommended that </w:t>
      </w:r>
      <w:r w:rsidR="00A3441E" w:rsidRPr="00A3441E">
        <w:rPr>
          <w:rFonts w:asciiTheme="majorHAnsi" w:hAnsiTheme="majorHAnsi" w:cs="Times New Roman"/>
          <w:lang w:val="en-GB"/>
        </w:rPr>
        <w:t>‘The number of unallocated spaces should at least be 20% in addition to the allocated spaces</w:t>
      </w:r>
      <w:r w:rsidR="00251670">
        <w:rPr>
          <w:rFonts w:asciiTheme="majorHAnsi" w:hAnsiTheme="majorHAnsi" w:cs="Times New Roman"/>
          <w:lang w:val="en-GB"/>
        </w:rPr>
        <w:t>’</w:t>
      </w:r>
      <w:r w:rsidR="00A3441E">
        <w:rPr>
          <w:rFonts w:asciiTheme="majorHAnsi" w:hAnsiTheme="majorHAnsi" w:cs="Times New Roman"/>
          <w:lang w:val="en-GB"/>
        </w:rPr>
        <w:t>.</w:t>
      </w:r>
    </w:p>
    <w:p w14:paraId="4E982A2C" w14:textId="77777777" w:rsidR="00A3441E" w:rsidRDefault="00A3441E" w:rsidP="00A3441E">
      <w:pPr>
        <w:rPr>
          <w:rFonts w:asciiTheme="majorHAnsi" w:hAnsiTheme="majorHAnsi" w:cs="Times New Roman"/>
          <w:lang w:val="en-GB"/>
        </w:rPr>
      </w:pPr>
    </w:p>
    <w:p w14:paraId="7B1A1C0C" w14:textId="0F535BDE" w:rsidR="00251670" w:rsidRDefault="00251670" w:rsidP="00A3441E">
      <w:pPr>
        <w:rPr>
          <w:rFonts w:asciiTheme="majorHAnsi" w:hAnsiTheme="majorHAnsi" w:cs="Times New Roman"/>
          <w:lang w:val="en-GB"/>
        </w:rPr>
      </w:pPr>
      <w:r>
        <w:rPr>
          <w:rFonts w:asciiTheme="majorHAnsi" w:hAnsiTheme="majorHAnsi" w:cs="Times New Roman"/>
          <w:lang w:val="en-GB"/>
        </w:rPr>
        <w:t xml:space="preserve">On-plot parking between some buildings does not appear to be </w:t>
      </w:r>
      <w:r w:rsidR="00E53058">
        <w:rPr>
          <w:rFonts w:asciiTheme="majorHAnsi" w:hAnsiTheme="majorHAnsi" w:cs="Times New Roman"/>
          <w:lang w:val="en-GB"/>
        </w:rPr>
        <w:t xml:space="preserve">well </w:t>
      </w:r>
      <w:r>
        <w:rPr>
          <w:rFonts w:asciiTheme="majorHAnsi" w:hAnsiTheme="majorHAnsi" w:cs="Times New Roman"/>
          <w:lang w:val="en-GB"/>
        </w:rPr>
        <w:t xml:space="preserve">overlooked from the </w:t>
      </w:r>
      <w:r w:rsidR="00E53058">
        <w:rPr>
          <w:rFonts w:asciiTheme="majorHAnsi" w:hAnsiTheme="majorHAnsi" w:cs="Times New Roman"/>
          <w:lang w:val="en-GB"/>
        </w:rPr>
        <w:t xml:space="preserve">adjacent </w:t>
      </w:r>
      <w:r>
        <w:rPr>
          <w:rFonts w:asciiTheme="majorHAnsi" w:hAnsiTheme="majorHAnsi" w:cs="Times New Roman"/>
          <w:lang w:val="en-GB"/>
        </w:rPr>
        <w:t>houses e.g. plots 338-340.</w:t>
      </w:r>
    </w:p>
    <w:p w14:paraId="33B2F44B" w14:textId="77777777" w:rsidR="00251670" w:rsidRDefault="00251670" w:rsidP="00A3441E">
      <w:pPr>
        <w:rPr>
          <w:rFonts w:asciiTheme="majorHAnsi" w:hAnsiTheme="majorHAnsi" w:cs="Times New Roman"/>
          <w:lang w:val="en-GB"/>
        </w:rPr>
      </w:pPr>
    </w:p>
    <w:p w14:paraId="76625E98" w14:textId="7048B995" w:rsidR="00251670" w:rsidRDefault="00251670" w:rsidP="00A3441E">
      <w:pPr>
        <w:rPr>
          <w:rFonts w:asciiTheme="majorHAnsi" w:hAnsiTheme="majorHAnsi" w:cs="Times New Roman"/>
          <w:lang w:val="en-GB"/>
        </w:rPr>
      </w:pPr>
      <w:r>
        <w:rPr>
          <w:rFonts w:asciiTheme="majorHAnsi" w:hAnsiTheme="majorHAnsi" w:cs="Times New Roman"/>
          <w:lang w:val="en-GB"/>
        </w:rPr>
        <w:t>Parking bays for plots 329 &amp; 330 have fairly poor surveillance which should be improved.</w:t>
      </w:r>
    </w:p>
    <w:p w14:paraId="7740AFA5" w14:textId="77777777" w:rsidR="00251670" w:rsidRDefault="00251670" w:rsidP="00A3441E">
      <w:pPr>
        <w:rPr>
          <w:rFonts w:asciiTheme="majorHAnsi" w:hAnsiTheme="majorHAnsi" w:cs="Times New Roman"/>
          <w:b/>
          <w:lang w:val="en-GB"/>
        </w:rPr>
      </w:pPr>
    </w:p>
    <w:p w14:paraId="41CEBFE4" w14:textId="3E96B553" w:rsidR="00E52D2E" w:rsidRPr="00A3441E" w:rsidRDefault="00A3441E" w:rsidP="00A3441E">
      <w:pPr>
        <w:rPr>
          <w:rFonts w:asciiTheme="majorHAnsi" w:hAnsiTheme="majorHAnsi"/>
          <w:b/>
        </w:rPr>
      </w:pPr>
      <w:r w:rsidRPr="00A3441E">
        <w:rPr>
          <w:rFonts w:asciiTheme="majorHAnsi" w:hAnsiTheme="majorHAnsi" w:cs="Times New Roman"/>
          <w:b/>
          <w:lang w:val="en-GB"/>
        </w:rPr>
        <w:t xml:space="preserve">Trees </w:t>
      </w:r>
    </w:p>
    <w:p w14:paraId="44A28A19" w14:textId="1F8A4B4D" w:rsidR="00E52D2E" w:rsidRDefault="00276F55" w:rsidP="001160A3">
      <w:pPr>
        <w:rPr>
          <w:rFonts w:asciiTheme="majorHAnsi" w:hAnsiTheme="majorHAnsi"/>
        </w:rPr>
      </w:pPr>
      <w:r>
        <w:rPr>
          <w:rFonts w:asciiTheme="majorHAnsi" w:hAnsiTheme="majorHAnsi"/>
        </w:rPr>
        <w:t>A few</w:t>
      </w:r>
      <w:r w:rsidR="00A3441E">
        <w:rPr>
          <w:rFonts w:asciiTheme="majorHAnsi" w:hAnsiTheme="majorHAnsi"/>
        </w:rPr>
        <w:t xml:space="preserve"> of the proposed </w:t>
      </w:r>
      <w:r>
        <w:rPr>
          <w:rFonts w:asciiTheme="majorHAnsi" w:hAnsiTheme="majorHAnsi"/>
        </w:rPr>
        <w:t xml:space="preserve">new trees </w:t>
      </w:r>
      <w:r w:rsidR="00A3441E">
        <w:rPr>
          <w:rFonts w:asciiTheme="majorHAnsi" w:hAnsiTheme="majorHAnsi"/>
        </w:rPr>
        <w:t>appear</w:t>
      </w:r>
      <w:r>
        <w:rPr>
          <w:rFonts w:asciiTheme="majorHAnsi" w:hAnsiTheme="majorHAnsi"/>
        </w:rPr>
        <w:t xml:space="preserve"> to be located in impractical locations </w:t>
      </w:r>
      <w:r w:rsidR="00251670">
        <w:rPr>
          <w:rFonts w:asciiTheme="majorHAnsi" w:hAnsiTheme="majorHAnsi"/>
        </w:rPr>
        <w:t>i.e.</w:t>
      </w:r>
      <w:r>
        <w:rPr>
          <w:rFonts w:asciiTheme="majorHAnsi" w:hAnsiTheme="majorHAnsi"/>
        </w:rPr>
        <w:t xml:space="preserve"> fronting plots 301, 304 &amp; 307.</w:t>
      </w:r>
    </w:p>
    <w:p w14:paraId="5F4B79A1" w14:textId="77777777" w:rsidR="00276F55" w:rsidRDefault="00276F55" w:rsidP="001160A3">
      <w:pPr>
        <w:rPr>
          <w:rFonts w:asciiTheme="majorHAnsi" w:hAnsiTheme="majorHAnsi"/>
        </w:rPr>
      </w:pPr>
    </w:p>
    <w:p w14:paraId="6D85FA30" w14:textId="150EF00E" w:rsidR="00276F55" w:rsidRDefault="00276F55" w:rsidP="001160A3">
      <w:pPr>
        <w:rPr>
          <w:rFonts w:asciiTheme="majorHAnsi" w:hAnsiTheme="majorHAnsi"/>
        </w:rPr>
      </w:pPr>
      <w:r>
        <w:rPr>
          <w:rFonts w:asciiTheme="majorHAnsi" w:hAnsiTheme="majorHAnsi"/>
        </w:rPr>
        <w:t>There appears to be room for some additional street trees</w:t>
      </w:r>
      <w:r w:rsidR="00D7226C">
        <w:rPr>
          <w:rFonts w:asciiTheme="majorHAnsi" w:hAnsiTheme="majorHAnsi"/>
        </w:rPr>
        <w:t>:</w:t>
      </w:r>
    </w:p>
    <w:p w14:paraId="34615537" w14:textId="77777777" w:rsidR="00D7226C" w:rsidRDefault="00D7226C" w:rsidP="001160A3">
      <w:pPr>
        <w:rPr>
          <w:rFonts w:asciiTheme="majorHAnsi" w:hAnsiTheme="majorHAnsi"/>
        </w:rPr>
      </w:pPr>
    </w:p>
    <w:p w14:paraId="791C1117" w14:textId="50DCA95D" w:rsidR="00D7226C" w:rsidRDefault="00D7226C" w:rsidP="00D7226C">
      <w:pPr>
        <w:pStyle w:val="ListParagraph"/>
        <w:numPr>
          <w:ilvl w:val="0"/>
          <w:numId w:val="2"/>
        </w:numPr>
        <w:rPr>
          <w:rFonts w:asciiTheme="majorHAnsi" w:hAnsiTheme="majorHAnsi"/>
        </w:rPr>
      </w:pPr>
      <w:r>
        <w:rPr>
          <w:rFonts w:asciiTheme="majorHAnsi" w:hAnsiTheme="majorHAnsi"/>
        </w:rPr>
        <w:t>Adjacent to the side wall of the rear garden of plot 317.</w:t>
      </w:r>
    </w:p>
    <w:p w14:paraId="3C5A2D80" w14:textId="09D8B389" w:rsidR="00D7226C" w:rsidRDefault="00D7226C" w:rsidP="00D7226C">
      <w:pPr>
        <w:pStyle w:val="ListParagraph"/>
        <w:numPr>
          <w:ilvl w:val="0"/>
          <w:numId w:val="2"/>
        </w:numPr>
        <w:rPr>
          <w:rFonts w:asciiTheme="majorHAnsi" w:hAnsiTheme="majorHAnsi"/>
        </w:rPr>
      </w:pPr>
      <w:r>
        <w:rPr>
          <w:rFonts w:asciiTheme="majorHAnsi" w:hAnsiTheme="majorHAnsi"/>
        </w:rPr>
        <w:t>In front of plot 341</w:t>
      </w:r>
    </w:p>
    <w:p w14:paraId="6F4A20C9" w14:textId="34216DE0" w:rsidR="00D7226C" w:rsidRDefault="00D7226C" w:rsidP="00D7226C">
      <w:pPr>
        <w:pStyle w:val="ListParagraph"/>
        <w:numPr>
          <w:ilvl w:val="0"/>
          <w:numId w:val="2"/>
        </w:numPr>
        <w:rPr>
          <w:rFonts w:asciiTheme="majorHAnsi" w:hAnsiTheme="majorHAnsi"/>
        </w:rPr>
      </w:pPr>
      <w:r>
        <w:rPr>
          <w:rFonts w:asciiTheme="majorHAnsi" w:hAnsiTheme="majorHAnsi"/>
        </w:rPr>
        <w:t>In front of plot 313</w:t>
      </w:r>
    </w:p>
    <w:p w14:paraId="06C1D43D" w14:textId="77777777" w:rsidR="00D7226C" w:rsidRDefault="00D7226C" w:rsidP="00D7226C">
      <w:pPr>
        <w:pStyle w:val="ListParagraph"/>
        <w:numPr>
          <w:ilvl w:val="0"/>
          <w:numId w:val="2"/>
        </w:numPr>
        <w:rPr>
          <w:rFonts w:asciiTheme="majorHAnsi" w:hAnsiTheme="majorHAnsi"/>
        </w:rPr>
      </w:pPr>
      <w:r>
        <w:rPr>
          <w:rFonts w:asciiTheme="majorHAnsi" w:hAnsiTheme="majorHAnsi"/>
        </w:rPr>
        <w:t>Adjacent to parking bay 310</w:t>
      </w:r>
    </w:p>
    <w:p w14:paraId="0180EABE" w14:textId="0F625D8C" w:rsidR="00D7226C" w:rsidRDefault="00D7226C" w:rsidP="00D7226C">
      <w:pPr>
        <w:pStyle w:val="ListParagraph"/>
        <w:numPr>
          <w:ilvl w:val="0"/>
          <w:numId w:val="2"/>
        </w:numPr>
        <w:rPr>
          <w:rFonts w:asciiTheme="majorHAnsi" w:hAnsiTheme="majorHAnsi"/>
        </w:rPr>
      </w:pPr>
      <w:r>
        <w:rPr>
          <w:rFonts w:asciiTheme="majorHAnsi" w:hAnsiTheme="majorHAnsi"/>
        </w:rPr>
        <w:t xml:space="preserve">Adjacent to the visitor parking spaces </w:t>
      </w:r>
    </w:p>
    <w:p w14:paraId="7E4462AB" w14:textId="77777777" w:rsidR="00AA0A47" w:rsidRDefault="00AA0A47" w:rsidP="00AA0A47">
      <w:pPr>
        <w:rPr>
          <w:rFonts w:asciiTheme="majorHAnsi" w:hAnsiTheme="majorHAnsi"/>
        </w:rPr>
      </w:pPr>
    </w:p>
    <w:p w14:paraId="78F00FF8" w14:textId="5C094206" w:rsidR="00AA0A47" w:rsidRDefault="00AA0A47" w:rsidP="00AA0A47">
      <w:pPr>
        <w:rPr>
          <w:rFonts w:asciiTheme="majorHAnsi" w:hAnsiTheme="majorHAnsi"/>
        </w:rPr>
      </w:pPr>
      <w:r>
        <w:rPr>
          <w:rFonts w:asciiTheme="majorHAnsi" w:hAnsiTheme="majorHAnsi"/>
        </w:rPr>
        <w:t xml:space="preserve">There also appears to be scope for light foliaged trees e.g. birch </w:t>
      </w:r>
      <w:r w:rsidR="00E53058">
        <w:rPr>
          <w:rFonts w:asciiTheme="majorHAnsi" w:hAnsiTheme="majorHAnsi"/>
        </w:rPr>
        <w:t xml:space="preserve">(e.g. Betula jacquemontii) </w:t>
      </w:r>
      <w:r>
        <w:rPr>
          <w:rFonts w:asciiTheme="majorHAnsi" w:hAnsiTheme="majorHAnsi"/>
        </w:rPr>
        <w:t xml:space="preserve">in rear gardens.  Some of these would </w:t>
      </w:r>
      <w:r w:rsidR="00E53058">
        <w:rPr>
          <w:rFonts w:asciiTheme="majorHAnsi" w:hAnsiTheme="majorHAnsi"/>
        </w:rPr>
        <w:t xml:space="preserve">also </w:t>
      </w:r>
      <w:r>
        <w:rPr>
          <w:rFonts w:asciiTheme="majorHAnsi" w:hAnsiTheme="majorHAnsi"/>
        </w:rPr>
        <w:t>benefit the street e.g</w:t>
      </w:r>
      <w:r w:rsidR="00427D05">
        <w:rPr>
          <w:rFonts w:asciiTheme="majorHAnsi" w:hAnsiTheme="majorHAnsi"/>
        </w:rPr>
        <w:t>.</w:t>
      </w:r>
      <w:r>
        <w:rPr>
          <w:rFonts w:asciiTheme="majorHAnsi" w:hAnsiTheme="majorHAnsi"/>
        </w:rPr>
        <w:t xml:space="preserve"> close to the side rear garden wall of plot 307. Some could be located to interrupt </w:t>
      </w:r>
      <w:r w:rsidR="00251670">
        <w:rPr>
          <w:rFonts w:asciiTheme="majorHAnsi" w:hAnsiTheme="majorHAnsi"/>
        </w:rPr>
        <w:t>back-to-back</w:t>
      </w:r>
      <w:r>
        <w:rPr>
          <w:rFonts w:asciiTheme="majorHAnsi" w:hAnsiTheme="majorHAnsi"/>
        </w:rPr>
        <w:t xml:space="preserve"> views and aid privacy.</w:t>
      </w:r>
    </w:p>
    <w:p w14:paraId="2BF7796B" w14:textId="77777777" w:rsidR="00AA0A47" w:rsidRDefault="00AA0A47" w:rsidP="00AA0A47">
      <w:pPr>
        <w:rPr>
          <w:rFonts w:asciiTheme="majorHAnsi" w:hAnsiTheme="majorHAnsi"/>
        </w:rPr>
      </w:pPr>
    </w:p>
    <w:p w14:paraId="0C623CDB" w14:textId="352812CA" w:rsidR="00165276" w:rsidRPr="000941B2" w:rsidRDefault="00165276" w:rsidP="00AA0A47">
      <w:pPr>
        <w:rPr>
          <w:rFonts w:asciiTheme="majorHAnsi" w:hAnsiTheme="majorHAnsi"/>
          <w:b/>
        </w:rPr>
      </w:pPr>
      <w:r w:rsidRPr="00427D05">
        <w:rPr>
          <w:rFonts w:asciiTheme="majorHAnsi" w:hAnsiTheme="majorHAnsi"/>
          <w:b/>
        </w:rPr>
        <w:t>Boundary Treatments</w:t>
      </w:r>
    </w:p>
    <w:p w14:paraId="481B038B" w14:textId="55706B1A" w:rsidR="00251670" w:rsidRDefault="00165276" w:rsidP="00AA0A47">
      <w:pPr>
        <w:rPr>
          <w:rFonts w:asciiTheme="majorHAnsi" w:hAnsiTheme="majorHAnsi"/>
        </w:rPr>
      </w:pPr>
      <w:r>
        <w:rPr>
          <w:rFonts w:asciiTheme="majorHAnsi" w:hAnsiTheme="majorHAnsi"/>
        </w:rPr>
        <w:t xml:space="preserve">Some of the </w:t>
      </w:r>
      <w:r w:rsidR="00E53058">
        <w:rPr>
          <w:rFonts w:asciiTheme="majorHAnsi" w:hAnsiTheme="majorHAnsi"/>
        </w:rPr>
        <w:t>close-</w:t>
      </w:r>
      <w:r w:rsidR="00251670">
        <w:rPr>
          <w:rFonts w:asciiTheme="majorHAnsi" w:hAnsiTheme="majorHAnsi"/>
        </w:rPr>
        <w:t xml:space="preserve">board fenced </w:t>
      </w:r>
      <w:r>
        <w:rPr>
          <w:rFonts w:asciiTheme="majorHAnsi" w:hAnsiTheme="majorHAnsi"/>
        </w:rPr>
        <w:t xml:space="preserve">rear garden boundaries adjacent to on-plot parking will be very visible from the street.  It would be better for them to be replaced with continuation of the side rear boundary brick walls in the following locations: </w:t>
      </w:r>
    </w:p>
    <w:p w14:paraId="40F54D28" w14:textId="77777777" w:rsidR="00251670" w:rsidRDefault="00251670" w:rsidP="00AA0A47">
      <w:pPr>
        <w:rPr>
          <w:rFonts w:asciiTheme="majorHAnsi" w:hAnsiTheme="majorHAnsi"/>
        </w:rPr>
      </w:pPr>
    </w:p>
    <w:p w14:paraId="32B464C4" w14:textId="77777777" w:rsidR="00251670" w:rsidRDefault="00251670" w:rsidP="00AA0A47">
      <w:pPr>
        <w:rPr>
          <w:rFonts w:asciiTheme="majorHAnsi" w:hAnsiTheme="majorHAnsi"/>
        </w:rPr>
      </w:pPr>
      <w:r>
        <w:rPr>
          <w:rFonts w:asciiTheme="majorHAnsi" w:hAnsiTheme="majorHAnsi"/>
        </w:rPr>
        <w:t xml:space="preserve">Rear boundaries of plot 318 &amp; 336 </w:t>
      </w:r>
    </w:p>
    <w:p w14:paraId="57ECE9AF" w14:textId="77777777" w:rsidR="00251670" w:rsidRDefault="00251670" w:rsidP="00AA0A47">
      <w:pPr>
        <w:rPr>
          <w:rFonts w:asciiTheme="majorHAnsi" w:hAnsiTheme="majorHAnsi"/>
        </w:rPr>
      </w:pPr>
    </w:p>
    <w:p w14:paraId="0EB55BAF" w14:textId="56AA5E1A" w:rsidR="00251670" w:rsidRDefault="00251670" w:rsidP="00AA0A47">
      <w:pPr>
        <w:rPr>
          <w:rFonts w:asciiTheme="majorHAnsi" w:hAnsiTheme="majorHAnsi"/>
        </w:rPr>
      </w:pPr>
      <w:r>
        <w:rPr>
          <w:rFonts w:asciiTheme="majorHAnsi" w:hAnsiTheme="majorHAnsi"/>
        </w:rPr>
        <w:t>The close-barded fencing behind tandem pa</w:t>
      </w:r>
      <w:r w:rsidR="00E53058">
        <w:rPr>
          <w:rFonts w:asciiTheme="majorHAnsi" w:hAnsiTheme="majorHAnsi"/>
        </w:rPr>
        <w:t xml:space="preserve">rking for plots 323, 325 &amp; 326 </w:t>
      </w:r>
      <w:r>
        <w:rPr>
          <w:rFonts w:asciiTheme="majorHAnsi" w:hAnsiTheme="majorHAnsi"/>
        </w:rPr>
        <w:t>and behind parking for plots 327 &amp; 328 should also be 1.8m high brick walls.</w:t>
      </w:r>
    </w:p>
    <w:p w14:paraId="1541ECE8" w14:textId="77777777" w:rsidR="00251670" w:rsidRDefault="00251670" w:rsidP="00AA0A47">
      <w:pPr>
        <w:rPr>
          <w:rFonts w:asciiTheme="majorHAnsi" w:hAnsiTheme="majorHAnsi"/>
        </w:rPr>
      </w:pPr>
    </w:p>
    <w:p w14:paraId="5D659AFC" w14:textId="6531CAD7" w:rsidR="000941B2" w:rsidRDefault="00251670" w:rsidP="00AA0A47">
      <w:pPr>
        <w:rPr>
          <w:rFonts w:asciiTheme="majorHAnsi" w:hAnsiTheme="majorHAnsi"/>
        </w:rPr>
      </w:pPr>
      <w:r>
        <w:rPr>
          <w:rFonts w:asciiTheme="majorHAnsi" w:hAnsiTheme="majorHAnsi"/>
        </w:rPr>
        <w:t>Rear garden gates should be match-boarded, not close-boarded.</w:t>
      </w:r>
    </w:p>
    <w:p w14:paraId="1DF799F4" w14:textId="77777777" w:rsidR="000941B2" w:rsidRDefault="000941B2" w:rsidP="00AA0A47">
      <w:pPr>
        <w:rPr>
          <w:rFonts w:asciiTheme="majorHAnsi" w:hAnsiTheme="majorHAnsi"/>
        </w:rPr>
      </w:pPr>
    </w:p>
    <w:p w14:paraId="3ED9E867" w14:textId="77777777" w:rsidR="000941B2" w:rsidRDefault="000941B2" w:rsidP="00AA0A47">
      <w:pPr>
        <w:rPr>
          <w:rFonts w:asciiTheme="majorHAnsi" w:hAnsiTheme="majorHAnsi"/>
        </w:rPr>
      </w:pPr>
    </w:p>
    <w:p w14:paraId="423F8614" w14:textId="77777777" w:rsidR="00E53058" w:rsidRDefault="00E53058" w:rsidP="00AA0A47">
      <w:pPr>
        <w:rPr>
          <w:rFonts w:asciiTheme="majorHAnsi" w:hAnsiTheme="majorHAnsi"/>
        </w:rPr>
      </w:pPr>
    </w:p>
    <w:p w14:paraId="48B58B30" w14:textId="3E97D28D" w:rsidR="000941B2" w:rsidRDefault="000941B2" w:rsidP="00AA0A47">
      <w:pPr>
        <w:rPr>
          <w:rFonts w:asciiTheme="majorHAnsi" w:hAnsiTheme="majorHAnsi"/>
        </w:rPr>
      </w:pPr>
      <w:r>
        <w:rPr>
          <w:rFonts w:asciiTheme="majorHAnsi" w:hAnsiTheme="majorHAnsi"/>
        </w:rPr>
        <w:t>Paul Acton</w:t>
      </w:r>
    </w:p>
    <w:p w14:paraId="77A98D1F" w14:textId="6A5D4EB1" w:rsidR="000941B2" w:rsidRDefault="000941B2" w:rsidP="00AA0A47">
      <w:pPr>
        <w:rPr>
          <w:rFonts w:asciiTheme="majorHAnsi" w:hAnsiTheme="majorHAnsi"/>
        </w:rPr>
      </w:pPr>
      <w:r>
        <w:rPr>
          <w:rFonts w:asciiTheme="majorHAnsi" w:hAnsiTheme="majorHAnsi"/>
        </w:rPr>
        <w:t>Urban Designer</w:t>
      </w:r>
    </w:p>
    <w:p w14:paraId="61754177" w14:textId="77777777" w:rsidR="000941B2" w:rsidRDefault="000941B2" w:rsidP="00AA0A47">
      <w:pPr>
        <w:rPr>
          <w:rFonts w:asciiTheme="majorHAnsi" w:hAnsiTheme="majorHAnsi"/>
        </w:rPr>
      </w:pPr>
    </w:p>
    <w:p w14:paraId="18A0BBB0" w14:textId="694D0B2D" w:rsidR="000941B2" w:rsidRPr="00AA0A47" w:rsidRDefault="000941B2" w:rsidP="00AA0A47">
      <w:pPr>
        <w:rPr>
          <w:rFonts w:asciiTheme="majorHAnsi" w:hAnsiTheme="majorHAnsi"/>
        </w:rPr>
      </w:pPr>
      <w:r>
        <w:rPr>
          <w:rFonts w:asciiTheme="majorHAnsi" w:hAnsiTheme="majorHAnsi"/>
        </w:rPr>
        <w:t>12/04/16</w:t>
      </w:r>
      <w:bookmarkStart w:id="0" w:name="_GoBack"/>
      <w:bookmarkEnd w:id="0"/>
    </w:p>
    <w:sectPr w:rsidR="000941B2" w:rsidRPr="00AA0A47" w:rsidSect="00E53058">
      <w:pgSz w:w="11900" w:h="16840"/>
      <w:pgMar w:top="1135" w:right="180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187A"/>
    <w:multiLevelType w:val="multilevel"/>
    <w:tmpl w:val="87AA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C85D10"/>
    <w:multiLevelType w:val="hybridMultilevel"/>
    <w:tmpl w:val="06CE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A3"/>
    <w:rsid w:val="000941B2"/>
    <w:rsid w:val="000D223D"/>
    <w:rsid w:val="001160A3"/>
    <w:rsid w:val="00122A26"/>
    <w:rsid w:val="00165276"/>
    <w:rsid w:val="0020172E"/>
    <w:rsid w:val="00251670"/>
    <w:rsid w:val="00276F55"/>
    <w:rsid w:val="00403F9C"/>
    <w:rsid w:val="00427D05"/>
    <w:rsid w:val="00491D10"/>
    <w:rsid w:val="005C25AD"/>
    <w:rsid w:val="00653C5F"/>
    <w:rsid w:val="009A415C"/>
    <w:rsid w:val="00A3441E"/>
    <w:rsid w:val="00AA0A47"/>
    <w:rsid w:val="00AF41F1"/>
    <w:rsid w:val="00BB70D7"/>
    <w:rsid w:val="00CB4DCC"/>
    <w:rsid w:val="00CF0DEE"/>
    <w:rsid w:val="00D7226C"/>
    <w:rsid w:val="00E52D2E"/>
    <w:rsid w:val="00E53058"/>
    <w:rsid w:val="00ED5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7B0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2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D722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2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D7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90941">
      <w:bodyDiv w:val="1"/>
      <w:marLeft w:val="0"/>
      <w:marRight w:val="0"/>
      <w:marTop w:val="0"/>
      <w:marBottom w:val="0"/>
      <w:divBdr>
        <w:top w:val="none" w:sz="0" w:space="0" w:color="auto"/>
        <w:left w:val="none" w:sz="0" w:space="0" w:color="auto"/>
        <w:bottom w:val="none" w:sz="0" w:space="0" w:color="auto"/>
        <w:right w:val="none" w:sz="0" w:space="0" w:color="auto"/>
      </w:divBdr>
      <w:divsChild>
        <w:div w:id="94061490">
          <w:marLeft w:val="0"/>
          <w:marRight w:val="0"/>
          <w:marTop w:val="0"/>
          <w:marBottom w:val="0"/>
          <w:divBdr>
            <w:top w:val="none" w:sz="0" w:space="0" w:color="auto"/>
            <w:left w:val="none" w:sz="0" w:space="0" w:color="auto"/>
            <w:bottom w:val="none" w:sz="0" w:space="0" w:color="auto"/>
            <w:right w:val="none" w:sz="0" w:space="0" w:color="auto"/>
          </w:divBdr>
          <w:divsChild>
            <w:div w:id="879248953">
              <w:marLeft w:val="0"/>
              <w:marRight w:val="0"/>
              <w:marTop w:val="0"/>
              <w:marBottom w:val="0"/>
              <w:divBdr>
                <w:top w:val="none" w:sz="0" w:space="0" w:color="auto"/>
                <w:left w:val="none" w:sz="0" w:space="0" w:color="auto"/>
                <w:bottom w:val="none" w:sz="0" w:space="0" w:color="auto"/>
                <w:right w:val="none" w:sz="0" w:space="0" w:color="auto"/>
              </w:divBdr>
              <w:divsChild>
                <w:div w:id="15049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47936">
      <w:bodyDiv w:val="1"/>
      <w:marLeft w:val="0"/>
      <w:marRight w:val="0"/>
      <w:marTop w:val="0"/>
      <w:marBottom w:val="0"/>
      <w:divBdr>
        <w:top w:val="none" w:sz="0" w:space="0" w:color="auto"/>
        <w:left w:val="none" w:sz="0" w:space="0" w:color="auto"/>
        <w:bottom w:val="none" w:sz="0" w:space="0" w:color="auto"/>
        <w:right w:val="none" w:sz="0" w:space="0" w:color="auto"/>
      </w:divBdr>
      <w:divsChild>
        <w:div w:id="1948923819">
          <w:marLeft w:val="0"/>
          <w:marRight w:val="0"/>
          <w:marTop w:val="0"/>
          <w:marBottom w:val="0"/>
          <w:divBdr>
            <w:top w:val="none" w:sz="0" w:space="0" w:color="auto"/>
            <w:left w:val="none" w:sz="0" w:space="0" w:color="auto"/>
            <w:bottom w:val="none" w:sz="0" w:space="0" w:color="auto"/>
            <w:right w:val="none" w:sz="0" w:space="0" w:color="auto"/>
          </w:divBdr>
          <w:divsChild>
            <w:div w:id="850533047">
              <w:marLeft w:val="0"/>
              <w:marRight w:val="0"/>
              <w:marTop w:val="0"/>
              <w:marBottom w:val="0"/>
              <w:divBdr>
                <w:top w:val="none" w:sz="0" w:space="0" w:color="auto"/>
                <w:left w:val="none" w:sz="0" w:space="0" w:color="auto"/>
                <w:bottom w:val="none" w:sz="0" w:space="0" w:color="auto"/>
                <w:right w:val="none" w:sz="0" w:space="0" w:color="auto"/>
              </w:divBdr>
              <w:divsChild>
                <w:div w:id="1341858473">
                  <w:marLeft w:val="0"/>
                  <w:marRight w:val="0"/>
                  <w:marTop w:val="0"/>
                  <w:marBottom w:val="0"/>
                  <w:divBdr>
                    <w:top w:val="none" w:sz="0" w:space="0" w:color="auto"/>
                    <w:left w:val="none" w:sz="0" w:space="0" w:color="auto"/>
                    <w:bottom w:val="none" w:sz="0" w:space="0" w:color="auto"/>
                    <w:right w:val="none" w:sz="0" w:space="0" w:color="auto"/>
                  </w:divBdr>
                  <w:divsChild>
                    <w:div w:id="17934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5116">
      <w:bodyDiv w:val="1"/>
      <w:marLeft w:val="0"/>
      <w:marRight w:val="0"/>
      <w:marTop w:val="0"/>
      <w:marBottom w:val="0"/>
      <w:divBdr>
        <w:top w:val="none" w:sz="0" w:space="0" w:color="auto"/>
        <w:left w:val="none" w:sz="0" w:space="0" w:color="auto"/>
        <w:bottom w:val="none" w:sz="0" w:space="0" w:color="auto"/>
        <w:right w:val="none" w:sz="0" w:space="0" w:color="auto"/>
      </w:divBdr>
      <w:divsChild>
        <w:div w:id="1903633171">
          <w:marLeft w:val="0"/>
          <w:marRight w:val="0"/>
          <w:marTop w:val="0"/>
          <w:marBottom w:val="0"/>
          <w:divBdr>
            <w:top w:val="none" w:sz="0" w:space="0" w:color="auto"/>
            <w:left w:val="none" w:sz="0" w:space="0" w:color="auto"/>
            <w:bottom w:val="none" w:sz="0" w:space="0" w:color="auto"/>
            <w:right w:val="none" w:sz="0" w:space="0" w:color="auto"/>
          </w:divBdr>
          <w:divsChild>
            <w:div w:id="319234860">
              <w:marLeft w:val="0"/>
              <w:marRight w:val="0"/>
              <w:marTop w:val="0"/>
              <w:marBottom w:val="0"/>
              <w:divBdr>
                <w:top w:val="none" w:sz="0" w:space="0" w:color="auto"/>
                <w:left w:val="none" w:sz="0" w:space="0" w:color="auto"/>
                <w:bottom w:val="none" w:sz="0" w:space="0" w:color="auto"/>
                <w:right w:val="none" w:sz="0" w:space="0" w:color="auto"/>
              </w:divBdr>
              <w:divsChild>
                <w:div w:id="638416838">
                  <w:marLeft w:val="0"/>
                  <w:marRight w:val="0"/>
                  <w:marTop w:val="0"/>
                  <w:marBottom w:val="0"/>
                  <w:divBdr>
                    <w:top w:val="none" w:sz="0" w:space="0" w:color="auto"/>
                    <w:left w:val="none" w:sz="0" w:space="0" w:color="auto"/>
                    <w:bottom w:val="none" w:sz="0" w:space="0" w:color="auto"/>
                    <w:right w:val="none" w:sz="0" w:space="0" w:color="auto"/>
                  </w:divBdr>
                  <w:divsChild>
                    <w:div w:id="11744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0430">
      <w:bodyDiv w:val="1"/>
      <w:marLeft w:val="0"/>
      <w:marRight w:val="0"/>
      <w:marTop w:val="0"/>
      <w:marBottom w:val="0"/>
      <w:divBdr>
        <w:top w:val="none" w:sz="0" w:space="0" w:color="auto"/>
        <w:left w:val="none" w:sz="0" w:space="0" w:color="auto"/>
        <w:bottom w:val="none" w:sz="0" w:space="0" w:color="auto"/>
        <w:right w:val="none" w:sz="0" w:space="0" w:color="auto"/>
      </w:divBdr>
      <w:divsChild>
        <w:div w:id="119613698">
          <w:marLeft w:val="0"/>
          <w:marRight w:val="0"/>
          <w:marTop w:val="0"/>
          <w:marBottom w:val="0"/>
          <w:divBdr>
            <w:top w:val="none" w:sz="0" w:space="0" w:color="auto"/>
            <w:left w:val="none" w:sz="0" w:space="0" w:color="auto"/>
            <w:bottom w:val="none" w:sz="0" w:space="0" w:color="auto"/>
            <w:right w:val="none" w:sz="0" w:space="0" w:color="auto"/>
          </w:divBdr>
          <w:divsChild>
            <w:div w:id="126515055">
              <w:marLeft w:val="0"/>
              <w:marRight w:val="0"/>
              <w:marTop w:val="0"/>
              <w:marBottom w:val="0"/>
              <w:divBdr>
                <w:top w:val="none" w:sz="0" w:space="0" w:color="auto"/>
                <w:left w:val="none" w:sz="0" w:space="0" w:color="auto"/>
                <w:bottom w:val="none" w:sz="0" w:space="0" w:color="auto"/>
                <w:right w:val="none" w:sz="0" w:space="0" w:color="auto"/>
              </w:divBdr>
              <w:divsChild>
                <w:div w:id="9276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425">
      <w:bodyDiv w:val="1"/>
      <w:marLeft w:val="0"/>
      <w:marRight w:val="0"/>
      <w:marTop w:val="0"/>
      <w:marBottom w:val="0"/>
      <w:divBdr>
        <w:top w:val="none" w:sz="0" w:space="0" w:color="auto"/>
        <w:left w:val="none" w:sz="0" w:space="0" w:color="auto"/>
        <w:bottom w:val="none" w:sz="0" w:space="0" w:color="auto"/>
        <w:right w:val="none" w:sz="0" w:space="0" w:color="auto"/>
      </w:divBdr>
      <w:divsChild>
        <w:div w:id="1648051697">
          <w:marLeft w:val="0"/>
          <w:marRight w:val="0"/>
          <w:marTop w:val="0"/>
          <w:marBottom w:val="0"/>
          <w:divBdr>
            <w:top w:val="none" w:sz="0" w:space="0" w:color="auto"/>
            <w:left w:val="none" w:sz="0" w:space="0" w:color="auto"/>
            <w:bottom w:val="none" w:sz="0" w:space="0" w:color="auto"/>
            <w:right w:val="none" w:sz="0" w:space="0" w:color="auto"/>
          </w:divBdr>
          <w:divsChild>
            <w:div w:id="1406300347">
              <w:marLeft w:val="0"/>
              <w:marRight w:val="0"/>
              <w:marTop w:val="0"/>
              <w:marBottom w:val="0"/>
              <w:divBdr>
                <w:top w:val="none" w:sz="0" w:space="0" w:color="auto"/>
                <w:left w:val="none" w:sz="0" w:space="0" w:color="auto"/>
                <w:bottom w:val="none" w:sz="0" w:space="0" w:color="auto"/>
                <w:right w:val="none" w:sz="0" w:space="0" w:color="auto"/>
              </w:divBdr>
              <w:divsChild>
                <w:div w:id="18814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8870">
      <w:bodyDiv w:val="1"/>
      <w:marLeft w:val="0"/>
      <w:marRight w:val="0"/>
      <w:marTop w:val="0"/>
      <w:marBottom w:val="0"/>
      <w:divBdr>
        <w:top w:val="none" w:sz="0" w:space="0" w:color="auto"/>
        <w:left w:val="none" w:sz="0" w:space="0" w:color="auto"/>
        <w:bottom w:val="none" w:sz="0" w:space="0" w:color="auto"/>
        <w:right w:val="none" w:sz="0" w:space="0" w:color="auto"/>
      </w:divBdr>
      <w:divsChild>
        <w:div w:id="2076929551">
          <w:marLeft w:val="0"/>
          <w:marRight w:val="0"/>
          <w:marTop w:val="0"/>
          <w:marBottom w:val="0"/>
          <w:divBdr>
            <w:top w:val="none" w:sz="0" w:space="0" w:color="auto"/>
            <w:left w:val="none" w:sz="0" w:space="0" w:color="auto"/>
            <w:bottom w:val="none" w:sz="0" w:space="0" w:color="auto"/>
            <w:right w:val="none" w:sz="0" w:space="0" w:color="auto"/>
          </w:divBdr>
          <w:divsChild>
            <w:div w:id="113252200">
              <w:marLeft w:val="0"/>
              <w:marRight w:val="0"/>
              <w:marTop w:val="0"/>
              <w:marBottom w:val="0"/>
              <w:divBdr>
                <w:top w:val="none" w:sz="0" w:space="0" w:color="auto"/>
                <w:left w:val="none" w:sz="0" w:space="0" w:color="auto"/>
                <w:bottom w:val="none" w:sz="0" w:space="0" w:color="auto"/>
                <w:right w:val="none" w:sz="0" w:space="0" w:color="auto"/>
              </w:divBdr>
              <w:divsChild>
                <w:div w:id="1272475703">
                  <w:marLeft w:val="0"/>
                  <w:marRight w:val="0"/>
                  <w:marTop w:val="0"/>
                  <w:marBottom w:val="0"/>
                  <w:divBdr>
                    <w:top w:val="none" w:sz="0" w:space="0" w:color="auto"/>
                    <w:left w:val="none" w:sz="0" w:space="0" w:color="auto"/>
                    <w:bottom w:val="none" w:sz="0" w:space="0" w:color="auto"/>
                    <w:right w:val="none" w:sz="0" w:space="0" w:color="auto"/>
                  </w:divBdr>
                  <w:divsChild>
                    <w:div w:id="15916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ADEA-74C1-CE45-9833-30511971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acton</dc:creator>
  <cp:keywords/>
  <dc:description/>
  <cp:lastModifiedBy>paul acton</cp:lastModifiedBy>
  <cp:revision>11</cp:revision>
  <dcterms:created xsi:type="dcterms:W3CDTF">2016-04-12T11:15:00Z</dcterms:created>
  <dcterms:modified xsi:type="dcterms:W3CDTF">2016-04-13T11:01:00Z</dcterms:modified>
</cp:coreProperties>
</file>