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8" w:rsidRPr="00A64752" w:rsidRDefault="00E34DE8" w:rsidP="00733D56">
      <w:pPr>
        <w:tabs>
          <w:tab w:val="left" w:pos="6480"/>
        </w:tabs>
        <w:jc w:val="both"/>
        <w:rPr>
          <w:rFonts w:ascii="Arial" w:hAnsi="Arial" w:cs="Arial"/>
          <w:sz w:val="22"/>
          <w:szCs w:val="22"/>
        </w:rPr>
      </w:pPr>
    </w:p>
    <w:p w:rsidR="00D649CF" w:rsidRDefault="00E8522C" w:rsidP="00AD206D">
      <w:pPr>
        <w:numPr>
          <w:ilvl w:val="0"/>
          <w:numId w:val="2"/>
        </w:numPr>
        <w:tabs>
          <w:tab w:val="clear" w:pos="360"/>
        </w:tabs>
        <w:ind w:left="567" w:hanging="567"/>
        <w:jc w:val="both"/>
        <w:rPr>
          <w:rFonts w:ascii="Arial" w:hAnsi="Arial" w:cs="Arial"/>
          <w:b/>
          <w:sz w:val="22"/>
          <w:szCs w:val="22"/>
        </w:rPr>
      </w:pPr>
      <w:r w:rsidRPr="00A64752">
        <w:rPr>
          <w:rFonts w:ascii="Arial" w:hAnsi="Arial" w:cs="Arial"/>
          <w:b/>
          <w:sz w:val="22"/>
          <w:szCs w:val="22"/>
        </w:rPr>
        <w:t xml:space="preserve">Application </w:t>
      </w:r>
      <w:r w:rsidR="00E34DE8" w:rsidRPr="00A64752">
        <w:rPr>
          <w:rFonts w:ascii="Arial" w:hAnsi="Arial" w:cs="Arial"/>
          <w:b/>
          <w:sz w:val="22"/>
          <w:szCs w:val="22"/>
        </w:rPr>
        <w:t xml:space="preserve">Site </w:t>
      </w:r>
      <w:r w:rsidRPr="00A64752">
        <w:rPr>
          <w:rFonts w:ascii="Arial" w:hAnsi="Arial" w:cs="Arial"/>
          <w:b/>
          <w:sz w:val="22"/>
          <w:szCs w:val="22"/>
        </w:rPr>
        <w:t xml:space="preserve">and Locality </w:t>
      </w:r>
    </w:p>
    <w:p w:rsidR="00D649CF" w:rsidRDefault="00D649CF" w:rsidP="00AD206D">
      <w:pPr>
        <w:ind w:left="360"/>
        <w:jc w:val="both"/>
        <w:rPr>
          <w:rFonts w:ascii="Arial" w:hAnsi="Arial" w:cs="Arial"/>
          <w:b/>
          <w:sz w:val="22"/>
          <w:szCs w:val="22"/>
        </w:rPr>
      </w:pPr>
    </w:p>
    <w:tbl>
      <w:tblPr>
        <w:tblW w:w="9962" w:type="dxa"/>
        <w:tblLook w:val="01E0" w:firstRow="1" w:lastRow="1" w:firstColumn="1" w:lastColumn="1" w:noHBand="0" w:noVBand="0"/>
      </w:tblPr>
      <w:tblGrid>
        <w:gridCol w:w="955"/>
        <w:gridCol w:w="9007"/>
      </w:tblGrid>
      <w:tr w:rsidR="00D2135C" w:rsidRPr="00D2135C" w:rsidTr="00D2135C">
        <w:tc>
          <w:tcPr>
            <w:tcW w:w="955" w:type="dxa"/>
          </w:tcPr>
          <w:p w:rsidR="00D2135C" w:rsidRPr="00D2135C" w:rsidRDefault="00D2135C" w:rsidP="00D2135C">
            <w:pPr>
              <w:ind w:right="-35"/>
              <w:jc w:val="both"/>
              <w:rPr>
                <w:rFonts w:ascii="Arial" w:hAnsi="Arial" w:cs="Arial"/>
                <w:sz w:val="22"/>
                <w:szCs w:val="22"/>
              </w:rPr>
            </w:pPr>
            <w:r w:rsidRPr="00D2135C">
              <w:rPr>
                <w:rFonts w:ascii="Arial" w:hAnsi="Arial" w:cs="Arial"/>
                <w:sz w:val="22"/>
                <w:szCs w:val="22"/>
              </w:rPr>
              <w:t>1.1</w:t>
            </w:r>
          </w:p>
        </w:tc>
        <w:tc>
          <w:tcPr>
            <w:tcW w:w="9007" w:type="dxa"/>
          </w:tcPr>
          <w:p w:rsidR="00D2135C" w:rsidRDefault="00D2135C" w:rsidP="00D2135C">
            <w:pPr>
              <w:tabs>
                <w:tab w:val="center" w:pos="4153"/>
                <w:tab w:val="right" w:pos="8306"/>
                <w:tab w:val="right" w:pos="9180"/>
              </w:tabs>
              <w:autoSpaceDE w:val="0"/>
              <w:autoSpaceDN w:val="0"/>
              <w:jc w:val="both"/>
              <w:rPr>
                <w:rFonts w:ascii="Arial" w:hAnsi="Arial" w:cs="Arial"/>
                <w:sz w:val="22"/>
                <w:szCs w:val="22"/>
                <w:lang w:eastAsia="en-US"/>
              </w:rPr>
            </w:pPr>
            <w:r w:rsidRPr="00D2135C">
              <w:rPr>
                <w:rFonts w:ascii="Arial" w:hAnsi="Arial" w:cs="Arial"/>
                <w:sz w:val="22"/>
                <w:szCs w:val="22"/>
                <w:lang w:eastAsia="en-US"/>
              </w:rPr>
              <w:t>The application site for this proposal is part of the former RAF/USAF Upper Heyford base.</w:t>
            </w:r>
          </w:p>
          <w:p w:rsidR="00D2135C" w:rsidRPr="00D2135C" w:rsidRDefault="00D2135C" w:rsidP="00D2135C">
            <w:pPr>
              <w:tabs>
                <w:tab w:val="center" w:pos="4153"/>
                <w:tab w:val="right" w:pos="8306"/>
                <w:tab w:val="right" w:pos="9180"/>
              </w:tabs>
              <w:autoSpaceDE w:val="0"/>
              <w:autoSpaceDN w:val="0"/>
              <w:jc w:val="both"/>
              <w:rPr>
                <w:rFonts w:ascii="Arial" w:hAnsi="Arial" w:cs="Arial"/>
                <w:sz w:val="22"/>
                <w:szCs w:val="22"/>
                <w:lang w:eastAsia="en-US"/>
              </w:rPr>
            </w:pPr>
            <w:r w:rsidRPr="00D2135C">
              <w:rPr>
                <w:rFonts w:ascii="Arial" w:eastAsia="Calibri" w:hAnsi="Arial" w:cs="Arial"/>
                <w:sz w:val="22"/>
                <w:szCs w:val="22"/>
                <w:lang w:eastAsia="en-US"/>
              </w:rPr>
              <w:t>Over the last 10 years numerous applications have been made seeking permission to either develop the whole site or large parts</w:t>
            </w:r>
            <w:r>
              <w:rPr>
                <w:rFonts w:ascii="Arial" w:eastAsia="Calibri" w:hAnsi="Arial" w:cs="Arial"/>
                <w:sz w:val="22"/>
                <w:szCs w:val="22"/>
                <w:lang w:eastAsia="en-US"/>
              </w:rPr>
              <w:t xml:space="preserve"> of it. </w:t>
            </w:r>
            <w:r w:rsidRPr="00D2135C">
              <w:rPr>
                <w:rFonts w:ascii="Arial" w:eastAsia="Calibri" w:hAnsi="Arial" w:cs="Arial"/>
                <w:sz w:val="22"/>
                <w:szCs w:val="22"/>
                <w:lang w:eastAsia="en-US"/>
              </w:rPr>
              <w:t>The most significant was application ref 08/00716/OUT. Following a major public inquiry that commenced in September 2008 the Council received the appeal decision in January 2010 that allowed “A new settlement of 1075 dwellings, together with associated works and facilities including employment uses, community uses, school, playing fields and other physical and social infrastructure (as amended by plans and information received 26.06.08).” This permission included the flying field and the uses and development permitted upon it at the appeal have been implemented under the appeal permission</w:t>
            </w:r>
            <w:r>
              <w:rPr>
                <w:rFonts w:ascii="Arial" w:eastAsia="Calibri" w:hAnsi="Arial" w:cs="Arial"/>
                <w:sz w:val="22"/>
                <w:szCs w:val="22"/>
                <w:lang w:eastAsia="en-US"/>
              </w:rPr>
              <w:t>.</w:t>
            </w:r>
          </w:p>
        </w:tc>
      </w:tr>
      <w:tr w:rsidR="00D2135C" w:rsidRPr="00D2135C" w:rsidTr="00D2135C">
        <w:tc>
          <w:tcPr>
            <w:tcW w:w="955" w:type="dxa"/>
          </w:tcPr>
          <w:p w:rsidR="00D2135C" w:rsidRPr="00D2135C" w:rsidRDefault="00D2135C" w:rsidP="00D2135C">
            <w:pPr>
              <w:ind w:right="-35"/>
              <w:jc w:val="both"/>
              <w:rPr>
                <w:rFonts w:ascii="Arial" w:hAnsi="Arial" w:cs="Arial"/>
                <w:sz w:val="22"/>
                <w:szCs w:val="22"/>
              </w:rPr>
            </w:pPr>
          </w:p>
        </w:tc>
        <w:tc>
          <w:tcPr>
            <w:tcW w:w="9007" w:type="dxa"/>
          </w:tcPr>
          <w:p w:rsidR="00D2135C" w:rsidRPr="00D2135C" w:rsidRDefault="00D2135C" w:rsidP="00D2135C">
            <w:pPr>
              <w:tabs>
                <w:tab w:val="center" w:pos="4153"/>
                <w:tab w:val="right" w:pos="8306"/>
                <w:tab w:val="right" w:pos="9180"/>
              </w:tabs>
              <w:autoSpaceDE w:val="0"/>
              <w:autoSpaceDN w:val="0"/>
              <w:jc w:val="both"/>
              <w:rPr>
                <w:rFonts w:ascii="Arial" w:hAnsi="Arial" w:cs="Arial"/>
                <w:sz w:val="22"/>
                <w:szCs w:val="22"/>
                <w:lang w:eastAsia="en-US"/>
              </w:rPr>
            </w:pPr>
          </w:p>
        </w:tc>
      </w:tr>
      <w:tr w:rsidR="00D2135C" w:rsidRPr="00D2135C" w:rsidTr="00D2135C">
        <w:tc>
          <w:tcPr>
            <w:tcW w:w="955" w:type="dxa"/>
          </w:tcPr>
          <w:p w:rsidR="00D2135C" w:rsidRPr="00D2135C" w:rsidRDefault="00D2135C" w:rsidP="00D2135C">
            <w:pPr>
              <w:ind w:right="-35"/>
              <w:jc w:val="both"/>
              <w:rPr>
                <w:rFonts w:ascii="Arial" w:hAnsi="Arial" w:cs="Arial"/>
                <w:sz w:val="22"/>
                <w:szCs w:val="22"/>
              </w:rPr>
            </w:pPr>
            <w:r w:rsidRPr="00D2135C">
              <w:rPr>
                <w:rFonts w:ascii="Arial" w:hAnsi="Arial" w:cs="Arial"/>
                <w:sz w:val="22"/>
                <w:szCs w:val="22"/>
              </w:rPr>
              <w:t>1.2</w:t>
            </w:r>
          </w:p>
        </w:tc>
        <w:tc>
          <w:tcPr>
            <w:tcW w:w="9007" w:type="dxa"/>
          </w:tcPr>
          <w:p w:rsidR="00D2135C" w:rsidRDefault="00D2135C" w:rsidP="00D2135C">
            <w:pPr>
              <w:tabs>
                <w:tab w:val="center" w:pos="4153"/>
                <w:tab w:val="right" w:pos="8306"/>
                <w:tab w:val="right" w:pos="9180"/>
              </w:tabs>
              <w:autoSpaceDE w:val="0"/>
              <w:autoSpaceDN w:val="0"/>
              <w:jc w:val="both"/>
              <w:rPr>
                <w:rFonts w:ascii="Arial" w:eastAsia="Calibri" w:hAnsi="Arial" w:cs="Arial"/>
                <w:sz w:val="22"/>
                <w:szCs w:val="22"/>
                <w:lang w:eastAsia="en-US"/>
              </w:rPr>
            </w:pPr>
            <w:r w:rsidRPr="00D2135C">
              <w:rPr>
                <w:rFonts w:ascii="Arial" w:eastAsia="Calibri" w:hAnsi="Arial" w:cs="Arial"/>
                <w:sz w:val="22"/>
                <w:szCs w:val="22"/>
                <w:lang w:eastAsia="en-US"/>
              </w:rPr>
              <w:t xml:space="preserve">The development of the settlement and technical areas was delayed as the masterplan was refined. As a result, a new masterplan was drawn up which, whilst similar to the one considered at appeal, has been modified. The main reason for a fresh application arose from the desire of the applicant to retain more buildings on site. Apart from that, the most significant changes are a new area of open space centred on the parade ground, the retention of a large number of dwellings including 253 bungalows </w:t>
            </w:r>
            <w:r>
              <w:rPr>
                <w:rFonts w:ascii="Arial" w:eastAsia="Calibri" w:hAnsi="Arial" w:cs="Arial"/>
                <w:sz w:val="22"/>
                <w:szCs w:val="22"/>
                <w:lang w:eastAsia="en-US"/>
              </w:rPr>
              <w:t>a</w:t>
            </w:r>
            <w:r w:rsidRPr="00D2135C">
              <w:rPr>
                <w:rFonts w:ascii="Arial" w:eastAsia="Calibri" w:hAnsi="Arial" w:cs="Arial"/>
                <w:sz w:val="22"/>
                <w:szCs w:val="22"/>
                <w:lang w:eastAsia="en-US"/>
              </w:rPr>
              <w:t xml:space="preserve">nd more of the heritage buildings, the demolition of </w:t>
            </w:r>
            <w:r>
              <w:rPr>
                <w:rFonts w:ascii="Arial" w:eastAsia="Calibri" w:hAnsi="Arial" w:cs="Arial"/>
                <w:sz w:val="22"/>
                <w:szCs w:val="22"/>
                <w:lang w:eastAsia="en-US"/>
              </w:rPr>
              <w:t>which was previously consented.</w:t>
            </w:r>
          </w:p>
          <w:p w:rsidR="00D2135C" w:rsidRPr="00D2135C" w:rsidRDefault="00D2135C" w:rsidP="00D2135C">
            <w:pPr>
              <w:tabs>
                <w:tab w:val="center" w:pos="4153"/>
                <w:tab w:val="right" w:pos="8306"/>
                <w:tab w:val="right" w:pos="9180"/>
              </w:tabs>
              <w:autoSpaceDE w:val="0"/>
              <w:autoSpaceDN w:val="0"/>
              <w:jc w:val="both"/>
              <w:rPr>
                <w:rFonts w:ascii="Arial" w:hAnsi="Arial" w:cs="Arial"/>
                <w:sz w:val="22"/>
                <w:szCs w:val="22"/>
                <w:lang w:eastAsia="en-US"/>
              </w:rPr>
            </w:pPr>
          </w:p>
        </w:tc>
      </w:tr>
      <w:tr w:rsidR="00D2135C" w:rsidRPr="00D2135C" w:rsidTr="00D2135C">
        <w:tc>
          <w:tcPr>
            <w:tcW w:w="955" w:type="dxa"/>
          </w:tcPr>
          <w:p w:rsidR="00D2135C" w:rsidRPr="00D2135C" w:rsidRDefault="00D2135C" w:rsidP="00D2135C">
            <w:pPr>
              <w:ind w:right="-35"/>
              <w:jc w:val="both"/>
              <w:rPr>
                <w:rFonts w:ascii="Arial" w:hAnsi="Arial" w:cs="Arial"/>
                <w:sz w:val="22"/>
                <w:szCs w:val="22"/>
              </w:rPr>
            </w:pPr>
            <w:r w:rsidRPr="00D2135C">
              <w:rPr>
                <w:rFonts w:ascii="Arial" w:hAnsi="Arial" w:cs="Arial"/>
                <w:sz w:val="22"/>
                <w:szCs w:val="22"/>
              </w:rPr>
              <w:t>1.3</w:t>
            </w:r>
          </w:p>
        </w:tc>
        <w:tc>
          <w:tcPr>
            <w:tcW w:w="9007" w:type="dxa"/>
          </w:tcPr>
          <w:p w:rsidR="00D2135C" w:rsidRPr="00D2135C" w:rsidRDefault="00D2135C" w:rsidP="00D2135C">
            <w:pPr>
              <w:tabs>
                <w:tab w:val="right" w:pos="9180"/>
              </w:tabs>
              <w:autoSpaceDE w:val="0"/>
              <w:autoSpaceDN w:val="0"/>
              <w:adjustRightInd w:val="0"/>
              <w:ind w:right="-35"/>
              <w:rPr>
                <w:rFonts w:ascii="Arial" w:eastAsia="Calibri" w:hAnsi="Arial" w:cs="Arial"/>
                <w:sz w:val="22"/>
                <w:szCs w:val="22"/>
                <w:lang w:eastAsia="en-US"/>
              </w:rPr>
            </w:pPr>
            <w:r w:rsidRPr="00D2135C">
              <w:rPr>
                <w:rFonts w:ascii="Arial" w:eastAsia="Calibri" w:hAnsi="Arial" w:cs="Arial"/>
                <w:sz w:val="22"/>
                <w:szCs w:val="22"/>
                <w:lang w:eastAsia="en-US"/>
              </w:rPr>
              <w:t>The revised masterplan was submitted as part of the outline application for “Proposed new settlement for 1075 dwellings, together with associated works and facilities, including employment uses, a school, playing fields and other physical and social infrastructure” and granted permission on 22</w:t>
            </w:r>
            <w:r w:rsidRPr="00D2135C">
              <w:rPr>
                <w:rFonts w:ascii="Arial" w:eastAsia="Calibri" w:hAnsi="Arial" w:cs="Arial"/>
                <w:sz w:val="22"/>
                <w:szCs w:val="22"/>
                <w:vertAlign w:val="superscript"/>
                <w:lang w:eastAsia="en-US"/>
              </w:rPr>
              <w:t>nd</w:t>
            </w:r>
            <w:r w:rsidRPr="00D2135C">
              <w:rPr>
                <w:rFonts w:ascii="Arial" w:eastAsia="Calibri" w:hAnsi="Arial" w:cs="Arial"/>
                <w:sz w:val="22"/>
                <w:szCs w:val="22"/>
                <w:lang w:eastAsia="en-US"/>
              </w:rPr>
              <w:t xml:space="preserve"> December 2011 (ref 10/01642/OUT). </w:t>
            </w:r>
          </w:p>
          <w:p w:rsidR="00D2135C" w:rsidRPr="00D2135C" w:rsidRDefault="00D2135C" w:rsidP="00D2135C">
            <w:pPr>
              <w:tabs>
                <w:tab w:val="right" w:pos="9180"/>
              </w:tabs>
              <w:autoSpaceDE w:val="0"/>
              <w:autoSpaceDN w:val="0"/>
              <w:adjustRightInd w:val="0"/>
              <w:ind w:right="-35"/>
              <w:rPr>
                <w:rFonts w:ascii="Arial" w:hAnsi="Arial" w:cs="Arial"/>
                <w:sz w:val="22"/>
                <w:szCs w:val="22"/>
                <w:lang w:eastAsia="en-US"/>
              </w:rPr>
            </w:pPr>
          </w:p>
        </w:tc>
      </w:tr>
      <w:tr w:rsidR="00D2135C" w:rsidRPr="00D2135C" w:rsidTr="00D2135C">
        <w:tc>
          <w:tcPr>
            <w:tcW w:w="955" w:type="dxa"/>
          </w:tcPr>
          <w:p w:rsidR="00D2135C" w:rsidRPr="00D2135C" w:rsidRDefault="00D2135C" w:rsidP="00D2135C">
            <w:pPr>
              <w:ind w:right="-35"/>
              <w:jc w:val="both"/>
              <w:rPr>
                <w:rFonts w:ascii="Arial" w:hAnsi="Arial" w:cs="Arial"/>
                <w:sz w:val="22"/>
                <w:szCs w:val="22"/>
              </w:rPr>
            </w:pPr>
            <w:r w:rsidRPr="00D2135C">
              <w:rPr>
                <w:rFonts w:ascii="Arial" w:hAnsi="Arial" w:cs="Arial"/>
                <w:sz w:val="22"/>
                <w:szCs w:val="22"/>
              </w:rPr>
              <w:t>1.4</w:t>
            </w:r>
          </w:p>
        </w:tc>
        <w:tc>
          <w:tcPr>
            <w:tcW w:w="9007" w:type="dxa"/>
          </w:tcPr>
          <w:p w:rsidR="00D2135C" w:rsidRPr="00D2135C" w:rsidRDefault="00D2135C" w:rsidP="00B451BF">
            <w:pPr>
              <w:tabs>
                <w:tab w:val="right" w:pos="9180"/>
              </w:tabs>
              <w:autoSpaceDE w:val="0"/>
              <w:autoSpaceDN w:val="0"/>
              <w:adjustRightInd w:val="0"/>
              <w:ind w:right="-35"/>
              <w:rPr>
                <w:rFonts w:ascii="Arial" w:eastAsia="Calibri" w:hAnsi="Arial" w:cs="Arial"/>
                <w:sz w:val="22"/>
                <w:szCs w:val="22"/>
                <w:lang w:eastAsia="en-US"/>
              </w:rPr>
            </w:pPr>
            <w:r w:rsidRPr="00D2135C">
              <w:rPr>
                <w:rFonts w:ascii="Arial" w:hAnsi="Arial" w:cs="Arial"/>
                <w:sz w:val="22"/>
                <w:szCs w:val="22"/>
                <w:lang w:eastAsia="en-US"/>
              </w:rPr>
              <w:t xml:space="preserve">Located to the </w:t>
            </w:r>
            <w:r>
              <w:rPr>
                <w:rFonts w:ascii="Arial" w:hAnsi="Arial" w:cs="Arial"/>
                <w:sz w:val="22"/>
                <w:szCs w:val="22"/>
                <w:lang w:eastAsia="en-US"/>
              </w:rPr>
              <w:t>south</w:t>
            </w:r>
            <w:r w:rsidRPr="00D2135C">
              <w:rPr>
                <w:rFonts w:ascii="Arial" w:hAnsi="Arial" w:cs="Arial"/>
                <w:sz w:val="22"/>
                <w:szCs w:val="22"/>
                <w:lang w:eastAsia="en-US"/>
              </w:rPr>
              <w:t xml:space="preserve"> side of Camp Road the site </w:t>
            </w:r>
            <w:r>
              <w:rPr>
                <w:rFonts w:ascii="Arial" w:hAnsi="Arial" w:cs="Arial"/>
                <w:sz w:val="22"/>
                <w:szCs w:val="22"/>
                <w:lang w:eastAsia="en-US"/>
              </w:rPr>
              <w:t>is part of the first residential phase of development undertaken by Dorchester, the applicants. These are primarily large individual houses designed to reflect the officer’s houses on the north side of Camp Road, in an arts and crafts style. They are set back from the main road due to a line of trees that were retained to preserve and maintain the character and appearance of the area</w:t>
            </w:r>
            <w:r w:rsidR="00B451BF">
              <w:rPr>
                <w:rFonts w:ascii="Arial" w:hAnsi="Arial" w:cs="Arial"/>
                <w:sz w:val="22"/>
                <w:szCs w:val="22"/>
                <w:lang w:eastAsia="en-US"/>
              </w:rPr>
              <w:t>. These houses have been built and are occupied.</w:t>
            </w:r>
          </w:p>
        </w:tc>
      </w:tr>
    </w:tbl>
    <w:p w:rsidR="00E34DE8" w:rsidRPr="00A64752" w:rsidRDefault="00E34DE8" w:rsidP="00B451BF">
      <w:pPr>
        <w:tabs>
          <w:tab w:val="left" w:pos="0"/>
        </w:tabs>
        <w:jc w:val="both"/>
        <w:rPr>
          <w:rFonts w:ascii="Arial" w:hAnsi="Arial" w:cs="Arial"/>
          <w:b/>
          <w:sz w:val="22"/>
          <w:szCs w:val="22"/>
        </w:rPr>
      </w:pPr>
    </w:p>
    <w:p w:rsidR="008F2793" w:rsidRDefault="00E8522C" w:rsidP="008F2793">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8F2793" w:rsidRPr="008F2793" w:rsidRDefault="008F2793" w:rsidP="0079094C">
      <w:pPr>
        <w:numPr>
          <w:ilvl w:val="1"/>
          <w:numId w:val="8"/>
        </w:numPr>
        <w:tabs>
          <w:tab w:val="left" w:pos="993"/>
        </w:tabs>
        <w:spacing w:after="240"/>
        <w:ind w:left="993" w:hanging="993"/>
        <w:jc w:val="both"/>
        <w:rPr>
          <w:rFonts w:ascii="Arial" w:hAnsi="Arial" w:cs="Arial"/>
          <w:b/>
          <w:sz w:val="22"/>
          <w:szCs w:val="22"/>
        </w:rPr>
      </w:pPr>
      <w:r w:rsidRPr="008F2793">
        <w:rPr>
          <w:rFonts w:ascii="Arial" w:hAnsi="Arial" w:cs="Arial"/>
          <w:sz w:val="22"/>
          <w:szCs w:val="22"/>
        </w:rPr>
        <w:t xml:space="preserve">The proposal is to introduce a further parking space on the frontage accessed from the private driveway that serves this group of houses. It would be slotted between two silver birch trees reflective of parking provision elsewhere on the </w:t>
      </w:r>
      <w:r w:rsidRPr="008F2793">
        <w:rPr>
          <w:rFonts w:ascii="Arial" w:hAnsi="Arial" w:cs="Arial"/>
          <w:sz w:val="22"/>
          <w:szCs w:val="22"/>
        </w:rPr>
        <w:lastRenderedPageBreak/>
        <w:t xml:space="preserve">frontage of Camp Road. The land has been grassed and it is proposed to construct a </w:t>
      </w:r>
      <w:proofErr w:type="spellStart"/>
      <w:r w:rsidRPr="008F2793">
        <w:rPr>
          <w:rFonts w:ascii="Arial" w:hAnsi="Arial" w:cs="Arial"/>
          <w:sz w:val="22"/>
          <w:szCs w:val="22"/>
        </w:rPr>
        <w:t>geoweb</w:t>
      </w:r>
      <w:proofErr w:type="spellEnd"/>
      <w:r w:rsidRPr="008F2793">
        <w:rPr>
          <w:rFonts w:ascii="Arial" w:hAnsi="Arial" w:cs="Arial"/>
          <w:sz w:val="22"/>
          <w:szCs w:val="22"/>
        </w:rPr>
        <w:t xml:space="preserve"> base with a surface of unbound gravel.</w:t>
      </w:r>
    </w:p>
    <w:p w:rsidR="00E34DE8" w:rsidRPr="00A64752" w:rsidRDefault="00E34DE8" w:rsidP="00032411">
      <w:pPr>
        <w:tabs>
          <w:tab w:val="left" w:pos="0"/>
          <w:tab w:val="left" w:pos="567"/>
        </w:tabs>
        <w:jc w:val="both"/>
        <w:rPr>
          <w:rFonts w:ascii="Arial" w:hAnsi="Arial" w:cs="Arial"/>
          <w:sz w:val="22"/>
          <w:szCs w:val="22"/>
        </w:rPr>
      </w:pPr>
    </w:p>
    <w:p w:rsidR="00E51C4D" w:rsidRPr="00A64752" w:rsidRDefault="00E51C4D" w:rsidP="00E51C4D">
      <w:pPr>
        <w:ind w:left="567"/>
        <w:rPr>
          <w:rFonts w:ascii="Arial" w:hAnsi="Arial" w:cs="Arial"/>
          <w:sz w:val="22"/>
          <w:szCs w:val="22"/>
        </w:rPr>
      </w:pPr>
    </w:p>
    <w:p w:rsidR="00E51C4D" w:rsidRDefault="00E51C4D"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Relevant Planning History</w:t>
      </w:r>
    </w:p>
    <w:p w:rsidR="000052C9" w:rsidRDefault="000052C9" w:rsidP="000052C9">
      <w:pPr>
        <w:tabs>
          <w:tab w:val="left" w:pos="6480"/>
        </w:tabs>
        <w:ind w:left="567"/>
        <w:jc w:val="both"/>
        <w:rPr>
          <w:rFonts w:ascii="Arial" w:hAnsi="Arial" w:cs="Arial"/>
          <w:b/>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678"/>
        <w:gridCol w:w="1276"/>
      </w:tblGrid>
      <w:tr w:rsidR="00A47884" w:rsidRPr="00A47884" w:rsidTr="008314A6">
        <w:trPr>
          <w:trHeight w:hRule="exact" w:val="340"/>
        </w:trPr>
        <w:tc>
          <w:tcPr>
            <w:tcW w:w="2376" w:type="dxa"/>
          </w:tcPr>
          <w:p w:rsidR="00A47884" w:rsidRPr="00A47884" w:rsidRDefault="00A47884" w:rsidP="00AB1820">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App Ref</w:t>
            </w:r>
          </w:p>
        </w:tc>
        <w:tc>
          <w:tcPr>
            <w:tcW w:w="4678"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Description</w:t>
            </w:r>
          </w:p>
        </w:tc>
        <w:tc>
          <w:tcPr>
            <w:tcW w:w="1276"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Status</w:t>
            </w:r>
          </w:p>
        </w:tc>
      </w:tr>
      <w:tr w:rsidR="00E944EA" w:rsidRPr="00A47884" w:rsidTr="00FB75DE">
        <w:trPr>
          <w:trHeight w:hRule="exact" w:val="76"/>
        </w:trPr>
        <w:tc>
          <w:tcPr>
            <w:tcW w:w="8330" w:type="dxa"/>
            <w:gridSpan w:val="3"/>
          </w:tcPr>
          <w:p w:rsidR="00E944EA" w:rsidRPr="00E944EA" w:rsidRDefault="00E944EA" w:rsidP="00A47884">
            <w:pPr>
              <w:tabs>
                <w:tab w:val="left" w:pos="6480"/>
              </w:tabs>
              <w:jc w:val="both"/>
              <w:rPr>
                <w:rFonts w:ascii="Arial" w:hAnsi="Arial" w:cs="Arial"/>
                <w:sz w:val="4"/>
                <w:szCs w:val="4"/>
                <w:u w:val="single"/>
                <w:lang w:eastAsia="en-US"/>
              </w:rPr>
            </w:pPr>
          </w:p>
        </w:tc>
      </w:tr>
      <w:tr w:rsidR="00A47884" w:rsidTr="008314A6">
        <w:trPr>
          <w:trHeight w:val="284"/>
        </w:trPr>
        <w:tc>
          <w:tcPr>
            <w:tcW w:w="2376" w:type="dxa"/>
          </w:tcPr>
          <w:p w:rsidR="00A47884" w:rsidRDefault="00A47884" w:rsidP="000052C9">
            <w:pPr>
              <w:tabs>
                <w:tab w:val="left" w:pos="6480"/>
              </w:tabs>
              <w:jc w:val="both"/>
              <w:rPr>
                <w:rFonts w:ascii="Arial" w:hAnsi="Arial" w:cs="Arial"/>
                <w:b/>
                <w:sz w:val="22"/>
                <w:szCs w:val="22"/>
              </w:rPr>
            </w:pPr>
          </w:p>
        </w:tc>
        <w:tc>
          <w:tcPr>
            <w:tcW w:w="4678" w:type="dxa"/>
          </w:tcPr>
          <w:p w:rsidR="00A47884" w:rsidRDefault="00A47884" w:rsidP="000052C9">
            <w:pPr>
              <w:tabs>
                <w:tab w:val="left" w:pos="6480"/>
              </w:tabs>
              <w:jc w:val="both"/>
              <w:rPr>
                <w:rFonts w:ascii="Arial" w:hAnsi="Arial" w:cs="Arial"/>
                <w:b/>
                <w:sz w:val="22"/>
                <w:szCs w:val="22"/>
              </w:rPr>
            </w:pPr>
          </w:p>
        </w:tc>
        <w:tc>
          <w:tcPr>
            <w:tcW w:w="1276" w:type="dxa"/>
          </w:tcPr>
          <w:p w:rsidR="00A47884" w:rsidRDefault="00A47884" w:rsidP="00E944EA">
            <w:pPr>
              <w:tabs>
                <w:tab w:val="left" w:pos="6480"/>
              </w:tabs>
              <w:jc w:val="both"/>
              <w:rPr>
                <w:rFonts w:ascii="Arial" w:hAnsi="Arial" w:cs="Arial"/>
                <w:b/>
                <w:sz w:val="22"/>
                <w:szCs w:val="22"/>
              </w:rPr>
            </w:pPr>
          </w:p>
        </w:tc>
      </w:tr>
      <w:tr w:rsidR="008F2793" w:rsidTr="00CB06A7">
        <w:trPr>
          <w:gridAfter w:val="1"/>
          <w:wAfter w:w="1276" w:type="dxa"/>
          <w:trHeight w:val="284"/>
        </w:trPr>
        <w:tc>
          <w:tcPr>
            <w:tcW w:w="2376" w:type="dxa"/>
          </w:tcPr>
          <w:p w:rsidR="008F2793" w:rsidRDefault="008F2793" w:rsidP="00CB06A7">
            <w:pPr>
              <w:tabs>
                <w:tab w:val="left" w:pos="6480"/>
              </w:tabs>
              <w:jc w:val="both"/>
              <w:rPr>
                <w:rFonts w:ascii="Arial" w:hAnsi="Arial" w:cs="Arial"/>
                <w:b/>
                <w:sz w:val="22"/>
                <w:szCs w:val="22"/>
              </w:rPr>
            </w:pPr>
            <w:r w:rsidRPr="008B68B4">
              <w:rPr>
                <w:rFonts w:ascii="Arial" w:hAnsi="Arial" w:cs="Arial"/>
                <w:sz w:val="22"/>
                <w:szCs w:val="22"/>
                <w:lang w:eastAsia="en-US"/>
              </w:rPr>
              <w:t>08/00716/OUT</w:t>
            </w:r>
          </w:p>
        </w:tc>
        <w:tc>
          <w:tcPr>
            <w:tcW w:w="4678" w:type="dxa"/>
          </w:tcPr>
          <w:p w:rsidR="008F2793" w:rsidRDefault="008F2793" w:rsidP="00CB06A7">
            <w:pPr>
              <w:tabs>
                <w:tab w:val="left" w:pos="6480"/>
              </w:tabs>
              <w:jc w:val="both"/>
              <w:rPr>
                <w:rFonts w:ascii="Arial" w:hAnsi="Arial" w:cs="Arial"/>
                <w:b/>
                <w:sz w:val="22"/>
                <w:szCs w:val="22"/>
              </w:rPr>
            </w:pPr>
            <w:r w:rsidRPr="008B68B4">
              <w:rPr>
                <w:rFonts w:ascii="Arial" w:hAnsi="Arial" w:cs="Arial"/>
                <w:sz w:val="22"/>
                <w:szCs w:val="22"/>
                <w:lang w:eastAsia="en-US"/>
              </w:rPr>
              <w:t>OUTLINE application for new settlement of 1075 dwellings, together with associated works and facilities including employment uses, community uses, school, playing fields and other physical and social infrastructure (as amended by plans and information received 26.06.08).</w:t>
            </w: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r w:rsidR="00A47884" w:rsidTr="008314A6">
        <w:trPr>
          <w:trHeight w:val="284"/>
        </w:trPr>
        <w:tc>
          <w:tcPr>
            <w:tcW w:w="2376" w:type="dxa"/>
          </w:tcPr>
          <w:p w:rsidR="00A47884" w:rsidRDefault="00A47884" w:rsidP="000052C9">
            <w:pPr>
              <w:tabs>
                <w:tab w:val="left" w:pos="6480"/>
              </w:tabs>
              <w:jc w:val="both"/>
              <w:rPr>
                <w:rFonts w:ascii="Arial" w:hAnsi="Arial" w:cs="Arial"/>
                <w:b/>
                <w:sz w:val="22"/>
                <w:szCs w:val="22"/>
              </w:rPr>
            </w:pPr>
            <w:r w:rsidRPr="008B68B4">
              <w:rPr>
                <w:rFonts w:ascii="Arial" w:hAnsi="Arial" w:cs="Arial"/>
                <w:sz w:val="22"/>
                <w:szCs w:val="22"/>
                <w:lang w:eastAsia="en-US"/>
              </w:rPr>
              <w:t>10/01642/OUT</w:t>
            </w:r>
          </w:p>
        </w:tc>
        <w:tc>
          <w:tcPr>
            <w:tcW w:w="4678" w:type="dxa"/>
          </w:tcPr>
          <w:p w:rsidR="00A47884" w:rsidRDefault="00A47884" w:rsidP="000052C9">
            <w:pPr>
              <w:tabs>
                <w:tab w:val="left" w:pos="6480"/>
              </w:tabs>
              <w:jc w:val="both"/>
              <w:rPr>
                <w:rFonts w:ascii="Arial" w:hAnsi="Arial" w:cs="Arial"/>
                <w:b/>
                <w:sz w:val="22"/>
                <w:szCs w:val="22"/>
              </w:rPr>
            </w:pPr>
            <w:r w:rsidRPr="008B68B4">
              <w:rPr>
                <w:rFonts w:ascii="Arial" w:hAnsi="Arial" w:cs="Arial"/>
                <w:sz w:val="22"/>
                <w:szCs w:val="22"/>
                <w:lang w:eastAsia="en-US"/>
              </w:rPr>
              <w:t>Outline - Proposed new settlement of 1075 dwellings including the retention and  change of use of 267 existing military dwellings to residential use Class C3 and the change of use  of other specified buildings, together with associated works and facilities, including employment uses, a school, playing fields and other physical and social infrastructure</w:t>
            </w:r>
          </w:p>
        </w:tc>
        <w:tc>
          <w:tcPr>
            <w:tcW w:w="1276" w:type="dxa"/>
          </w:tcPr>
          <w:p w:rsidR="00A47884" w:rsidRDefault="00A47884" w:rsidP="00E944EA">
            <w:pPr>
              <w:tabs>
                <w:tab w:val="left" w:pos="6480"/>
              </w:tabs>
              <w:jc w:val="both"/>
              <w:rPr>
                <w:rFonts w:ascii="Arial" w:hAnsi="Arial" w:cs="Arial"/>
                <w:b/>
                <w:sz w:val="22"/>
                <w:szCs w:val="22"/>
              </w:rPr>
            </w:pPr>
            <w:r w:rsidRPr="008B68B4">
              <w:rPr>
                <w:rFonts w:ascii="Arial" w:hAnsi="Arial" w:cs="Arial"/>
                <w:sz w:val="22"/>
                <w:szCs w:val="22"/>
                <w:lang w:eastAsia="en-US"/>
              </w:rPr>
              <w:t>PER</w:t>
            </w: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r w:rsidR="00A47884" w:rsidTr="008314A6">
        <w:trPr>
          <w:trHeight w:val="284"/>
        </w:trPr>
        <w:tc>
          <w:tcPr>
            <w:tcW w:w="2376" w:type="dxa"/>
          </w:tcPr>
          <w:p w:rsidR="00A47884" w:rsidRDefault="00D3792F" w:rsidP="000052C9">
            <w:pPr>
              <w:tabs>
                <w:tab w:val="left" w:pos="6480"/>
              </w:tabs>
              <w:jc w:val="both"/>
              <w:rPr>
                <w:rFonts w:ascii="Arial" w:hAnsi="Arial" w:cs="Arial"/>
                <w:b/>
                <w:sz w:val="22"/>
                <w:szCs w:val="22"/>
              </w:rPr>
            </w:pPr>
            <w:r>
              <w:rPr>
                <w:rFonts w:ascii="Arial" w:hAnsi="Arial" w:cs="Arial"/>
                <w:sz w:val="22"/>
                <w:szCs w:val="22"/>
                <w:lang w:eastAsia="en-US"/>
              </w:rPr>
              <w:t>13/01394</w:t>
            </w:r>
            <w:r w:rsidR="00A47884" w:rsidRPr="008B68B4">
              <w:rPr>
                <w:rFonts w:ascii="Arial" w:hAnsi="Arial" w:cs="Arial"/>
                <w:sz w:val="22"/>
                <w:szCs w:val="22"/>
                <w:lang w:eastAsia="en-US"/>
              </w:rPr>
              <w:t>/REM</w:t>
            </w:r>
          </w:p>
        </w:tc>
        <w:tc>
          <w:tcPr>
            <w:tcW w:w="4678" w:type="dxa"/>
          </w:tcPr>
          <w:p w:rsidR="00A47884" w:rsidRDefault="00A47884" w:rsidP="00D3792F">
            <w:pPr>
              <w:tabs>
                <w:tab w:val="left" w:pos="6480"/>
              </w:tabs>
              <w:jc w:val="both"/>
              <w:rPr>
                <w:rFonts w:ascii="Arial" w:hAnsi="Arial" w:cs="Arial"/>
                <w:b/>
                <w:sz w:val="22"/>
                <w:szCs w:val="22"/>
              </w:rPr>
            </w:pPr>
            <w:r w:rsidRPr="008B68B4">
              <w:rPr>
                <w:rFonts w:ascii="Arial" w:hAnsi="Arial" w:cs="Arial"/>
                <w:sz w:val="22"/>
                <w:szCs w:val="22"/>
                <w:lang w:eastAsia="en-US"/>
              </w:rPr>
              <w:t xml:space="preserve">Reserved Matters to Outline application (10/01642/OUT) - Erection of </w:t>
            </w:r>
            <w:r w:rsidR="00D3792F">
              <w:rPr>
                <w:rFonts w:ascii="Arial" w:hAnsi="Arial" w:cs="Arial"/>
                <w:sz w:val="22"/>
                <w:szCs w:val="22"/>
                <w:lang w:eastAsia="en-US"/>
              </w:rPr>
              <w:t>30</w:t>
            </w:r>
            <w:r w:rsidRPr="008B68B4">
              <w:rPr>
                <w:rFonts w:ascii="Arial" w:hAnsi="Arial" w:cs="Arial"/>
                <w:sz w:val="22"/>
                <w:szCs w:val="22"/>
                <w:lang w:eastAsia="en-US"/>
              </w:rPr>
              <w:t xml:space="preserve"> dwellings with associated car parking, infrastructure, landscaping and other works</w:t>
            </w:r>
          </w:p>
        </w:tc>
        <w:tc>
          <w:tcPr>
            <w:tcW w:w="1276" w:type="dxa"/>
          </w:tcPr>
          <w:p w:rsidR="00A47884" w:rsidRDefault="00A47884" w:rsidP="00E944EA">
            <w:pPr>
              <w:tabs>
                <w:tab w:val="left" w:pos="6480"/>
              </w:tabs>
              <w:jc w:val="both"/>
              <w:rPr>
                <w:rFonts w:ascii="Arial" w:hAnsi="Arial" w:cs="Arial"/>
                <w:b/>
                <w:sz w:val="22"/>
                <w:szCs w:val="22"/>
              </w:rPr>
            </w:pPr>
            <w:r w:rsidRPr="008B68B4">
              <w:rPr>
                <w:rFonts w:ascii="Arial" w:hAnsi="Arial" w:cs="Arial"/>
                <w:sz w:val="22"/>
                <w:szCs w:val="22"/>
                <w:lang w:eastAsia="en-US"/>
              </w:rPr>
              <w:t>PER</w:t>
            </w:r>
          </w:p>
        </w:tc>
      </w:tr>
    </w:tbl>
    <w:p w:rsidR="00E2356A" w:rsidRPr="00A64752" w:rsidRDefault="00E2356A"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Publicity</w:t>
      </w:r>
    </w:p>
    <w:p w:rsidR="00E2356A" w:rsidRPr="00A64752" w:rsidRDefault="00E2356A" w:rsidP="00D3040C">
      <w:pPr>
        <w:jc w:val="both"/>
        <w:rPr>
          <w:rFonts w:ascii="Arial" w:hAnsi="Arial" w:cs="Arial"/>
          <w:b/>
          <w:sz w:val="22"/>
          <w:szCs w:val="22"/>
        </w:rPr>
      </w:pPr>
    </w:p>
    <w:p w:rsidR="00E2356A" w:rsidRPr="00050CC6" w:rsidRDefault="00A9003C" w:rsidP="0079094C">
      <w:pPr>
        <w:numPr>
          <w:ilvl w:val="1"/>
          <w:numId w:val="4"/>
        </w:numPr>
        <w:ind w:left="567" w:hanging="567"/>
        <w:jc w:val="both"/>
        <w:rPr>
          <w:rFonts w:ascii="Arial" w:hAnsi="Arial" w:cs="Arial"/>
          <w:b/>
          <w:sz w:val="22"/>
          <w:szCs w:val="22"/>
        </w:rPr>
      </w:pPr>
      <w:r w:rsidRPr="002E35F7">
        <w:rPr>
          <w:rFonts w:ascii="Arial" w:hAnsi="Arial" w:cs="Arial"/>
          <w:sz w:val="22"/>
          <w:szCs w:val="22"/>
        </w:rPr>
        <w:t>The application was publicised by way of neighbour notification letters and a notice displayed near to the site. The comments raised by third parties are summarised as follows:</w:t>
      </w:r>
    </w:p>
    <w:p w:rsidR="00050CC6" w:rsidRPr="00050CC6" w:rsidRDefault="00050CC6" w:rsidP="00050CC6">
      <w:pPr>
        <w:ind w:left="567"/>
        <w:jc w:val="both"/>
        <w:rPr>
          <w:rFonts w:ascii="Arial" w:hAnsi="Arial" w:cs="Arial"/>
          <w:b/>
          <w:sz w:val="22"/>
          <w:szCs w:val="22"/>
        </w:rPr>
      </w:pPr>
      <w:r>
        <w:rPr>
          <w:rFonts w:ascii="Arial" w:hAnsi="Arial" w:cs="Arial"/>
          <w:sz w:val="22"/>
          <w:szCs w:val="22"/>
        </w:rPr>
        <w:t>18 Hart Walk-Objects: Not in keeping with frontage and endanger birch trees.</w:t>
      </w:r>
    </w:p>
    <w:p w:rsidR="00D3792F" w:rsidRPr="002E35F7" w:rsidRDefault="00D3792F" w:rsidP="00050CC6">
      <w:pPr>
        <w:spacing w:after="240"/>
        <w:jc w:val="both"/>
        <w:rPr>
          <w:rFonts w:ascii="Arial" w:hAnsi="Arial" w:cs="Arial"/>
          <w:b/>
          <w:sz w:val="22"/>
          <w:szCs w:val="22"/>
        </w:rPr>
      </w:pPr>
    </w:p>
    <w:p w:rsidR="00E34DE8" w:rsidRDefault="00E2356A" w:rsidP="00AD206D">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 xml:space="preserve">Response to </w:t>
      </w:r>
      <w:r w:rsidR="00E8522C" w:rsidRPr="00A64752">
        <w:rPr>
          <w:rFonts w:ascii="Arial" w:hAnsi="Arial" w:cs="Arial"/>
          <w:b/>
          <w:sz w:val="22"/>
          <w:szCs w:val="22"/>
        </w:rPr>
        <w:t>Consultation</w:t>
      </w:r>
    </w:p>
    <w:p w:rsidR="00A64752" w:rsidRPr="00A64752" w:rsidRDefault="00A64752" w:rsidP="00A64752">
      <w:pPr>
        <w:tabs>
          <w:tab w:val="left" w:pos="6480"/>
        </w:tabs>
        <w:jc w:val="both"/>
        <w:rPr>
          <w:rFonts w:ascii="Arial" w:hAnsi="Arial" w:cs="Arial"/>
          <w:b/>
          <w:sz w:val="22"/>
          <w:szCs w:val="22"/>
        </w:rPr>
      </w:pPr>
    </w:p>
    <w:p w:rsidR="00AD206D" w:rsidRPr="00050CC6" w:rsidRDefault="00D3792F" w:rsidP="0079094C">
      <w:pPr>
        <w:numPr>
          <w:ilvl w:val="1"/>
          <w:numId w:val="5"/>
        </w:numPr>
        <w:spacing w:after="240"/>
        <w:ind w:left="567" w:hanging="567"/>
        <w:jc w:val="both"/>
        <w:rPr>
          <w:rFonts w:ascii="Arial" w:hAnsi="Arial" w:cs="Arial"/>
          <w:b/>
          <w:sz w:val="22"/>
          <w:szCs w:val="22"/>
        </w:rPr>
      </w:pPr>
      <w:r>
        <w:rPr>
          <w:rFonts w:ascii="Arial" w:hAnsi="Arial" w:cs="Arial"/>
          <w:sz w:val="22"/>
          <w:szCs w:val="22"/>
          <w:u w:val="single"/>
        </w:rPr>
        <w:t xml:space="preserve">Upper Heyford Parish </w:t>
      </w:r>
      <w:r w:rsidR="00A64752" w:rsidRPr="00A64752">
        <w:rPr>
          <w:rFonts w:ascii="Arial" w:hAnsi="Arial" w:cs="Arial"/>
          <w:sz w:val="22"/>
          <w:szCs w:val="22"/>
          <w:u w:val="single"/>
        </w:rPr>
        <w:t>Council:</w:t>
      </w:r>
      <w:r>
        <w:rPr>
          <w:rFonts w:ascii="Arial" w:hAnsi="Arial" w:cs="Arial"/>
          <w:sz w:val="22"/>
          <w:szCs w:val="22"/>
          <w:u w:val="single"/>
        </w:rPr>
        <w:t xml:space="preserve"> </w:t>
      </w:r>
      <w:r w:rsidRPr="00D3792F">
        <w:rPr>
          <w:rFonts w:ascii="Arial" w:hAnsi="Arial" w:cs="Arial"/>
          <w:sz w:val="22"/>
          <w:szCs w:val="22"/>
        </w:rPr>
        <w:t>No objection</w:t>
      </w:r>
    </w:p>
    <w:p w:rsidR="00AD206D" w:rsidRPr="00050CC6" w:rsidRDefault="00E2356A" w:rsidP="0079094C">
      <w:pPr>
        <w:numPr>
          <w:ilvl w:val="1"/>
          <w:numId w:val="5"/>
        </w:numPr>
        <w:spacing w:after="240"/>
        <w:ind w:left="567" w:hanging="567"/>
        <w:jc w:val="both"/>
        <w:rPr>
          <w:rFonts w:ascii="Arial" w:hAnsi="Arial" w:cs="Arial"/>
          <w:b/>
          <w:sz w:val="22"/>
          <w:szCs w:val="22"/>
          <w:u w:val="single"/>
        </w:rPr>
      </w:pPr>
      <w:r w:rsidRPr="002E35F7">
        <w:rPr>
          <w:rFonts w:ascii="Arial" w:hAnsi="Arial" w:cs="Arial"/>
          <w:sz w:val="22"/>
          <w:szCs w:val="22"/>
          <w:u w:val="single"/>
        </w:rPr>
        <w:t>Oxfordshire County Council:</w:t>
      </w:r>
      <w:r w:rsidR="00D3792F">
        <w:rPr>
          <w:rFonts w:ascii="Arial" w:hAnsi="Arial" w:cs="Arial"/>
          <w:sz w:val="22"/>
          <w:szCs w:val="22"/>
          <w:u w:val="single"/>
        </w:rPr>
        <w:t xml:space="preserve"> </w:t>
      </w:r>
      <w:r w:rsidR="00050CC6">
        <w:rPr>
          <w:rFonts w:ascii="Arial" w:hAnsi="Arial" w:cs="Arial"/>
          <w:sz w:val="22"/>
          <w:szCs w:val="22"/>
        </w:rPr>
        <w:t>No objection</w:t>
      </w:r>
    </w:p>
    <w:p w:rsidR="002E35F7" w:rsidRPr="002E35F7" w:rsidRDefault="00E2356A" w:rsidP="0079094C">
      <w:pPr>
        <w:numPr>
          <w:ilvl w:val="1"/>
          <w:numId w:val="5"/>
        </w:numPr>
        <w:spacing w:after="240"/>
        <w:ind w:left="567" w:hanging="567"/>
        <w:jc w:val="both"/>
        <w:rPr>
          <w:rFonts w:ascii="Arial" w:hAnsi="Arial" w:cs="Arial"/>
          <w:b/>
          <w:sz w:val="22"/>
          <w:szCs w:val="22"/>
          <w:u w:val="single"/>
        </w:rPr>
      </w:pPr>
      <w:r w:rsidRPr="002E35F7">
        <w:rPr>
          <w:rFonts w:ascii="Arial" w:hAnsi="Arial" w:cs="Arial"/>
          <w:sz w:val="22"/>
          <w:szCs w:val="22"/>
          <w:u w:val="single"/>
        </w:rPr>
        <w:t>Other Consultees</w:t>
      </w:r>
      <w:r w:rsidRPr="00050CC6">
        <w:rPr>
          <w:rFonts w:ascii="Arial" w:hAnsi="Arial" w:cs="Arial"/>
          <w:sz w:val="22"/>
          <w:szCs w:val="22"/>
        </w:rPr>
        <w:t>:</w:t>
      </w:r>
      <w:r w:rsidR="00050CC6" w:rsidRPr="00050CC6">
        <w:rPr>
          <w:rFonts w:ascii="Arial" w:hAnsi="Arial" w:cs="Arial"/>
          <w:sz w:val="22"/>
          <w:szCs w:val="22"/>
        </w:rPr>
        <w:t xml:space="preserve"> CDC</w:t>
      </w:r>
      <w:r w:rsidR="00050CC6">
        <w:rPr>
          <w:rFonts w:ascii="Arial" w:hAnsi="Arial" w:cs="Arial"/>
          <w:sz w:val="22"/>
          <w:szCs w:val="22"/>
        </w:rPr>
        <w:t xml:space="preserve"> Tree Officer-No Objection</w:t>
      </w:r>
    </w:p>
    <w:p w:rsidR="00E34DE8" w:rsidRDefault="00E34DE8" w:rsidP="00E33E9F">
      <w:pPr>
        <w:jc w:val="both"/>
        <w:rPr>
          <w:rFonts w:ascii="Arial" w:hAnsi="Arial" w:cs="Arial"/>
          <w:sz w:val="22"/>
          <w:szCs w:val="22"/>
        </w:rPr>
      </w:pPr>
    </w:p>
    <w:p w:rsidR="00E33E9F" w:rsidRPr="00A64752" w:rsidRDefault="00E33E9F" w:rsidP="00E33E9F">
      <w:pPr>
        <w:jc w:val="both"/>
        <w:rPr>
          <w:rFonts w:ascii="Arial" w:hAnsi="Arial" w:cs="Arial"/>
          <w:sz w:val="22"/>
          <w:szCs w:val="22"/>
        </w:rPr>
      </w:pPr>
    </w:p>
    <w:p w:rsidR="00E2356A" w:rsidRPr="00A64752" w:rsidRDefault="00E2356A" w:rsidP="009E7FA9">
      <w:pPr>
        <w:ind w:left="567"/>
        <w:jc w:val="both"/>
        <w:rPr>
          <w:rFonts w:ascii="Arial" w:hAnsi="Arial" w:cs="Arial"/>
          <w:sz w:val="22"/>
          <w:szCs w:val="22"/>
        </w:rPr>
      </w:pPr>
    </w:p>
    <w:p w:rsidR="00E34DE8" w:rsidRPr="00A64752" w:rsidRDefault="00E34DE8"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lastRenderedPageBreak/>
        <w:t xml:space="preserve">Relevant National and Local </w:t>
      </w:r>
      <w:r w:rsidR="00167904" w:rsidRPr="00A64752">
        <w:rPr>
          <w:rFonts w:ascii="Arial" w:hAnsi="Arial" w:cs="Arial"/>
          <w:b/>
          <w:sz w:val="22"/>
          <w:szCs w:val="22"/>
        </w:rPr>
        <w:t xml:space="preserve">Planning </w:t>
      </w:r>
      <w:r w:rsidRPr="00A64752">
        <w:rPr>
          <w:rFonts w:ascii="Arial" w:hAnsi="Arial" w:cs="Arial"/>
          <w:b/>
          <w:sz w:val="22"/>
          <w:szCs w:val="22"/>
        </w:rPr>
        <w:t>Policy and Guidance</w:t>
      </w:r>
    </w:p>
    <w:p w:rsidR="00E34DE8" w:rsidRPr="00A64752" w:rsidRDefault="00E34DE8" w:rsidP="00A913FC">
      <w:pPr>
        <w:tabs>
          <w:tab w:val="left" w:pos="6480"/>
        </w:tabs>
        <w:jc w:val="both"/>
        <w:rPr>
          <w:rFonts w:ascii="Arial" w:hAnsi="Arial" w:cs="Arial"/>
          <w:b/>
          <w:sz w:val="22"/>
          <w:szCs w:val="22"/>
        </w:rPr>
      </w:pPr>
    </w:p>
    <w:p w:rsidR="0019459F" w:rsidRPr="00A64752" w:rsidRDefault="003858CB" w:rsidP="0019459F">
      <w:pPr>
        <w:ind w:firstLine="567"/>
        <w:jc w:val="both"/>
        <w:rPr>
          <w:rFonts w:ascii="Arial" w:hAnsi="Arial" w:cs="Arial"/>
          <w:b/>
          <w:sz w:val="22"/>
          <w:szCs w:val="22"/>
        </w:rPr>
      </w:pPr>
      <w:r w:rsidRPr="00A64752">
        <w:rPr>
          <w:rFonts w:ascii="Arial" w:hAnsi="Arial" w:cs="Arial"/>
          <w:b/>
          <w:sz w:val="22"/>
          <w:szCs w:val="22"/>
        </w:rPr>
        <w:t>Development Plan Policies</w:t>
      </w:r>
    </w:p>
    <w:p w:rsidR="003858CB" w:rsidRPr="00A64752" w:rsidRDefault="003858CB" w:rsidP="0019459F">
      <w:pPr>
        <w:ind w:firstLine="567"/>
        <w:jc w:val="both"/>
        <w:rPr>
          <w:rFonts w:ascii="Arial" w:hAnsi="Arial" w:cs="Arial"/>
          <w:b/>
          <w:sz w:val="22"/>
          <w:szCs w:val="22"/>
        </w:rPr>
      </w:pPr>
    </w:p>
    <w:p w:rsidR="003858CB" w:rsidRPr="00A64752" w:rsidRDefault="003858CB" w:rsidP="00EF5F71">
      <w:pPr>
        <w:ind w:left="567"/>
        <w:jc w:val="both"/>
        <w:rPr>
          <w:rFonts w:ascii="Arial" w:hAnsi="Arial" w:cs="Arial"/>
          <w:b/>
          <w:sz w:val="22"/>
          <w:szCs w:val="22"/>
        </w:rPr>
      </w:pPr>
      <w:r w:rsidRPr="00A64752">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Pr="00A64752" w:rsidRDefault="0019459F" w:rsidP="0019459F">
      <w:pPr>
        <w:ind w:firstLine="567"/>
        <w:jc w:val="both"/>
        <w:rPr>
          <w:rFonts w:ascii="Arial" w:hAnsi="Arial" w:cs="Arial"/>
          <w:b/>
          <w:sz w:val="22"/>
          <w:szCs w:val="22"/>
        </w:rPr>
      </w:pPr>
    </w:p>
    <w:p w:rsidR="00886567" w:rsidRPr="00A64752" w:rsidRDefault="00CA399E" w:rsidP="00CA399E">
      <w:pPr>
        <w:ind w:left="567"/>
        <w:rPr>
          <w:rFonts w:ascii="Arial" w:hAnsi="Arial" w:cs="Arial"/>
          <w:sz w:val="22"/>
          <w:szCs w:val="22"/>
          <w:u w:val="single"/>
        </w:rPr>
      </w:pPr>
      <w:r w:rsidRPr="00A64752">
        <w:rPr>
          <w:rFonts w:ascii="Arial" w:hAnsi="Arial" w:cs="Arial"/>
          <w:sz w:val="22"/>
          <w:szCs w:val="22"/>
          <w:u w:val="single"/>
        </w:rPr>
        <w:t>Cherwell Local Plan 2011 - 2031 Part 1</w:t>
      </w:r>
    </w:p>
    <w:p w:rsidR="00886567" w:rsidRPr="00A64752" w:rsidRDefault="00886567" w:rsidP="00CA399E">
      <w:pPr>
        <w:ind w:left="567"/>
        <w:rPr>
          <w:rFonts w:ascii="Arial" w:hAnsi="Arial" w:cs="Arial"/>
          <w:sz w:val="22"/>
          <w:szCs w:val="22"/>
          <w:u w:val="single"/>
        </w:rPr>
      </w:pPr>
    </w:p>
    <w:p w:rsidR="00CA399E" w:rsidRPr="00A64752" w:rsidRDefault="00CA399E" w:rsidP="00CA399E">
      <w:pPr>
        <w:tabs>
          <w:tab w:val="left" w:pos="567"/>
        </w:tabs>
        <w:ind w:left="567"/>
        <w:jc w:val="both"/>
        <w:rPr>
          <w:rFonts w:ascii="Arial" w:hAnsi="Arial" w:cs="Arial"/>
          <w:sz w:val="22"/>
          <w:szCs w:val="22"/>
          <w:u w:val="single"/>
        </w:rPr>
      </w:pPr>
      <w:r w:rsidRPr="00A64752">
        <w:rPr>
          <w:rFonts w:ascii="Arial" w:hAnsi="Arial" w:cs="Arial"/>
          <w:sz w:val="22"/>
          <w:szCs w:val="22"/>
        </w:rPr>
        <w:t>VIL5 - Former RAF Upper Heyford</w:t>
      </w:r>
    </w:p>
    <w:p w:rsidR="00CA399E" w:rsidRPr="00A64752" w:rsidRDefault="00CA399E" w:rsidP="00CA399E">
      <w:pPr>
        <w:tabs>
          <w:tab w:val="left" w:pos="567"/>
        </w:tabs>
        <w:ind w:left="567"/>
        <w:jc w:val="both"/>
        <w:rPr>
          <w:rFonts w:ascii="Arial" w:hAnsi="Arial" w:cs="Arial"/>
          <w:sz w:val="22"/>
          <w:szCs w:val="22"/>
          <w:u w:val="single"/>
        </w:rPr>
      </w:pPr>
      <w:r w:rsidRPr="00A64752">
        <w:rPr>
          <w:rFonts w:ascii="Arial" w:hAnsi="Arial" w:cs="Arial"/>
          <w:sz w:val="22"/>
          <w:szCs w:val="22"/>
        </w:rPr>
        <w:t>ESD15 - The Character of the Built Environment</w:t>
      </w:r>
    </w:p>
    <w:p w:rsidR="00CA399E" w:rsidRPr="00A64752" w:rsidRDefault="00CA399E" w:rsidP="00CA399E">
      <w:pPr>
        <w:tabs>
          <w:tab w:val="left" w:pos="567"/>
        </w:tabs>
        <w:ind w:left="567"/>
        <w:jc w:val="both"/>
        <w:rPr>
          <w:rFonts w:ascii="Arial" w:hAnsi="Arial" w:cs="Arial"/>
          <w:sz w:val="22"/>
          <w:szCs w:val="22"/>
          <w:u w:val="single"/>
        </w:rPr>
      </w:pPr>
      <w:r w:rsidRPr="00A64752">
        <w:rPr>
          <w:rFonts w:ascii="Arial" w:hAnsi="Arial" w:cs="Arial"/>
          <w:sz w:val="22"/>
          <w:szCs w:val="22"/>
        </w:rPr>
        <w:t>ESD13 - Local Landscape Protection and Enhancement</w:t>
      </w:r>
    </w:p>
    <w:p w:rsidR="00CA399E" w:rsidRPr="00A64752" w:rsidRDefault="00CA399E" w:rsidP="00CA399E">
      <w:pPr>
        <w:tabs>
          <w:tab w:val="left" w:pos="567"/>
        </w:tabs>
        <w:ind w:left="567"/>
        <w:jc w:val="both"/>
        <w:rPr>
          <w:rFonts w:ascii="Arial" w:hAnsi="Arial" w:cs="Arial"/>
          <w:sz w:val="22"/>
          <w:szCs w:val="22"/>
        </w:rPr>
      </w:pPr>
      <w:r w:rsidRPr="00A64752">
        <w:rPr>
          <w:rFonts w:ascii="Arial" w:hAnsi="Arial" w:cs="Arial"/>
          <w:sz w:val="22"/>
          <w:szCs w:val="22"/>
        </w:rPr>
        <w:t>ESD3 - Sustainable Construction</w:t>
      </w:r>
    </w:p>
    <w:p w:rsidR="00CA399E" w:rsidRPr="00A64752" w:rsidRDefault="00CA399E" w:rsidP="0019459F">
      <w:pPr>
        <w:ind w:firstLine="567"/>
        <w:jc w:val="both"/>
        <w:rPr>
          <w:rFonts w:ascii="Arial" w:hAnsi="Arial" w:cs="Arial"/>
          <w:b/>
          <w:sz w:val="22"/>
          <w:szCs w:val="22"/>
        </w:rPr>
      </w:pPr>
    </w:p>
    <w:p w:rsidR="0019459F" w:rsidRPr="00A64752" w:rsidRDefault="0019459F" w:rsidP="0024539F">
      <w:pPr>
        <w:ind w:left="567"/>
        <w:jc w:val="both"/>
        <w:rPr>
          <w:rFonts w:ascii="Arial" w:hAnsi="Arial" w:cs="Arial"/>
          <w:sz w:val="22"/>
          <w:szCs w:val="22"/>
        </w:rPr>
      </w:pPr>
      <w:r w:rsidRPr="00A64752">
        <w:rPr>
          <w:rFonts w:ascii="Arial" w:hAnsi="Arial" w:cs="Arial"/>
          <w:sz w:val="22"/>
          <w:szCs w:val="22"/>
          <w:u w:val="single"/>
        </w:rPr>
        <w:t>Cherwell Local Plan</w:t>
      </w:r>
      <w:r w:rsidR="009156BF" w:rsidRPr="00A64752">
        <w:rPr>
          <w:rFonts w:ascii="Arial" w:hAnsi="Arial" w:cs="Arial"/>
          <w:sz w:val="22"/>
          <w:szCs w:val="22"/>
          <w:u w:val="single"/>
        </w:rPr>
        <w:t xml:space="preserve"> 1996</w:t>
      </w:r>
      <w:r w:rsidRPr="00A64752">
        <w:rPr>
          <w:rFonts w:ascii="Arial" w:hAnsi="Arial" w:cs="Arial"/>
          <w:sz w:val="22"/>
          <w:szCs w:val="22"/>
          <w:u w:val="single"/>
        </w:rPr>
        <w:t xml:space="preserve"> (Saved Policies)</w:t>
      </w:r>
      <w:r w:rsidRPr="00A64752">
        <w:rPr>
          <w:rFonts w:ascii="Arial" w:hAnsi="Arial" w:cs="Arial"/>
          <w:sz w:val="22"/>
          <w:szCs w:val="22"/>
        </w:rPr>
        <w:t xml:space="preserve"> </w:t>
      </w:r>
    </w:p>
    <w:p w:rsidR="0019459F" w:rsidRPr="00A64752" w:rsidRDefault="0019459F" w:rsidP="0019459F">
      <w:pPr>
        <w:tabs>
          <w:tab w:val="left" w:pos="709"/>
        </w:tabs>
        <w:ind w:left="567"/>
        <w:jc w:val="both"/>
        <w:rPr>
          <w:rFonts w:ascii="Arial" w:hAnsi="Arial" w:cs="Arial"/>
          <w:sz w:val="22"/>
          <w:szCs w:val="22"/>
        </w:rPr>
      </w:pPr>
      <w:r w:rsidRPr="00A64752">
        <w:rPr>
          <w:rFonts w:ascii="Arial" w:hAnsi="Arial" w:cs="Arial"/>
          <w:sz w:val="22"/>
          <w:szCs w:val="22"/>
        </w:rPr>
        <w:t xml:space="preserve">C28 - Layout, design and external appearance of new development </w:t>
      </w:r>
    </w:p>
    <w:p w:rsidR="0019459F" w:rsidRPr="00A64752" w:rsidRDefault="0019459F" w:rsidP="0019459F">
      <w:pPr>
        <w:tabs>
          <w:tab w:val="left" w:pos="709"/>
        </w:tabs>
        <w:ind w:left="567"/>
        <w:jc w:val="both"/>
        <w:rPr>
          <w:rFonts w:ascii="Arial" w:hAnsi="Arial" w:cs="Arial"/>
          <w:sz w:val="22"/>
          <w:szCs w:val="22"/>
        </w:rPr>
      </w:pPr>
      <w:r w:rsidRPr="00A64752">
        <w:rPr>
          <w:rFonts w:ascii="Arial" w:hAnsi="Arial" w:cs="Arial"/>
          <w:sz w:val="22"/>
          <w:szCs w:val="22"/>
        </w:rPr>
        <w:t xml:space="preserve">C30 - Design of new residential development </w:t>
      </w:r>
    </w:p>
    <w:p w:rsidR="0019459F" w:rsidRPr="00A64752" w:rsidRDefault="0019459F" w:rsidP="0019459F">
      <w:pPr>
        <w:ind w:firstLine="567"/>
        <w:jc w:val="both"/>
        <w:rPr>
          <w:rFonts w:ascii="Arial" w:hAnsi="Arial" w:cs="Arial"/>
          <w:b/>
          <w:sz w:val="22"/>
          <w:szCs w:val="22"/>
        </w:rPr>
      </w:pPr>
    </w:p>
    <w:p w:rsidR="0019459F" w:rsidRPr="00A64752" w:rsidRDefault="0019459F" w:rsidP="0019459F">
      <w:pPr>
        <w:tabs>
          <w:tab w:val="left" w:pos="709"/>
        </w:tabs>
        <w:ind w:firstLine="567"/>
        <w:jc w:val="both"/>
        <w:rPr>
          <w:rFonts w:ascii="Arial" w:hAnsi="Arial" w:cs="Arial"/>
          <w:b/>
          <w:sz w:val="22"/>
          <w:szCs w:val="22"/>
        </w:rPr>
      </w:pPr>
      <w:r w:rsidRPr="00A64752">
        <w:rPr>
          <w:rFonts w:ascii="Arial" w:hAnsi="Arial" w:cs="Arial"/>
          <w:b/>
          <w:sz w:val="22"/>
          <w:szCs w:val="22"/>
        </w:rPr>
        <w:t>Other Material Planning Considerations</w:t>
      </w:r>
    </w:p>
    <w:p w:rsidR="0019459F" w:rsidRPr="00A64752" w:rsidRDefault="0019459F" w:rsidP="0019459F">
      <w:pPr>
        <w:tabs>
          <w:tab w:val="left" w:pos="432"/>
        </w:tabs>
        <w:ind w:firstLine="567"/>
        <w:jc w:val="both"/>
        <w:rPr>
          <w:rFonts w:ascii="Arial" w:hAnsi="Arial" w:cs="Arial"/>
          <w:sz w:val="22"/>
          <w:szCs w:val="22"/>
        </w:rPr>
      </w:pPr>
    </w:p>
    <w:p w:rsidR="0019459F" w:rsidRPr="00A64752" w:rsidRDefault="0019459F" w:rsidP="0019459F">
      <w:pPr>
        <w:tabs>
          <w:tab w:val="left" w:pos="709"/>
        </w:tabs>
        <w:ind w:firstLine="567"/>
        <w:jc w:val="both"/>
        <w:rPr>
          <w:rFonts w:ascii="Arial" w:hAnsi="Arial" w:cs="Arial"/>
          <w:sz w:val="22"/>
          <w:szCs w:val="22"/>
        </w:rPr>
      </w:pPr>
      <w:r w:rsidRPr="00A64752">
        <w:rPr>
          <w:rFonts w:ascii="Arial" w:hAnsi="Arial" w:cs="Arial"/>
          <w:sz w:val="22"/>
          <w:szCs w:val="22"/>
        </w:rPr>
        <w:t>National Planning Policy Framework (</w:t>
      </w:r>
      <w:r w:rsidR="00886567" w:rsidRPr="00A64752">
        <w:rPr>
          <w:rFonts w:ascii="Arial" w:hAnsi="Arial" w:cs="Arial"/>
          <w:sz w:val="22"/>
          <w:szCs w:val="22"/>
        </w:rPr>
        <w:t>The Framework</w:t>
      </w:r>
      <w:r w:rsidRPr="00A64752">
        <w:rPr>
          <w:rFonts w:ascii="Arial" w:hAnsi="Arial" w:cs="Arial"/>
          <w:sz w:val="22"/>
          <w:szCs w:val="22"/>
        </w:rPr>
        <w:t>)</w:t>
      </w:r>
    </w:p>
    <w:p w:rsidR="0019459F" w:rsidRDefault="0019459F" w:rsidP="0019459F">
      <w:pPr>
        <w:tabs>
          <w:tab w:val="left" w:pos="709"/>
        </w:tabs>
        <w:ind w:firstLine="567"/>
        <w:jc w:val="both"/>
        <w:rPr>
          <w:rFonts w:ascii="Arial" w:hAnsi="Arial" w:cs="Arial"/>
          <w:sz w:val="22"/>
          <w:szCs w:val="22"/>
        </w:rPr>
      </w:pPr>
      <w:r w:rsidRPr="00A64752">
        <w:rPr>
          <w:rFonts w:ascii="Arial" w:hAnsi="Arial" w:cs="Arial"/>
          <w:sz w:val="22"/>
          <w:szCs w:val="22"/>
        </w:rPr>
        <w:t>Planning Practice Guidance (</w:t>
      </w:r>
      <w:r w:rsidR="00886567" w:rsidRPr="00A64752">
        <w:rPr>
          <w:rFonts w:ascii="Arial" w:hAnsi="Arial" w:cs="Arial"/>
          <w:sz w:val="22"/>
          <w:szCs w:val="22"/>
        </w:rPr>
        <w:t>N</w:t>
      </w:r>
      <w:r w:rsidRPr="00A64752">
        <w:rPr>
          <w:rFonts w:ascii="Arial" w:hAnsi="Arial" w:cs="Arial"/>
          <w:sz w:val="22"/>
          <w:szCs w:val="22"/>
        </w:rPr>
        <w:t>PPG)</w:t>
      </w:r>
    </w:p>
    <w:p w:rsidR="00050CC6" w:rsidRDefault="00050CC6" w:rsidP="0019459F">
      <w:pPr>
        <w:tabs>
          <w:tab w:val="left" w:pos="709"/>
        </w:tabs>
        <w:ind w:firstLine="567"/>
        <w:jc w:val="both"/>
        <w:rPr>
          <w:rFonts w:ascii="Arial" w:hAnsi="Arial" w:cs="Arial"/>
          <w:sz w:val="22"/>
          <w:szCs w:val="22"/>
        </w:rPr>
      </w:pPr>
    </w:p>
    <w:p w:rsidR="00050CC6" w:rsidRPr="00050CC6" w:rsidRDefault="00050CC6" w:rsidP="00050CC6">
      <w:pPr>
        <w:ind w:left="567" w:right="-35"/>
        <w:jc w:val="both"/>
        <w:rPr>
          <w:rFonts w:ascii="Arial" w:hAnsi="Arial" w:cs="Arial"/>
          <w:sz w:val="22"/>
          <w:szCs w:val="22"/>
          <w:lang w:eastAsia="en-US"/>
        </w:rPr>
      </w:pPr>
      <w:r w:rsidRPr="00050CC6">
        <w:rPr>
          <w:rFonts w:ascii="Arial" w:hAnsi="Arial" w:cs="Arial"/>
          <w:sz w:val="22"/>
          <w:szCs w:val="22"/>
          <w:lang w:eastAsia="en-US"/>
        </w:rPr>
        <w:t>RAF Upper Heyford Conservation Appraisal 2006 (UHCA)</w:t>
      </w:r>
    </w:p>
    <w:p w:rsidR="00050CC6" w:rsidRPr="00050CC6" w:rsidRDefault="00050CC6" w:rsidP="00050CC6">
      <w:pPr>
        <w:ind w:left="567" w:right="-35"/>
        <w:jc w:val="both"/>
        <w:rPr>
          <w:rFonts w:ascii="Arial" w:hAnsi="Arial" w:cs="Arial"/>
          <w:sz w:val="22"/>
          <w:szCs w:val="22"/>
          <w:u w:val="single"/>
          <w:lang w:eastAsia="en-US"/>
        </w:rPr>
      </w:pPr>
    </w:p>
    <w:p w:rsidR="00E8522C" w:rsidRPr="00A64752" w:rsidRDefault="00050CC6" w:rsidP="00050CC6">
      <w:pPr>
        <w:ind w:left="567" w:right="-35"/>
        <w:jc w:val="both"/>
        <w:rPr>
          <w:rFonts w:ascii="Arial" w:hAnsi="Arial" w:cs="Arial"/>
          <w:sz w:val="22"/>
          <w:szCs w:val="22"/>
        </w:rPr>
      </w:pPr>
      <w:r w:rsidRPr="00050CC6">
        <w:rPr>
          <w:rFonts w:ascii="Arial" w:hAnsi="Arial" w:cs="Arial"/>
          <w:sz w:val="22"/>
          <w:szCs w:val="22"/>
          <w:lang w:eastAsia="en-US"/>
        </w:rPr>
        <w:t xml:space="preserve">In addition a </w:t>
      </w:r>
      <w:r w:rsidRPr="00050CC6">
        <w:rPr>
          <w:rFonts w:ascii="Arial" w:hAnsi="Arial" w:cs="Arial"/>
          <w:sz w:val="22"/>
          <w:szCs w:val="22"/>
          <w:u w:val="single"/>
          <w:lang w:eastAsia="en-US"/>
        </w:rPr>
        <w:t>design code</w:t>
      </w:r>
      <w:r w:rsidRPr="00050CC6">
        <w:rPr>
          <w:rFonts w:ascii="Arial" w:hAnsi="Arial" w:cs="Arial"/>
          <w:sz w:val="22"/>
          <w:szCs w:val="22"/>
          <w:lang w:eastAsia="en-US"/>
        </w:rPr>
        <w:t xml:space="preserve"> was approved in October 2013 in order to comply with Condition 8 of </w:t>
      </w:r>
      <w:r w:rsidR="0035412E">
        <w:rPr>
          <w:rFonts w:ascii="Arial" w:hAnsi="Arial" w:cs="Arial"/>
          <w:sz w:val="22"/>
          <w:szCs w:val="22"/>
          <w:lang w:eastAsia="en-US"/>
        </w:rPr>
        <w:t>planning permission 10/010642/OUT.</w:t>
      </w:r>
      <w:r w:rsidRPr="00050CC6">
        <w:rPr>
          <w:rFonts w:ascii="Arial" w:hAnsi="Arial" w:cs="Arial"/>
          <w:sz w:val="22"/>
          <w:szCs w:val="22"/>
          <w:lang w:eastAsia="en-US"/>
        </w:rPr>
        <w:t xml:space="preserve"> This was required to</w:t>
      </w:r>
      <w:r w:rsidRPr="00050CC6">
        <w:rPr>
          <w:rFonts w:ascii="Arial" w:eastAsia="Calibri" w:hAnsi="Arial" w:cs="Arial"/>
          <w:sz w:val="22"/>
          <w:szCs w:val="22"/>
          <w:lang w:eastAsia="en-US"/>
        </w:rPr>
        <w:t xml:space="preserve"> “to ensure that the subsequent reserved matters applications are considered and determined by the Local Planning Authority in the context of an overall approach for the site consistent with the requirement to achieve a high quality design as set out in the Environmental Statement, the Revised Comprehensive Planning Brief for the site, and Policies UH4 of the Non Statutory Cherwell Local Plan, H2 of the Oxfordshire Structure Plan 2016 and comply with Policies CC6, CC7 and H5 of the South East Plan 2009.”</w:t>
      </w:r>
    </w:p>
    <w:p w:rsidR="00E34DE8" w:rsidRPr="00A64752" w:rsidRDefault="00E34DE8" w:rsidP="00467D08">
      <w:pPr>
        <w:tabs>
          <w:tab w:val="left" w:pos="0"/>
        </w:tabs>
        <w:jc w:val="both"/>
        <w:rPr>
          <w:rFonts w:ascii="Arial" w:hAnsi="Arial" w:cs="Arial"/>
          <w:sz w:val="22"/>
          <w:szCs w:val="22"/>
        </w:rPr>
      </w:pPr>
    </w:p>
    <w:p w:rsidR="00E34DE8" w:rsidRDefault="00E34DE8" w:rsidP="00C91378">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Appraisal</w:t>
      </w:r>
    </w:p>
    <w:p w:rsidR="00C91378" w:rsidRDefault="00C91378" w:rsidP="00C91378">
      <w:pPr>
        <w:tabs>
          <w:tab w:val="left" w:pos="6480"/>
        </w:tabs>
        <w:ind w:left="567"/>
        <w:jc w:val="both"/>
        <w:rPr>
          <w:rFonts w:ascii="Arial" w:hAnsi="Arial" w:cs="Arial"/>
          <w:b/>
          <w:sz w:val="22"/>
          <w:szCs w:val="22"/>
        </w:rPr>
      </w:pPr>
    </w:p>
    <w:p w:rsidR="00C91378" w:rsidRDefault="00C91378" w:rsidP="00C91378">
      <w:pPr>
        <w:ind w:left="567"/>
        <w:jc w:val="both"/>
        <w:rPr>
          <w:rFonts w:ascii="Arial" w:hAnsi="Arial" w:cs="Arial"/>
          <w:sz w:val="22"/>
          <w:szCs w:val="22"/>
        </w:rPr>
      </w:pPr>
      <w:r w:rsidRPr="00A64752">
        <w:rPr>
          <w:rFonts w:ascii="Arial" w:hAnsi="Arial" w:cs="Arial"/>
          <w:sz w:val="22"/>
          <w:szCs w:val="22"/>
        </w:rPr>
        <w:t>The key issues for consideration in this case are:</w:t>
      </w:r>
    </w:p>
    <w:p w:rsidR="00050CC6" w:rsidRDefault="00050CC6" w:rsidP="006F76F6">
      <w:pPr>
        <w:jc w:val="both"/>
        <w:rPr>
          <w:rFonts w:ascii="Arial" w:hAnsi="Arial" w:cs="Arial"/>
          <w:sz w:val="22"/>
          <w:szCs w:val="22"/>
        </w:rPr>
      </w:pPr>
    </w:p>
    <w:p w:rsidR="006F76F6" w:rsidRPr="00166211" w:rsidRDefault="006F76F6" w:rsidP="0079094C">
      <w:pPr>
        <w:numPr>
          <w:ilvl w:val="0"/>
          <w:numId w:val="9"/>
        </w:numPr>
        <w:ind w:hanging="153"/>
        <w:jc w:val="both"/>
        <w:rPr>
          <w:rFonts w:ascii="Arial" w:hAnsi="Arial" w:cs="Arial"/>
          <w:sz w:val="22"/>
          <w:szCs w:val="22"/>
        </w:rPr>
      </w:pPr>
      <w:r>
        <w:rPr>
          <w:rFonts w:ascii="Arial" w:hAnsi="Arial" w:cs="Arial"/>
          <w:sz w:val="22"/>
          <w:szCs w:val="22"/>
        </w:rPr>
        <w:t>Relevant planning history including principle</w:t>
      </w:r>
    </w:p>
    <w:p w:rsidR="006F76F6" w:rsidRDefault="006F76F6" w:rsidP="0079094C">
      <w:pPr>
        <w:numPr>
          <w:ilvl w:val="0"/>
          <w:numId w:val="10"/>
        </w:numPr>
        <w:ind w:hanging="153"/>
        <w:jc w:val="both"/>
        <w:rPr>
          <w:rFonts w:ascii="Arial" w:hAnsi="Arial" w:cs="Arial"/>
          <w:sz w:val="22"/>
          <w:szCs w:val="22"/>
        </w:rPr>
      </w:pPr>
      <w:r>
        <w:rPr>
          <w:rFonts w:ascii="Arial" w:hAnsi="Arial" w:cs="Arial"/>
          <w:sz w:val="22"/>
          <w:szCs w:val="22"/>
        </w:rPr>
        <w:t>Impact on character and appearance of Conservation Area</w:t>
      </w:r>
    </w:p>
    <w:p w:rsidR="006F76F6" w:rsidRDefault="006F76F6" w:rsidP="0079094C">
      <w:pPr>
        <w:numPr>
          <w:ilvl w:val="0"/>
          <w:numId w:val="10"/>
        </w:numPr>
        <w:ind w:hanging="153"/>
        <w:jc w:val="both"/>
        <w:rPr>
          <w:rFonts w:ascii="Arial" w:hAnsi="Arial" w:cs="Arial"/>
          <w:sz w:val="22"/>
          <w:szCs w:val="22"/>
        </w:rPr>
      </w:pPr>
      <w:r>
        <w:rPr>
          <w:rFonts w:ascii="Arial" w:hAnsi="Arial" w:cs="Arial"/>
          <w:sz w:val="22"/>
          <w:szCs w:val="22"/>
        </w:rPr>
        <w:t>Neighbouring amenity</w:t>
      </w:r>
    </w:p>
    <w:p w:rsidR="006F76F6" w:rsidRDefault="006F76F6" w:rsidP="0079094C">
      <w:pPr>
        <w:numPr>
          <w:ilvl w:val="0"/>
          <w:numId w:val="10"/>
        </w:numPr>
        <w:ind w:hanging="153"/>
        <w:jc w:val="both"/>
        <w:rPr>
          <w:rFonts w:ascii="Arial" w:hAnsi="Arial" w:cs="Arial"/>
          <w:sz w:val="22"/>
          <w:szCs w:val="22"/>
        </w:rPr>
      </w:pPr>
      <w:r>
        <w:rPr>
          <w:rFonts w:ascii="Arial" w:hAnsi="Arial" w:cs="Arial"/>
          <w:sz w:val="22"/>
          <w:szCs w:val="22"/>
        </w:rPr>
        <w:t>Highways</w:t>
      </w:r>
    </w:p>
    <w:p w:rsidR="00C91378" w:rsidRDefault="00C91378" w:rsidP="00C91378">
      <w:pPr>
        <w:ind w:left="567"/>
        <w:jc w:val="both"/>
        <w:rPr>
          <w:rFonts w:ascii="Arial" w:hAnsi="Arial" w:cs="Arial"/>
          <w:sz w:val="22"/>
          <w:szCs w:val="22"/>
        </w:rPr>
      </w:pPr>
    </w:p>
    <w:p w:rsidR="006F76F6" w:rsidRPr="00166211" w:rsidRDefault="006F76F6" w:rsidP="006F76F6">
      <w:pPr>
        <w:ind w:left="426"/>
        <w:jc w:val="both"/>
        <w:rPr>
          <w:rFonts w:ascii="Arial" w:hAnsi="Arial" w:cs="Arial"/>
          <w:sz w:val="22"/>
          <w:szCs w:val="22"/>
          <w:u w:val="single"/>
        </w:rPr>
      </w:pPr>
      <w:r w:rsidRPr="00166211">
        <w:rPr>
          <w:rFonts w:ascii="Arial" w:hAnsi="Arial" w:cs="Arial"/>
          <w:sz w:val="22"/>
          <w:szCs w:val="22"/>
          <w:u w:val="single"/>
        </w:rPr>
        <w:t>Relevant planning history including principle</w:t>
      </w:r>
    </w:p>
    <w:p w:rsidR="006F76F6" w:rsidRDefault="006F76F6" w:rsidP="006F76F6">
      <w:pPr>
        <w:jc w:val="both"/>
        <w:rPr>
          <w:rFonts w:ascii="Arial" w:hAnsi="Arial" w:cs="Arial"/>
          <w:sz w:val="22"/>
          <w:szCs w:val="22"/>
        </w:rPr>
      </w:pPr>
    </w:p>
    <w:p w:rsidR="00C91378" w:rsidRDefault="006F76F6" w:rsidP="0079094C">
      <w:pPr>
        <w:numPr>
          <w:ilvl w:val="1"/>
          <w:numId w:val="6"/>
        </w:numPr>
        <w:spacing w:after="240"/>
        <w:ind w:left="567" w:hanging="567"/>
        <w:jc w:val="both"/>
        <w:rPr>
          <w:rFonts w:ascii="Arial" w:hAnsi="Arial" w:cs="Arial"/>
          <w:sz w:val="22"/>
          <w:szCs w:val="22"/>
        </w:rPr>
      </w:pPr>
      <w:r>
        <w:rPr>
          <w:rFonts w:ascii="Arial" w:hAnsi="Arial" w:cs="Arial"/>
          <w:sz w:val="22"/>
          <w:szCs w:val="22"/>
        </w:rPr>
        <w:t>The principle of parking on the frontage between trees has been established and deemed to be acceptable under the original approval on the site. The main issues therefore to consider in this case are whether the proposed changes to the layout of the site are acceptable in light of the adopted local and national planning policy</w:t>
      </w:r>
    </w:p>
    <w:p w:rsidR="006F76F6" w:rsidRDefault="006F76F6" w:rsidP="006F76F6">
      <w:pPr>
        <w:ind w:left="426"/>
        <w:jc w:val="both"/>
        <w:rPr>
          <w:rFonts w:ascii="Arial" w:hAnsi="Arial" w:cs="Arial"/>
          <w:sz w:val="22"/>
          <w:szCs w:val="22"/>
          <w:u w:val="single"/>
        </w:rPr>
      </w:pPr>
      <w:r w:rsidRPr="00166211">
        <w:rPr>
          <w:rFonts w:ascii="Arial" w:hAnsi="Arial" w:cs="Arial"/>
          <w:sz w:val="22"/>
          <w:szCs w:val="22"/>
          <w:u w:val="single"/>
        </w:rPr>
        <w:lastRenderedPageBreak/>
        <w:t xml:space="preserve">Impact on character and appearance of </w:t>
      </w:r>
      <w:r>
        <w:rPr>
          <w:rFonts w:ascii="Arial" w:hAnsi="Arial" w:cs="Arial"/>
          <w:sz w:val="22"/>
          <w:szCs w:val="22"/>
          <w:u w:val="single"/>
        </w:rPr>
        <w:t>Conservation A</w:t>
      </w:r>
      <w:r w:rsidRPr="00166211">
        <w:rPr>
          <w:rFonts w:ascii="Arial" w:hAnsi="Arial" w:cs="Arial"/>
          <w:sz w:val="22"/>
          <w:szCs w:val="22"/>
          <w:u w:val="single"/>
        </w:rPr>
        <w:t xml:space="preserve">rea </w:t>
      </w:r>
    </w:p>
    <w:p w:rsidR="006F76F6" w:rsidRPr="00166211" w:rsidRDefault="006F76F6" w:rsidP="006F76F6">
      <w:pPr>
        <w:jc w:val="both"/>
        <w:rPr>
          <w:rFonts w:ascii="Arial" w:hAnsi="Arial" w:cs="Arial"/>
          <w:sz w:val="22"/>
          <w:szCs w:val="22"/>
          <w:u w:val="single"/>
        </w:rPr>
      </w:pPr>
    </w:p>
    <w:p w:rsidR="006F76F6" w:rsidRDefault="006F76F6" w:rsidP="0079094C">
      <w:pPr>
        <w:numPr>
          <w:ilvl w:val="1"/>
          <w:numId w:val="6"/>
        </w:numPr>
        <w:spacing w:after="240"/>
        <w:ind w:left="567" w:hanging="567"/>
        <w:jc w:val="both"/>
        <w:rPr>
          <w:rFonts w:ascii="Arial" w:hAnsi="Arial" w:cs="Arial"/>
          <w:sz w:val="22"/>
          <w:szCs w:val="22"/>
        </w:rPr>
      </w:pPr>
      <w:r w:rsidRPr="006F76F6">
        <w:rPr>
          <w:rFonts w:ascii="Arial" w:hAnsi="Arial" w:cs="Arial"/>
          <w:sz w:val="22"/>
          <w:szCs w:val="22"/>
        </w:rPr>
        <w:t>Policy ESD15 of the Cherwell Local Plan 2011-2031 Part 1 states new development will be expected to complement and enhance the character of its context through sensitive siting and layout and states all development will be required to meet high design standards.  It goes onto state development should respect the form, scale and massing of buildings in the surroundings.   Development should be designed to integrate with existing streets and buildings clearly configured to create defined active public frontages.  Saved Policy C28 and C30 of the Local Plan also seek to ensure high quality development.   The NPPF also seeks to ensure high quality development and paragraph 58 and 60 states development proposals should respond to the local character and surroundings and reinforce local distinctiveness.  Paragraph 64 states development should be refused for development of poor design that fails to take the opportunities available for improving the char</w:t>
      </w:r>
      <w:r>
        <w:rPr>
          <w:rFonts w:ascii="Arial" w:hAnsi="Arial" w:cs="Arial"/>
          <w:sz w:val="22"/>
          <w:szCs w:val="22"/>
        </w:rPr>
        <w:t>acter and quality of an area.</w:t>
      </w:r>
    </w:p>
    <w:p w:rsidR="006F76F6" w:rsidRDefault="006F76F6" w:rsidP="0079094C">
      <w:pPr>
        <w:numPr>
          <w:ilvl w:val="1"/>
          <w:numId w:val="6"/>
        </w:numPr>
        <w:spacing w:after="240"/>
        <w:ind w:left="567" w:hanging="567"/>
        <w:jc w:val="both"/>
        <w:rPr>
          <w:rFonts w:ascii="Arial" w:hAnsi="Arial" w:cs="Arial"/>
          <w:sz w:val="22"/>
          <w:szCs w:val="22"/>
        </w:rPr>
      </w:pPr>
      <w:r w:rsidRPr="006F76F6">
        <w:rPr>
          <w:rFonts w:ascii="Arial" w:hAnsi="Arial" w:cs="Arial"/>
          <w:sz w:val="22"/>
          <w:szCs w:val="22"/>
        </w:rPr>
        <w:t xml:space="preserve">The proposed alterations to </w:t>
      </w:r>
      <w:r>
        <w:rPr>
          <w:rFonts w:ascii="Arial" w:hAnsi="Arial" w:cs="Arial"/>
          <w:sz w:val="22"/>
          <w:szCs w:val="22"/>
        </w:rPr>
        <w:t xml:space="preserve">create a single parking space </w:t>
      </w:r>
      <w:r w:rsidRPr="006F76F6">
        <w:rPr>
          <w:rFonts w:ascii="Arial" w:hAnsi="Arial" w:cs="Arial"/>
          <w:sz w:val="22"/>
          <w:szCs w:val="22"/>
        </w:rPr>
        <w:t xml:space="preserve">do not </w:t>
      </w:r>
      <w:r>
        <w:rPr>
          <w:rFonts w:ascii="Arial" w:hAnsi="Arial" w:cs="Arial"/>
          <w:sz w:val="22"/>
          <w:szCs w:val="22"/>
        </w:rPr>
        <w:t xml:space="preserve">have a </w:t>
      </w:r>
      <w:r w:rsidRPr="006F76F6">
        <w:rPr>
          <w:rFonts w:ascii="Arial" w:hAnsi="Arial" w:cs="Arial"/>
          <w:sz w:val="22"/>
          <w:szCs w:val="22"/>
        </w:rPr>
        <w:t xml:space="preserve">significant impact on the appearance or the character of the </w:t>
      </w:r>
      <w:r>
        <w:rPr>
          <w:rFonts w:ascii="Arial" w:hAnsi="Arial" w:cs="Arial"/>
          <w:sz w:val="22"/>
          <w:szCs w:val="22"/>
        </w:rPr>
        <w:t>conservation area</w:t>
      </w:r>
      <w:r w:rsidRPr="006F76F6">
        <w:rPr>
          <w:rFonts w:ascii="Arial" w:hAnsi="Arial" w:cs="Arial"/>
          <w:sz w:val="22"/>
          <w:szCs w:val="22"/>
        </w:rPr>
        <w:t xml:space="preserve">. The </w:t>
      </w:r>
      <w:r>
        <w:rPr>
          <w:rFonts w:ascii="Arial" w:hAnsi="Arial" w:cs="Arial"/>
          <w:sz w:val="22"/>
          <w:szCs w:val="22"/>
        </w:rPr>
        <w:t xml:space="preserve">space will reflect what has already been permitted nearby and the change from grass to a gravel surface will be barely noticeable. </w:t>
      </w:r>
      <w:r w:rsidR="0090709B">
        <w:rPr>
          <w:rFonts w:ascii="Arial" w:hAnsi="Arial" w:cs="Arial"/>
          <w:sz w:val="22"/>
          <w:szCs w:val="22"/>
        </w:rPr>
        <w:t>The area already benefits from significant planting and when the replacement hedge is planted behind Camp Road the space and any car parked upon it will have a limited visual impact</w:t>
      </w:r>
      <w:r w:rsidR="00E33E9F">
        <w:rPr>
          <w:rFonts w:ascii="Arial" w:hAnsi="Arial" w:cs="Arial"/>
          <w:sz w:val="22"/>
          <w:szCs w:val="22"/>
        </w:rPr>
        <w:t xml:space="preserve">. The adjacent trees have been inspected by the Council’s Tree Officer who does not consider the development will adversely </w:t>
      </w:r>
      <w:proofErr w:type="spellStart"/>
      <w:proofErr w:type="gramStart"/>
      <w:r w:rsidR="00E33E9F">
        <w:rPr>
          <w:rFonts w:ascii="Arial" w:hAnsi="Arial" w:cs="Arial"/>
          <w:sz w:val="22"/>
          <w:szCs w:val="22"/>
        </w:rPr>
        <w:t>effect</w:t>
      </w:r>
      <w:proofErr w:type="gramEnd"/>
      <w:r w:rsidR="00E33E9F">
        <w:rPr>
          <w:rFonts w:ascii="Arial" w:hAnsi="Arial" w:cs="Arial"/>
          <w:sz w:val="22"/>
          <w:szCs w:val="22"/>
        </w:rPr>
        <w:t xml:space="preserve"> them</w:t>
      </w:r>
      <w:proofErr w:type="spellEnd"/>
      <w:r w:rsidR="00E33E9F">
        <w:rPr>
          <w:rFonts w:ascii="Arial" w:hAnsi="Arial" w:cs="Arial"/>
          <w:sz w:val="22"/>
          <w:szCs w:val="22"/>
        </w:rPr>
        <w:t>.</w:t>
      </w:r>
    </w:p>
    <w:p w:rsidR="0090709B" w:rsidRPr="0090709B" w:rsidRDefault="0090709B" w:rsidP="0090709B">
      <w:pPr>
        <w:spacing w:after="240"/>
        <w:ind w:left="360"/>
        <w:jc w:val="both"/>
        <w:rPr>
          <w:rFonts w:ascii="Arial" w:hAnsi="Arial" w:cs="Arial"/>
          <w:sz w:val="22"/>
          <w:szCs w:val="22"/>
          <w:u w:val="single"/>
        </w:rPr>
      </w:pPr>
      <w:r w:rsidRPr="0090709B">
        <w:rPr>
          <w:rFonts w:ascii="Arial" w:hAnsi="Arial" w:cs="Arial"/>
          <w:sz w:val="22"/>
          <w:szCs w:val="22"/>
          <w:u w:val="single"/>
        </w:rPr>
        <w:t>Impact on neighbouring amenity</w:t>
      </w:r>
    </w:p>
    <w:p w:rsidR="0090709B" w:rsidRDefault="0090709B" w:rsidP="0079094C">
      <w:pPr>
        <w:numPr>
          <w:ilvl w:val="1"/>
          <w:numId w:val="6"/>
        </w:numPr>
        <w:spacing w:after="240"/>
        <w:ind w:left="567" w:hanging="567"/>
        <w:jc w:val="both"/>
        <w:rPr>
          <w:rFonts w:ascii="Arial" w:hAnsi="Arial" w:cs="Arial"/>
          <w:sz w:val="22"/>
          <w:szCs w:val="22"/>
        </w:rPr>
      </w:pPr>
      <w:r w:rsidRPr="0090709B">
        <w:rPr>
          <w:rFonts w:ascii="Arial" w:hAnsi="Arial" w:cs="Arial"/>
          <w:sz w:val="22"/>
          <w:szCs w:val="22"/>
        </w:rPr>
        <w:t>Both the NPPF and Policy ESD15 of the Local Plan seek to ensure development proposals provide a good standard of amenity for both existing and proposed occupants of land and building relating to privacy, outlook, natural light and noise.</w:t>
      </w:r>
      <w:r>
        <w:rPr>
          <w:rFonts w:ascii="Arial" w:hAnsi="Arial" w:cs="Arial"/>
          <w:sz w:val="22"/>
          <w:szCs w:val="22"/>
        </w:rPr>
        <w:t xml:space="preserve"> In this case the proposed change</w:t>
      </w:r>
      <w:r w:rsidRPr="0090709B">
        <w:rPr>
          <w:rFonts w:ascii="Arial" w:hAnsi="Arial" w:cs="Arial"/>
          <w:sz w:val="22"/>
          <w:szCs w:val="22"/>
        </w:rPr>
        <w:t xml:space="preserve"> to the parking area is not considered to significantly impact on any of the neighbouring properties amenity </w:t>
      </w:r>
      <w:r>
        <w:rPr>
          <w:rFonts w:ascii="Arial" w:hAnsi="Arial" w:cs="Arial"/>
          <w:sz w:val="22"/>
          <w:szCs w:val="22"/>
        </w:rPr>
        <w:t>in terms of</w:t>
      </w:r>
      <w:r w:rsidRPr="0090709B">
        <w:rPr>
          <w:rFonts w:ascii="Arial" w:hAnsi="Arial" w:cs="Arial"/>
          <w:sz w:val="22"/>
          <w:szCs w:val="22"/>
        </w:rPr>
        <w:t xml:space="preserve"> noise and disturbance.</w:t>
      </w:r>
      <w:r>
        <w:rPr>
          <w:rFonts w:ascii="Arial" w:hAnsi="Arial" w:cs="Arial"/>
          <w:sz w:val="22"/>
          <w:szCs w:val="22"/>
        </w:rPr>
        <w:t xml:space="preserve"> In fact the only property directly affected is no 27 for whom the space is being provided.</w:t>
      </w:r>
    </w:p>
    <w:p w:rsidR="0090709B" w:rsidRPr="0090709B" w:rsidRDefault="0090709B" w:rsidP="0090709B">
      <w:pPr>
        <w:spacing w:after="240"/>
        <w:ind w:left="360"/>
        <w:jc w:val="both"/>
        <w:rPr>
          <w:rFonts w:ascii="Arial" w:hAnsi="Arial" w:cs="Arial"/>
          <w:sz w:val="22"/>
          <w:szCs w:val="22"/>
        </w:rPr>
      </w:pPr>
      <w:r w:rsidRPr="0090709B">
        <w:rPr>
          <w:rFonts w:ascii="Arial" w:hAnsi="Arial" w:cs="Arial"/>
          <w:sz w:val="22"/>
          <w:szCs w:val="22"/>
          <w:u w:val="single"/>
        </w:rPr>
        <w:t>Highways</w:t>
      </w:r>
    </w:p>
    <w:p w:rsidR="0090709B" w:rsidRPr="0090709B" w:rsidRDefault="0090709B" w:rsidP="0079094C">
      <w:pPr>
        <w:numPr>
          <w:ilvl w:val="1"/>
          <w:numId w:val="6"/>
        </w:numPr>
        <w:spacing w:after="240"/>
        <w:ind w:left="567" w:hanging="567"/>
        <w:jc w:val="both"/>
        <w:rPr>
          <w:rFonts w:ascii="Arial" w:hAnsi="Arial" w:cs="Arial"/>
          <w:sz w:val="22"/>
          <w:szCs w:val="22"/>
        </w:rPr>
      </w:pPr>
      <w:r w:rsidRPr="0090709B">
        <w:rPr>
          <w:rFonts w:ascii="Arial" w:hAnsi="Arial" w:cs="Arial"/>
          <w:sz w:val="22"/>
          <w:szCs w:val="22"/>
        </w:rPr>
        <w:t xml:space="preserve">The highway engineer has raised no concerns over the </w:t>
      </w:r>
      <w:r>
        <w:rPr>
          <w:rFonts w:ascii="Arial" w:hAnsi="Arial" w:cs="Arial"/>
          <w:sz w:val="22"/>
          <w:szCs w:val="22"/>
        </w:rPr>
        <w:t>creation</w:t>
      </w:r>
      <w:r w:rsidRPr="0090709B">
        <w:rPr>
          <w:rFonts w:ascii="Arial" w:hAnsi="Arial" w:cs="Arial"/>
          <w:sz w:val="22"/>
          <w:szCs w:val="22"/>
        </w:rPr>
        <w:t xml:space="preserve"> of this single visitor parking space</w:t>
      </w:r>
      <w:r>
        <w:rPr>
          <w:rFonts w:ascii="Arial" w:hAnsi="Arial" w:cs="Arial"/>
          <w:sz w:val="22"/>
          <w:szCs w:val="22"/>
        </w:rPr>
        <w:t xml:space="preserve"> the access to which already exists.</w:t>
      </w:r>
    </w:p>
    <w:p w:rsidR="0090709B" w:rsidRPr="00290FF4" w:rsidRDefault="0090709B" w:rsidP="0090709B">
      <w:pPr>
        <w:spacing w:after="240"/>
        <w:ind w:left="360"/>
        <w:jc w:val="both"/>
        <w:rPr>
          <w:rFonts w:ascii="Arial" w:hAnsi="Arial" w:cs="Arial"/>
          <w:sz w:val="22"/>
          <w:szCs w:val="22"/>
          <w:u w:val="single"/>
        </w:rPr>
      </w:pPr>
      <w:r w:rsidRPr="00290FF4">
        <w:rPr>
          <w:rFonts w:ascii="Arial" w:hAnsi="Arial" w:cs="Arial"/>
          <w:sz w:val="22"/>
          <w:szCs w:val="22"/>
          <w:u w:val="single"/>
        </w:rPr>
        <w:t>Engagement</w:t>
      </w:r>
    </w:p>
    <w:p w:rsidR="0090709B" w:rsidRPr="00000322" w:rsidRDefault="0090709B" w:rsidP="0090709B">
      <w:pPr>
        <w:spacing w:after="240"/>
        <w:ind w:left="360"/>
        <w:jc w:val="both"/>
        <w:rPr>
          <w:rFonts w:ascii="Arial" w:hAnsi="Arial" w:cs="Arial"/>
          <w:sz w:val="22"/>
          <w:szCs w:val="22"/>
        </w:rPr>
      </w:pPr>
      <w:r w:rsidRPr="00290FF4">
        <w:rPr>
          <w:rFonts w:ascii="Arial" w:hAnsi="Arial" w:cs="Arial"/>
          <w:sz w:val="22"/>
          <w:szCs w:val="22"/>
        </w:rPr>
        <w:t xml:space="preserve">With regard to the duty set out in paragraphs 186 and 187 of the Framework, the applicants’ agent was contacted in relation to concerns regarding the </w:t>
      </w:r>
      <w:r>
        <w:rPr>
          <w:rFonts w:ascii="Arial" w:hAnsi="Arial" w:cs="Arial"/>
          <w:sz w:val="22"/>
          <w:szCs w:val="22"/>
        </w:rPr>
        <w:t>scheme</w:t>
      </w:r>
      <w:r w:rsidRPr="00290FF4">
        <w:rPr>
          <w:rFonts w:ascii="Arial" w:hAnsi="Arial" w:cs="Arial"/>
          <w:sz w:val="22"/>
          <w:szCs w:val="22"/>
        </w:rPr>
        <w:t xml:space="preserve"> and the agent amended the proposal in order to seek to achieve a positive outcome. It is considered that the duty to be positive and proactive has been discharged through the approval of development that accords with sustainable development principles as set out in the NPPF.</w:t>
      </w:r>
    </w:p>
    <w:p w:rsidR="0032279D" w:rsidRDefault="00E34DE8" w:rsidP="00AD206D">
      <w:pPr>
        <w:numPr>
          <w:ilvl w:val="0"/>
          <w:numId w:val="2"/>
        </w:numPr>
        <w:tabs>
          <w:tab w:val="clear" w:pos="360"/>
          <w:tab w:val="left" w:pos="567"/>
        </w:tabs>
        <w:spacing w:after="240"/>
        <w:ind w:left="709" w:hanging="709"/>
        <w:jc w:val="both"/>
        <w:rPr>
          <w:rFonts w:ascii="Arial" w:hAnsi="Arial" w:cs="Arial"/>
          <w:b/>
          <w:sz w:val="22"/>
          <w:szCs w:val="22"/>
        </w:rPr>
      </w:pPr>
      <w:r w:rsidRPr="00A64752">
        <w:rPr>
          <w:rFonts w:ascii="Arial" w:hAnsi="Arial" w:cs="Arial"/>
          <w:b/>
          <w:sz w:val="22"/>
          <w:szCs w:val="22"/>
        </w:rPr>
        <w:t>Conclusion</w:t>
      </w:r>
    </w:p>
    <w:p w:rsidR="0090709B" w:rsidRPr="0090709B" w:rsidRDefault="0090709B" w:rsidP="0079094C">
      <w:pPr>
        <w:numPr>
          <w:ilvl w:val="1"/>
          <w:numId w:val="7"/>
        </w:numPr>
        <w:spacing w:after="240"/>
        <w:ind w:left="567" w:hanging="567"/>
        <w:jc w:val="both"/>
        <w:rPr>
          <w:rFonts w:ascii="Arial" w:hAnsi="Arial" w:cs="Arial"/>
          <w:sz w:val="22"/>
          <w:szCs w:val="22"/>
        </w:rPr>
      </w:pPr>
      <w:r w:rsidRPr="0090709B">
        <w:rPr>
          <w:rFonts w:ascii="Arial" w:hAnsi="Arial" w:cs="Arial"/>
          <w:sz w:val="22"/>
          <w:szCs w:val="22"/>
        </w:rPr>
        <w:t xml:space="preserve">The proposed alteration to the previous approved scheme </w:t>
      </w:r>
      <w:r>
        <w:rPr>
          <w:rFonts w:ascii="Arial" w:hAnsi="Arial" w:cs="Arial"/>
          <w:sz w:val="22"/>
          <w:szCs w:val="22"/>
        </w:rPr>
        <w:t>is</w:t>
      </w:r>
      <w:r w:rsidRPr="0090709B">
        <w:rPr>
          <w:rFonts w:ascii="Arial" w:hAnsi="Arial" w:cs="Arial"/>
          <w:sz w:val="22"/>
          <w:szCs w:val="22"/>
        </w:rPr>
        <w:t xml:space="preserve"> considered to be acceptable in design terms and </w:t>
      </w:r>
      <w:r>
        <w:rPr>
          <w:rFonts w:ascii="Arial" w:hAnsi="Arial" w:cs="Arial"/>
          <w:sz w:val="22"/>
          <w:szCs w:val="22"/>
        </w:rPr>
        <w:t>will</w:t>
      </w:r>
      <w:r w:rsidRPr="0090709B">
        <w:rPr>
          <w:rFonts w:ascii="Arial" w:hAnsi="Arial" w:cs="Arial"/>
          <w:sz w:val="22"/>
          <w:szCs w:val="22"/>
        </w:rPr>
        <w:t xml:space="preserve"> not significantly impact on the amenity of the neighbouring properties</w:t>
      </w:r>
      <w:r>
        <w:rPr>
          <w:rFonts w:ascii="Arial" w:hAnsi="Arial" w:cs="Arial"/>
          <w:sz w:val="22"/>
          <w:szCs w:val="22"/>
        </w:rPr>
        <w:t xml:space="preserve">. </w:t>
      </w:r>
      <w:r w:rsidR="00E33E9F">
        <w:rPr>
          <w:rFonts w:ascii="Arial" w:hAnsi="Arial" w:cs="Arial"/>
          <w:sz w:val="22"/>
          <w:szCs w:val="22"/>
        </w:rPr>
        <w:t xml:space="preserve">The concerns of the neighbour have been noted but it is not considered the health of the trees will be adversely </w:t>
      </w:r>
      <w:r w:rsidR="008C4D33">
        <w:rPr>
          <w:rFonts w:ascii="Arial" w:hAnsi="Arial" w:cs="Arial"/>
          <w:sz w:val="22"/>
          <w:szCs w:val="22"/>
        </w:rPr>
        <w:t>affected</w:t>
      </w:r>
      <w:r w:rsidR="00E33E9F">
        <w:rPr>
          <w:rFonts w:ascii="Arial" w:hAnsi="Arial" w:cs="Arial"/>
          <w:sz w:val="22"/>
          <w:szCs w:val="22"/>
        </w:rPr>
        <w:t xml:space="preserve"> or the </w:t>
      </w:r>
      <w:r w:rsidR="008C4D33">
        <w:rPr>
          <w:rFonts w:ascii="Arial" w:hAnsi="Arial" w:cs="Arial"/>
          <w:sz w:val="22"/>
          <w:szCs w:val="22"/>
        </w:rPr>
        <w:t xml:space="preserve">character of the </w:t>
      </w:r>
      <w:r w:rsidR="008C4D33">
        <w:rPr>
          <w:rFonts w:ascii="Arial" w:hAnsi="Arial" w:cs="Arial"/>
          <w:sz w:val="22"/>
          <w:szCs w:val="22"/>
        </w:rPr>
        <w:lastRenderedPageBreak/>
        <w:t xml:space="preserve">frontage significantly or adversely changed. </w:t>
      </w:r>
      <w:r w:rsidRPr="0090709B">
        <w:rPr>
          <w:rFonts w:ascii="Arial" w:hAnsi="Arial" w:cs="Arial"/>
          <w:sz w:val="22"/>
          <w:szCs w:val="22"/>
        </w:rPr>
        <w:t xml:space="preserve">It is therefore recommended that planning permission </w:t>
      </w:r>
      <w:r>
        <w:rPr>
          <w:rFonts w:ascii="Arial" w:hAnsi="Arial" w:cs="Arial"/>
          <w:sz w:val="22"/>
          <w:szCs w:val="22"/>
        </w:rPr>
        <w:t xml:space="preserve">be granted subject to </w:t>
      </w:r>
      <w:r w:rsidR="0079094C">
        <w:rPr>
          <w:rFonts w:ascii="Arial" w:hAnsi="Arial" w:cs="Arial"/>
          <w:sz w:val="22"/>
          <w:szCs w:val="22"/>
        </w:rPr>
        <w:t xml:space="preserve">a </w:t>
      </w:r>
      <w:r>
        <w:rPr>
          <w:rFonts w:ascii="Arial" w:hAnsi="Arial" w:cs="Arial"/>
          <w:sz w:val="22"/>
          <w:szCs w:val="22"/>
        </w:rPr>
        <w:t>condition</w:t>
      </w:r>
      <w:r w:rsidR="0079094C">
        <w:rPr>
          <w:rFonts w:ascii="Arial" w:hAnsi="Arial" w:cs="Arial"/>
          <w:sz w:val="22"/>
          <w:szCs w:val="22"/>
        </w:rPr>
        <w:t>.</w:t>
      </w:r>
    </w:p>
    <w:p w:rsidR="0090709B" w:rsidRPr="007534A2" w:rsidRDefault="0090709B" w:rsidP="0090709B">
      <w:pPr>
        <w:tabs>
          <w:tab w:val="left" w:pos="567"/>
        </w:tabs>
        <w:jc w:val="both"/>
        <w:rPr>
          <w:rFonts w:ascii="Arial" w:hAnsi="Arial" w:cs="Arial"/>
          <w:sz w:val="22"/>
          <w:szCs w:val="22"/>
        </w:rPr>
      </w:pPr>
    </w:p>
    <w:p w:rsidR="00E56EB3" w:rsidRPr="00A64752" w:rsidRDefault="0032279D" w:rsidP="00AD206D">
      <w:pPr>
        <w:numPr>
          <w:ilvl w:val="0"/>
          <w:numId w:val="2"/>
        </w:numPr>
        <w:tabs>
          <w:tab w:val="clear" w:pos="360"/>
          <w:tab w:val="num" w:pos="567"/>
          <w:tab w:val="left" w:pos="1440"/>
          <w:tab w:val="left" w:pos="2160"/>
          <w:tab w:val="left" w:pos="2880"/>
          <w:tab w:val="left" w:pos="6450"/>
        </w:tabs>
        <w:jc w:val="both"/>
        <w:rPr>
          <w:rFonts w:ascii="Arial" w:hAnsi="Arial" w:cs="Arial"/>
          <w:b/>
          <w:bCs/>
          <w:sz w:val="22"/>
          <w:szCs w:val="22"/>
          <w:lang w:eastAsia="en-US"/>
        </w:rPr>
      </w:pPr>
      <w:r w:rsidRPr="00A64752">
        <w:rPr>
          <w:rFonts w:ascii="Arial" w:hAnsi="Arial" w:cs="Arial"/>
          <w:b/>
          <w:bCs/>
          <w:sz w:val="22"/>
          <w:szCs w:val="22"/>
          <w:lang w:eastAsia="en-US"/>
        </w:rPr>
        <w:t>Recommendation</w:t>
      </w:r>
    </w:p>
    <w:p w:rsidR="0034682D" w:rsidRPr="00A64752" w:rsidRDefault="0034682D" w:rsidP="0034682D">
      <w:pPr>
        <w:widowControl w:val="0"/>
        <w:autoSpaceDE w:val="0"/>
        <w:autoSpaceDN w:val="0"/>
        <w:jc w:val="both"/>
        <w:rPr>
          <w:rFonts w:ascii="Arial" w:hAnsi="Arial" w:cs="Arial"/>
          <w:sz w:val="22"/>
          <w:szCs w:val="22"/>
        </w:rPr>
      </w:pPr>
    </w:p>
    <w:p w:rsidR="001C274C" w:rsidRPr="00A64752" w:rsidRDefault="001C274C" w:rsidP="001C274C">
      <w:pPr>
        <w:keepNext/>
        <w:widowControl w:val="0"/>
        <w:autoSpaceDE w:val="0"/>
        <w:autoSpaceDN w:val="0"/>
        <w:spacing w:line="276" w:lineRule="auto"/>
        <w:ind w:left="567"/>
        <w:outlineLvl w:val="3"/>
        <w:rPr>
          <w:rFonts w:ascii="Arial" w:hAnsi="Arial" w:cs="Arial"/>
          <w:sz w:val="22"/>
          <w:szCs w:val="22"/>
          <w:lang w:eastAsia="en-US"/>
        </w:rPr>
      </w:pPr>
      <w:r w:rsidRPr="00A64752">
        <w:rPr>
          <w:rFonts w:ascii="Arial" w:hAnsi="Arial" w:cs="Arial"/>
          <w:b/>
          <w:bCs/>
          <w:sz w:val="22"/>
          <w:szCs w:val="22"/>
          <w:lang w:eastAsia="en-US"/>
        </w:rPr>
        <w:t>Approve, subject to:</w:t>
      </w:r>
    </w:p>
    <w:p w:rsidR="001C274C" w:rsidRPr="00A64752" w:rsidRDefault="001C274C" w:rsidP="0034682D">
      <w:pPr>
        <w:keepLines/>
        <w:widowControl w:val="0"/>
        <w:autoSpaceDE w:val="0"/>
        <w:autoSpaceDN w:val="0"/>
        <w:ind w:left="709"/>
        <w:jc w:val="both"/>
        <w:rPr>
          <w:rFonts w:ascii="Arial" w:hAnsi="Arial" w:cs="Arial"/>
          <w:sz w:val="22"/>
          <w:szCs w:val="22"/>
        </w:rPr>
      </w:pPr>
    </w:p>
    <w:p w:rsidR="0034682D" w:rsidRPr="00A64752" w:rsidRDefault="0034682D" w:rsidP="001C274C">
      <w:pPr>
        <w:keepLines/>
        <w:widowControl w:val="0"/>
        <w:autoSpaceDE w:val="0"/>
        <w:autoSpaceDN w:val="0"/>
        <w:ind w:left="567"/>
        <w:jc w:val="both"/>
        <w:rPr>
          <w:rFonts w:ascii="Arial" w:hAnsi="Arial" w:cs="Arial"/>
          <w:sz w:val="22"/>
          <w:szCs w:val="22"/>
        </w:rPr>
      </w:pPr>
      <w:r w:rsidRPr="00A64752">
        <w:rPr>
          <w:rFonts w:ascii="Arial" w:hAnsi="Arial" w:cs="Arial"/>
          <w:bCs/>
          <w:sz w:val="22"/>
          <w:szCs w:val="22"/>
          <w:u w:val="single"/>
        </w:rPr>
        <w:t>Conditions</w:t>
      </w: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79094C" w:rsidP="0079094C">
      <w:pPr>
        <w:keepLines/>
        <w:widowControl w:val="0"/>
        <w:autoSpaceDE w:val="0"/>
        <w:autoSpaceDN w:val="0"/>
        <w:ind w:left="927" w:hanging="300"/>
        <w:jc w:val="both"/>
        <w:rPr>
          <w:rFonts w:ascii="Arial" w:hAnsi="Arial" w:cs="Arial"/>
          <w:sz w:val="22"/>
          <w:szCs w:val="22"/>
        </w:rPr>
      </w:pPr>
      <w:r>
        <w:rPr>
          <w:rFonts w:ascii="Arial" w:hAnsi="Arial" w:cs="Arial"/>
          <w:sz w:val="22"/>
          <w:szCs w:val="22"/>
        </w:rPr>
        <w:t>1</w:t>
      </w:r>
      <w:r>
        <w:rPr>
          <w:rFonts w:ascii="Arial" w:hAnsi="Arial" w:cs="Arial"/>
          <w:sz w:val="22"/>
          <w:szCs w:val="22"/>
        </w:rPr>
        <w:tab/>
      </w:r>
      <w:r w:rsidR="0034682D" w:rsidRPr="00A64752">
        <w:rPr>
          <w:rFonts w:ascii="Arial" w:hAnsi="Arial" w:cs="Arial"/>
          <w:sz w:val="22"/>
          <w:szCs w:val="22"/>
        </w:rPr>
        <w:t xml:space="preserve">Except where otherwise stipulated by condition, the application shall be carried out strictly in accordance with the following plans and documents: </w:t>
      </w:r>
    </w:p>
    <w:p w:rsidR="0034682D" w:rsidRPr="00A64752" w:rsidRDefault="0034682D" w:rsidP="0079094C">
      <w:pPr>
        <w:keepLines/>
        <w:widowControl w:val="0"/>
        <w:numPr>
          <w:ilvl w:val="0"/>
          <w:numId w:val="11"/>
        </w:numPr>
        <w:autoSpaceDE w:val="0"/>
        <w:autoSpaceDN w:val="0"/>
        <w:jc w:val="both"/>
        <w:rPr>
          <w:rFonts w:ascii="Arial" w:hAnsi="Arial" w:cs="Arial"/>
          <w:sz w:val="22"/>
          <w:szCs w:val="22"/>
        </w:rPr>
      </w:pPr>
      <w:r w:rsidRPr="00A64752">
        <w:rPr>
          <w:rFonts w:ascii="Arial" w:hAnsi="Arial" w:cs="Arial"/>
          <w:sz w:val="22"/>
          <w:szCs w:val="22"/>
        </w:rPr>
        <w:t>Site Plan- D0341_84</w:t>
      </w:r>
    </w:p>
    <w:p w:rsidR="0034682D" w:rsidRPr="00A64752" w:rsidRDefault="0034682D" w:rsidP="0079094C">
      <w:pPr>
        <w:keepLines/>
        <w:widowControl w:val="0"/>
        <w:numPr>
          <w:ilvl w:val="0"/>
          <w:numId w:val="11"/>
        </w:numPr>
        <w:autoSpaceDE w:val="0"/>
        <w:autoSpaceDN w:val="0"/>
        <w:jc w:val="both"/>
        <w:rPr>
          <w:rFonts w:ascii="Arial" w:hAnsi="Arial" w:cs="Arial"/>
          <w:sz w:val="22"/>
          <w:szCs w:val="22"/>
        </w:rPr>
      </w:pPr>
      <w:r w:rsidRPr="00A64752">
        <w:rPr>
          <w:rFonts w:ascii="Arial" w:hAnsi="Arial" w:cs="Arial"/>
          <w:sz w:val="22"/>
          <w:szCs w:val="22"/>
        </w:rPr>
        <w:t>Additional Parking Space HEYF/5 SK290</w:t>
      </w:r>
    </w:p>
    <w:p w:rsidR="0034682D" w:rsidRPr="00A64752" w:rsidRDefault="0034682D" w:rsidP="0079094C">
      <w:pPr>
        <w:keepLines/>
        <w:widowControl w:val="0"/>
        <w:numPr>
          <w:ilvl w:val="0"/>
          <w:numId w:val="11"/>
        </w:numPr>
        <w:autoSpaceDE w:val="0"/>
        <w:autoSpaceDN w:val="0"/>
        <w:jc w:val="both"/>
        <w:rPr>
          <w:rFonts w:ascii="Arial" w:hAnsi="Arial" w:cs="Arial"/>
          <w:sz w:val="22"/>
          <w:szCs w:val="22"/>
        </w:rPr>
      </w:pPr>
      <w:proofErr w:type="spellStart"/>
      <w:r w:rsidRPr="00A64752">
        <w:rPr>
          <w:rFonts w:ascii="Arial" w:hAnsi="Arial" w:cs="Arial"/>
          <w:sz w:val="22"/>
          <w:szCs w:val="22"/>
        </w:rPr>
        <w:t>Aboricultural</w:t>
      </w:r>
      <w:proofErr w:type="spellEnd"/>
      <w:r w:rsidRPr="00A64752">
        <w:rPr>
          <w:rFonts w:ascii="Arial" w:hAnsi="Arial" w:cs="Arial"/>
          <w:sz w:val="22"/>
          <w:szCs w:val="22"/>
        </w:rPr>
        <w:t xml:space="preserve"> </w:t>
      </w:r>
      <w:r w:rsidR="0035412E" w:rsidRPr="00A64752">
        <w:rPr>
          <w:rFonts w:ascii="Arial" w:hAnsi="Arial" w:cs="Arial"/>
          <w:sz w:val="22"/>
          <w:szCs w:val="22"/>
        </w:rPr>
        <w:t>Impact</w:t>
      </w:r>
      <w:r w:rsidRPr="00A64752">
        <w:rPr>
          <w:rFonts w:ascii="Arial" w:hAnsi="Arial" w:cs="Arial"/>
          <w:sz w:val="22"/>
          <w:szCs w:val="22"/>
        </w:rPr>
        <w:t xml:space="preserve"> </w:t>
      </w:r>
      <w:r w:rsidR="0035412E" w:rsidRPr="00A64752">
        <w:rPr>
          <w:rFonts w:ascii="Arial" w:hAnsi="Arial" w:cs="Arial"/>
          <w:sz w:val="22"/>
          <w:szCs w:val="22"/>
        </w:rPr>
        <w:t>Assessment</w:t>
      </w:r>
      <w:r w:rsidRPr="00A64752">
        <w:rPr>
          <w:rFonts w:ascii="Arial" w:hAnsi="Arial" w:cs="Arial"/>
          <w:sz w:val="22"/>
          <w:szCs w:val="22"/>
        </w:rPr>
        <w:t>, Protection Plan and Method Statement</w:t>
      </w:r>
    </w:p>
    <w:p w:rsidR="0034682D" w:rsidRPr="00A64752" w:rsidRDefault="0034682D" w:rsidP="001C274C">
      <w:pPr>
        <w:keepLines/>
        <w:widowControl w:val="0"/>
        <w:autoSpaceDE w:val="0"/>
        <w:autoSpaceDN w:val="0"/>
        <w:ind w:left="567"/>
        <w:jc w:val="both"/>
        <w:rPr>
          <w:rFonts w:ascii="Arial" w:hAnsi="Arial" w:cs="Arial"/>
          <w:sz w:val="22"/>
          <w:szCs w:val="22"/>
        </w:rPr>
      </w:pPr>
      <w:r w:rsidRPr="00A64752">
        <w:rPr>
          <w:rFonts w:ascii="Arial" w:hAnsi="Arial" w:cs="Arial"/>
          <w:sz w:val="22"/>
          <w:szCs w:val="22"/>
        </w:rPr>
        <w:tab/>
      </w:r>
    </w:p>
    <w:p w:rsidR="0034682D" w:rsidRPr="00A64752" w:rsidRDefault="0034682D" w:rsidP="0079094C">
      <w:pPr>
        <w:keepLines/>
        <w:widowControl w:val="0"/>
        <w:autoSpaceDE w:val="0"/>
        <w:autoSpaceDN w:val="0"/>
        <w:ind w:left="993"/>
        <w:jc w:val="both"/>
        <w:rPr>
          <w:rFonts w:ascii="Arial" w:hAnsi="Arial" w:cs="Arial"/>
          <w:sz w:val="22"/>
          <w:szCs w:val="22"/>
        </w:rPr>
      </w:pPr>
      <w:r w:rsidRPr="00A64752">
        <w:rPr>
          <w:rFonts w:ascii="Arial" w:hAnsi="Arial" w:cs="Arial"/>
          <w:sz w:val="22"/>
          <w:szCs w:val="22"/>
        </w:rPr>
        <w:t>Reason - For the avoidance of doubt, to ensure that the development is carried out only as approved by the Local Planning Authority and to comply with Government guidance contained within the National Planning Policy Framework.</w:t>
      </w: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34682D" w:rsidP="0034682D">
      <w:pPr>
        <w:keepLines/>
        <w:widowControl w:val="0"/>
        <w:autoSpaceDE w:val="0"/>
        <w:autoSpaceDN w:val="0"/>
        <w:ind w:hanging="11"/>
        <w:jc w:val="both"/>
        <w:rPr>
          <w:rFonts w:ascii="Arial" w:hAnsi="Arial" w:cs="Arial"/>
          <w:sz w:val="22"/>
          <w:szCs w:val="22"/>
        </w:rPr>
      </w:pPr>
    </w:p>
    <w:p w:rsidR="0034682D" w:rsidRPr="00A64752" w:rsidRDefault="0034682D" w:rsidP="0034682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STATEMENT OF ENGAGEMENT</w:t>
      </w:r>
    </w:p>
    <w:p w:rsidR="0034682D" w:rsidRPr="00A64752" w:rsidRDefault="0034682D" w:rsidP="0034682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ab/>
      </w:r>
    </w:p>
    <w:p w:rsidR="0034682D" w:rsidRPr="00A64752" w:rsidRDefault="0034682D" w:rsidP="0034682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ab/>
        <w:t>In accordance with the Town and Country Planning (Development Management Procedure) (England) Order 2015 and paragraphs 186 and 187 of the National Planning Policy Framework (March 2012), the Council has worked positively and proactively to determine this application in an efficient manner having worked with the applicant/agent where necessary to resolve any concerns that have arisen during consideration of the application in the interests of achieving more appropriate and sustainable development proposals. Consent has been granted accordingly.</w:t>
      </w:r>
    </w:p>
    <w:p w:rsidR="0034682D" w:rsidRPr="00A64752" w:rsidRDefault="0034682D" w:rsidP="009B05DD">
      <w:pPr>
        <w:keepLines/>
        <w:widowControl w:val="0"/>
        <w:autoSpaceDE w:val="0"/>
        <w:autoSpaceDN w:val="0"/>
        <w:ind w:hanging="11"/>
        <w:jc w:val="both"/>
        <w:rPr>
          <w:rFonts w:ascii="Arial" w:hAnsi="Arial" w:cs="Arial"/>
          <w:sz w:val="22"/>
          <w:szCs w:val="22"/>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19459F" w:rsidRPr="00A64752" w:rsidRDefault="00EF5F71" w:rsidP="0019459F">
      <w:pPr>
        <w:jc w:val="both"/>
        <w:rPr>
          <w:rFonts w:ascii="Arial" w:hAnsi="Arial" w:cs="Arial"/>
          <w:sz w:val="22"/>
          <w:szCs w:val="22"/>
        </w:rPr>
      </w:pPr>
      <w:r>
        <w:rPr>
          <w:rFonts w:ascii="Arial" w:hAnsi="Arial" w:cs="Arial"/>
          <w:sz w:val="22"/>
          <w:szCs w:val="22"/>
        </w:rPr>
        <w:t xml:space="preserve">Case Officer: </w:t>
      </w:r>
      <w:r w:rsidRPr="00BB5D30">
        <w:rPr>
          <w:rFonts w:ascii="Arial" w:hAnsi="Arial" w:cs="Arial"/>
          <w:sz w:val="22"/>
          <w:szCs w:val="22"/>
        </w:rPr>
        <w:t>Andrew Lewis</w:t>
      </w:r>
      <w:r w:rsidR="0019459F" w:rsidRPr="00A64752">
        <w:rPr>
          <w:rFonts w:ascii="Arial" w:hAnsi="Arial" w:cs="Arial"/>
          <w:sz w:val="22"/>
          <w:szCs w:val="22"/>
        </w:rPr>
        <w:tab/>
      </w:r>
      <w:r w:rsidR="0019459F" w:rsidRPr="00A64752">
        <w:rPr>
          <w:rFonts w:ascii="Arial" w:hAnsi="Arial" w:cs="Arial"/>
          <w:sz w:val="22"/>
          <w:szCs w:val="22"/>
        </w:rPr>
        <w:tab/>
        <w:t xml:space="preserve">DATED: </w:t>
      </w:r>
      <w:r w:rsidR="0035412E">
        <w:rPr>
          <w:rFonts w:ascii="Arial" w:hAnsi="Arial" w:cs="Arial"/>
          <w:sz w:val="22"/>
          <w:szCs w:val="22"/>
        </w:rPr>
        <w:t>4</w:t>
      </w:r>
      <w:r w:rsidR="0035412E" w:rsidRPr="0035412E">
        <w:rPr>
          <w:rFonts w:ascii="Arial" w:hAnsi="Arial" w:cs="Arial"/>
          <w:sz w:val="22"/>
          <w:szCs w:val="22"/>
          <w:vertAlign w:val="superscript"/>
        </w:rPr>
        <w:t>th</w:t>
      </w:r>
      <w:r w:rsidR="0035412E">
        <w:rPr>
          <w:rFonts w:ascii="Arial" w:hAnsi="Arial" w:cs="Arial"/>
          <w:sz w:val="22"/>
          <w:szCs w:val="22"/>
        </w:rPr>
        <w:t xml:space="preserve"> January 2016</w:t>
      </w:r>
      <w:bookmarkStart w:id="0" w:name="_GoBack"/>
      <w:bookmarkEnd w:id="0"/>
    </w:p>
    <w:sectPr w:rsidR="0019459F" w:rsidRPr="00A64752" w:rsidSect="00B451B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5C" w:rsidRDefault="00D2135C" w:rsidP="00213EE1">
      <w:r>
        <w:separator/>
      </w:r>
    </w:p>
  </w:endnote>
  <w:endnote w:type="continuationSeparator" w:id="0">
    <w:p w:rsidR="00D2135C" w:rsidRDefault="00D2135C"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5C" w:rsidRDefault="00D21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5C" w:rsidRDefault="00D21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5C" w:rsidRDefault="00D21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5C" w:rsidRDefault="00D2135C" w:rsidP="00213EE1">
      <w:r>
        <w:separator/>
      </w:r>
    </w:p>
  </w:footnote>
  <w:footnote w:type="continuationSeparator" w:id="0">
    <w:p w:rsidR="00D2135C" w:rsidRDefault="00D2135C"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5C" w:rsidRDefault="00D21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5C" w:rsidRDefault="00D2135C" w:rsidP="005D5FAA">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5C" w:rsidRPr="00B555CC" w:rsidRDefault="0079094C"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35C" w:rsidRDefault="00D2135C"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D2135C" w:rsidRDefault="00D2135C" w:rsidP="007A3BF0"/>
                </w:txbxContent>
              </v:textbox>
            </v:shape>
          </w:pict>
        </mc:Fallback>
      </mc:AlternateContent>
    </w:r>
    <w:r w:rsidR="00D2135C" w:rsidRPr="0026422C">
      <w:rPr>
        <w:rFonts w:ascii="Arial" w:hAnsi="Arial" w:cs="Arial"/>
        <w:b/>
        <w:sz w:val="28"/>
        <w:szCs w:val="28"/>
      </w:rPr>
      <w:t xml:space="preserve">            </w:t>
    </w:r>
    <w:r w:rsidR="00D2135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D2135C" w:rsidRPr="001C244E" w:rsidTr="004A1E35">
      <w:trPr>
        <w:trHeight w:val="567"/>
      </w:trPr>
      <w:tc>
        <w:tcPr>
          <w:tcW w:w="6190" w:type="dxa"/>
          <w:gridSpan w:val="3"/>
        </w:tcPr>
        <w:p w:rsidR="00D2135C" w:rsidRPr="00BB5D30" w:rsidRDefault="00D2135C" w:rsidP="00001C4A">
          <w:pPr>
            <w:spacing w:after="0"/>
            <w:jc w:val="both"/>
            <w:rPr>
              <w:rFonts w:ascii="Arial" w:hAnsi="Arial" w:cs="Arial"/>
              <w:sz w:val="22"/>
              <w:szCs w:val="22"/>
            </w:rPr>
          </w:pPr>
          <w:r w:rsidRPr="00BB5D30">
            <w:rPr>
              <w:rFonts w:ascii="Arial" w:hAnsi="Arial" w:cs="Arial"/>
              <w:sz w:val="22"/>
              <w:szCs w:val="22"/>
            </w:rPr>
            <w:t>27 Hart Walk</w:t>
          </w:r>
        </w:p>
        <w:p w:rsidR="00D2135C" w:rsidRPr="00BB5D30" w:rsidRDefault="00D2135C" w:rsidP="00001C4A">
          <w:pPr>
            <w:spacing w:after="0"/>
            <w:jc w:val="both"/>
            <w:rPr>
              <w:rFonts w:ascii="Arial" w:hAnsi="Arial" w:cs="Arial"/>
              <w:sz w:val="22"/>
              <w:szCs w:val="22"/>
            </w:rPr>
          </w:pPr>
          <w:r w:rsidRPr="00BB5D30">
            <w:rPr>
              <w:rFonts w:ascii="Arial" w:hAnsi="Arial" w:cs="Arial"/>
              <w:sz w:val="22"/>
              <w:szCs w:val="22"/>
            </w:rPr>
            <w:t>Upper Heyford</w:t>
          </w:r>
        </w:p>
        <w:p w:rsidR="00D2135C" w:rsidRPr="00BB5D30" w:rsidRDefault="00D2135C" w:rsidP="00001C4A">
          <w:pPr>
            <w:spacing w:after="0"/>
            <w:jc w:val="both"/>
            <w:rPr>
              <w:rFonts w:ascii="Arial" w:hAnsi="Arial" w:cs="Arial"/>
              <w:sz w:val="22"/>
              <w:szCs w:val="22"/>
            </w:rPr>
          </w:pPr>
          <w:r w:rsidRPr="00BB5D30">
            <w:rPr>
              <w:rFonts w:ascii="Arial" w:hAnsi="Arial" w:cs="Arial"/>
              <w:sz w:val="22"/>
              <w:szCs w:val="22"/>
            </w:rPr>
            <w:t>Bicester</w:t>
          </w:r>
        </w:p>
        <w:p w:rsidR="00D2135C" w:rsidRPr="00BB5D30" w:rsidRDefault="00D2135C" w:rsidP="00001C4A">
          <w:pPr>
            <w:spacing w:after="0"/>
            <w:jc w:val="both"/>
            <w:rPr>
              <w:rFonts w:ascii="Arial" w:hAnsi="Arial" w:cs="Arial"/>
              <w:sz w:val="22"/>
              <w:szCs w:val="22"/>
            </w:rPr>
          </w:pPr>
          <w:r w:rsidRPr="00BB5D30">
            <w:rPr>
              <w:rFonts w:ascii="Arial" w:hAnsi="Arial" w:cs="Arial"/>
              <w:sz w:val="22"/>
              <w:szCs w:val="22"/>
            </w:rPr>
            <w:t>OX25 5AF</w:t>
          </w:r>
        </w:p>
        <w:p w:rsidR="00D2135C" w:rsidRDefault="00D2135C" w:rsidP="00001C4A">
          <w:pPr>
            <w:spacing w:after="0"/>
            <w:jc w:val="both"/>
            <w:rPr>
              <w:rFonts w:ascii="Arial" w:hAnsi="Arial" w:cs="Arial"/>
              <w:sz w:val="22"/>
              <w:szCs w:val="22"/>
            </w:rPr>
          </w:pPr>
        </w:p>
        <w:p w:rsidR="00D2135C" w:rsidRPr="00E34DE8" w:rsidRDefault="00D2135C" w:rsidP="00001C4A">
          <w:pPr>
            <w:tabs>
              <w:tab w:val="left" w:pos="6480"/>
            </w:tabs>
            <w:spacing w:after="0"/>
            <w:rPr>
              <w:rFonts w:ascii="Arial" w:hAnsi="Arial" w:cs="Arial"/>
              <w:b/>
              <w:sz w:val="22"/>
              <w:szCs w:val="22"/>
            </w:rPr>
          </w:pPr>
        </w:p>
      </w:tc>
      <w:tc>
        <w:tcPr>
          <w:tcW w:w="2814" w:type="dxa"/>
        </w:tcPr>
        <w:p w:rsidR="00D2135C" w:rsidRPr="001C244E" w:rsidRDefault="00D2135C" w:rsidP="00001C4A">
          <w:pPr>
            <w:spacing w:after="0"/>
            <w:jc w:val="right"/>
            <w:rPr>
              <w:rFonts w:ascii="Arial" w:hAnsi="Arial" w:cs="Arial"/>
              <w:b/>
              <w:sz w:val="26"/>
              <w:szCs w:val="26"/>
            </w:rPr>
          </w:pPr>
          <w:r w:rsidRPr="001C244E">
            <w:rPr>
              <w:rFonts w:ascii="Arial" w:hAnsi="Arial" w:cs="Arial"/>
              <w:b/>
              <w:sz w:val="26"/>
              <w:szCs w:val="26"/>
            </w:rPr>
            <w:t>15/02014/REM</w:t>
          </w:r>
        </w:p>
      </w:tc>
    </w:tr>
    <w:tr w:rsidR="00D2135C" w:rsidRPr="001C244E" w:rsidTr="004A1E35">
      <w:trPr>
        <w:trHeight w:val="567"/>
      </w:trPr>
      <w:tc>
        <w:tcPr>
          <w:tcW w:w="1668" w:type="dxa"/>
        </w:tcPr>
        <w:p w:rsidR="00D2135C" w:rsidRPr="00E34DE8" w:rsidRDefault="00D2135C"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D2135C" w:rsidRPr="00E34DE8" w:rsidRDefault="00D2135C" w:rsidP="00F4438B">
          <w:pPr>
            <w:tabs>
              <w:tab w:val="left" w:pos="6480"/>
            </w:tabs>
            <w:spacing w:after="0"/>
            <w:rPr>
              <w:rFonts w:ascii="Arial" w:hAnsi="Arial" w:cs="Arial"/>
              <w:b/>
              <w:sz w:val="22"/>
              <w:szCs w:val="22"/>
            </w:rPr>
          </w:pPr>
          <w:r w:rsidRPr="00BB5D30">
            <w:rPr>
              <w:rFonts w:ascii="Arial" w:hAnsi="Arial" w:cs="Arial"/>
              <w:sz w:val="22"/>
              <w:szCs w:val="22"/>
            </w:rPr>
            <w:t>Andrew Lewis</w:t>
          </w:r>
        </w:p>
      </w:tc>
      <w:tc>
        <w:tcPr>
          <w:tcW w:w="4785" w:type="dxa"/>
          <w:gridSpan w:val="2"/>
        </w:tcPr>
        <w:p w:rsidR="00D2135C" w:rsidRPr="001C244E" w:rsidRDefault="00D2135C"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Pr>
              <w:rFonts w:ascii="Arial" w:hAnsi="Arial" w:cs="Arial"/>
              <w:sz w:val="22"/>
              <w:szCs w:val="22"/>
            </w:rPr>
            <w:t>Approve</w:t>
          </w:r>
        </w:p>
      </w:tc>
    </w:tr>
    <w:tr w:rsidR="00D2135C" w:rsidTr="004A1E35">
      <w:trPr>
        <w:trHeight w:val="567"/>
      </w:trPr>
      <w:tc>
        <w:tcPr>
          <w:tcW w:w="1668" w:type="dxa"/>
        </w:tcPr>
        <w:p w:rsidR="00D2135C" w:rsidRPr="00E34DE8" w:rsidRDefault="00D2135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D2135C" w:rsidRPr="00E34DE8" w:rsidRDefault="00D2135C" w:rsidP="00F4438B">
          <w:pPr>
            <w:tabs>
              <w:tab w:val="left" w:pos="6480"/>
            </w:tabs>
            <w:spacing w:after="0"/>
            <w:rPr>
              <w:rFonts w:ascii="Arial" w:hAnsi="Arial" w:cs="Arial"/>
              <w:b/>
              <w:sz w:val="22"/>
              <w:szCs w:val="22"/>
            </w:rPr>
          </w:pPr>
          <w:r w:rsidRPr="00BB5D30">
            <w:rPr>
              <w:rFonts w:ascii="Arial" w:hAnsi="Arial" w:cs="Arial"/>
              <w:sz w:val="22"/>
              <w:szCs w:val="22"/>
            </w:rPr>
            <w:t>Dorchester Group</w:t>
          </w:r>
        </w:p>
      </w:tc>
    </w:tr>
    <w:tr w:rsidR="00D2135C" w:rsidTr="004A1E35">
      <w:trPr>
        <w:trHeight w:val="567"/>
      </w:trPr>
      <w:tc>
        <w:tcPr>
          <w:tcW w:w="1668" w:type="dxa"/>
        </w:tcPr>
        <w:p w:rsidR="00D2135C" w:rsidRDefault="00D2135C"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D2135C" w:rsidRDefault="00D2135C" w:rsidP="00F4438B">
          <w:pPr>
            <w:tabs>
              <w:tab w:val="left" w:pos="6480"/>
            </w:tabs>
            <w:spacing w:after="0"/>
            <w:rPr>
              <w:rFonts w:ascii="Arial" w:hAnsi="Arial" w:cs="Arial"/>
              <w:sz w:val="22"/>
              <w:szCs w:val="22"/>
            </w:rPr>
          </w:pPr>
          <w:r w:rsidRPr="004052A3">
            <w:rPr>
              <w:rFonts w:ascii="Arial" w:hAnsi="Arial" w:cs="Arial"/>
              <w:sz w:val="22"/>
              <w:szCs w:val="22"/>
            </w:rPr>
            <w:t>Reserved matters to 10/01642/OUT - Construction of an additional parking space at plot 21.</w:t>
          </w:r>
        </w:p>
      </w:tc>
    </w:tr>
    <w:tr w:rsidR="00D2135C" w:rsidTr="00B67EFD">
      <w:trPr>
        <w:trHeight w:val="567"/>
      </w:trPr>
      <w:tc>
        <w:tcPr>
          <w:tcW w:w="1668" w:type="dxa"/>
          <w:tcBorders>
            <w:bottom w:val="single" w:sz="4" w:space="0" w:color="auto"/>
          </w:tcBorders>
          <w:vAlign w:val="center"/>
        </w:tcPr>
        <w:p w:rsidR="00D2135C" w:rsidRDefault="00D2135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D2135C" w:rsidRPr="004052A3" w:rsidRDefault="00D2135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D2135C" w:rsidRPr="00E34DE8" w:rsidRDefault="00D2135C"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3">
    <w:nsid w:val="268043F8"/>
    <w:multiLevelType w:val="hybridMultilevel"/>
    <w:tmpl w:val="9702A5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D1D630D"/>
    <w:multiLevelType w:val="multilevel"/>
    <w:tmpl w:val="D8328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6">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5C9F0C20"/>
    <w:multiLevelType w:val="hybridMultilevel"/>
    <w:tmpl w:val="908016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nsid w:val="7FCA4076"/>
    <w:multiLevelType w:val="hybridMultilevel"/>
    <w:tmpl w:val="64CC5A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2"/>
  </w:num>
  <w:num w:numId="6">
    <w:abstractNumId w:val="6"/>
  </w:num>
  <w:num w:numId="7">
    <w:abstractNumId w:val="8"/>
  </w:num>
  <w:num w:numId="8">
    <w:abstractNumId w:val="4"/>
  </w:num>
  <w:num w:numId="9">
    <w:abstractNumId w:val="10"/>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50CC6"/>
    <w:rsid w:val="00055B98"/>
    <w:rsid w:val="0005605C"/>
    <w:rsid w:val="00066471"/>
    <w:rsid w:val="0007584A"/>
    <w:rsid w:val="00082A60"/>
    <w:rsid w:val="00084780"/>
    <w:rsid w:val="00093A2E"/>
    <w:rsid w:val="00097D4A"/>
    <w:rsid w:val="000A169E"/>
    <w:rsid w:val="000B5CDD"/>
    <w:rsid w:val="000B7A1C"/>
    <w:rsid w:val="000C23E4"/>
    <w:rsid w:val="000C6638"/>
    <w:rsid w:val="000D01B8"/>
    <w:rsid w:val="000D61D1"/>
    <w:rsid w:val="000E2076"/>
    <w:rsid w:val="001024F4"/>
    <w:rsid w:val="0011000E"/>
    <w:rsid w:val="0011096D"/>
    <w:rsid w:val="00111F86"/>
    <w:rsid w:val="001253D0"/>
    <w:rsid w:val="0013551E"/>
    <w:rsid w:val="001463A1"/>
    <w:rsid w:val="00147948"/>
    <w:rsid w:val="00150D66"/>
    <w:rsid w:val="00152728"/>
    <w:rsid w:val="00152AC0"/>
    <w:rsid w:val="0016656E"/>
    <w:rsid w:val="001675B9"/>
    <w:rsid w:val="00167904"/>
    <w:rsid w:val="00175CAE"/>
    <w:rsid w:val="0018308A"/>
    <w:rsid w:val="0018664C"/>
    <w:rsid w:val="0019459F"/>
    <w:rsid w:val="00196591"/>
    <w:rsid w:val="001A6174"/>
    <w:rsid w:val="001A67DC"/>
    <w:rsid w:val="001B3666"/>
    <w:rsid w:val="001C244E"/>
    <w:rsid w:val="001C274C"/>
    <w:rsid w:val="001C7B03"/>
    <w:rsid w:val="001D44D6"/>
    <w:rsid w:val="001D4CF0"/>
    <w:rsid w:val="001F658B"/>
    <w:rsid w:val="00203755"/>
    <w:rsid w:val="00213ACA"/>
    <w:rsid w:val="00213EE1"/>
    <w:rsid w:val="00222A79"/>
    <w:rsid w:val="00233023"/>
    <w:rsid w:val="00243141"/>
    <w:rsid w:val="00243FFC"/>
    <w:rsid w:val="0024539F"/>
    <w:rsid w:val="002459B7"/>
    <w:rsid w:val="0026422C"/>
    <w:rsid w:val="00265354"/>
    <w:rsid w:val="00277BBF"/>
    <w:rsid w:val="002867C2"/>
    <w:rsid w:val="00291B98"/>
    <w:rsid w:val="002A378A"/>
    <w:rsid w:val="002B2596"/>
    <w:rsid w:val="002D5911"/>
    <w:rsid w:val="002E35F7"/>
    <w:rsid w:val="002F2C57"/>
    <w:rsid w:val="00301E60"/>
    <w:rsid w:val="00310ABF"/>
    <w:rsid w:val="0032279D"/>
    <w:rsid w:val="0032789C"/>
    <w:rsid w:val="0034682D"/>
    <w:rsid w:val="00346878"/>
    <w:rsid w:val="0035130D"/>
    <w:rsid w:val="0035412E"/>
    <w:rsid w:val="0037252B"/>
    <w:rsid w:val="003744D6"/>
    <w:rsid w:val="003806D3"/>
    <w:rsid w:val="00381F5A"/>
    <w:rsid w:val="00384125"/>
    <w:rsid w:val="003858CB"/>
    <w:rsid w:val="00385F21"/>
    <w:rsid w:val="00387013"/>
    <w:rsid w:val="00394D26"/>
    <w:rsid w:val="003B1A64"/>
    <w:rsid w:val="003E42E1"/>
    <w:rsid w:val="003E49FB"/>
    <w:rsid w:val="003E5C0C"/>
    <w:rsid w:val="003F01B9"/>
    <w:rsid w:val="003F0A89"/>
    <w:rsid w:val="003F1F09"/>
    <w:rsid w:val="003F21AD"/>
    <w:rsid w:val="004052A3"/>
    <w:rsid w:val="004071ED"/>
    <w:rsid w:val="00414486"/>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31430"/>
    <w:rsid w:val="00531FEA"/>
    <w:rsid w:val="00541ED2"/>
    <w:rsid w:val="0056684C"/>
    <w:rsid w:val="00586288"/>
    <w:rsid w:val="005B79C5"/>
    <w:rsid w:val="005D5FAA"/>
    <w:rsid w:val="005E2902"/>
    <w:rsid w:val="005E3F6B"/>
    <w:rsid w:val="005F14DB"/>
    <w:rsid w:val="005F7FE9"/>
    <w:rsid w:val="00602D56"/>
    <w:rsid w:val="00604F13"/>
    <w:rsid w:val="0060704F"/>
    <w:rsid w:val="00611273"/>
    <w:rsid w:val="00613865"/>
    <w:rsid w:val="006219A9"/>
    <w:rsid w:val="006245C1"/>
    <w:rsid w:val="006418EE"/>
    <w:rsid w:val="00644822"/>
    <w:rsid w:val="00657A35"/>
    <w:rsid w:val="00661314"/>
    <w:rsid w:val="00665479"/>
    <w:rsid w:val="00687F20"/>
    <w:rsid w:val="00691748"/>
    <w:rsid w:val="006A25DF"/>
    <w:rsid w:val="006A294B"/>
    <w:rsid w:val="006A3A26"/>
    <w:rsid w:val="006A48C5"/>
    <w:rsid w:val="006A6B28"/>
    <w:rsid w:val="006D633C"/>
    <w:rsid w:val="006E45A5"/>
    <w:rsid w:val="006E516B"/>
    <w:rsid w:val="006F385C"/>
    <w:rsid w:val="006F76F6"/>
    <w:rsid w:val="0070431F"/>
    <w:rsid w:val="00707C44"/>
    <w:rsid w:val="007141CD"/>
    <w:rsid w:val="00714B66"/>
    <w:rsid w:val="00717B1C"/>
    <w:rsid w:val="0072345B"/>
    <w:rsid w:val="00727A61"/>
    <w:rsid w:val="00733D56"/>
    <w:rsid w:val="007360ED"/>
    <w:rsid w:val="00740F91"/>
    <w:rsid w:val="007534A2"/>
    <w:rsid w:val="0077204A"/>
    <w:rsid w:val="0078118A"/>
    <w:rsid w:val="0078747C"/>
    <w:rsid w:val="0079094C"/>
    <w:rsid w:val="00792257"/>
    <w:rsid w:val="007A1BF0"/>
    <w:rsid w:val="007A3BF0"/>
    <w:rsid w:val="007B384B"/>
    <w:rsid w:val="007D1510"/>
    <w:rsid w:val="007D3AF4"/>
    <w:rsid w:val="007E0634"/>
    <w:rsid w:val="007E64C1"/>
    <w:rsid w:val="007F36F0"/>
    <w:rsid w:val="007F7305"/>
    <w:rsid w:val="00801E4B"/>
    <w:rsid w:val="00802129"/>
    <w:rsid w:val="00804583"/>
    <w:rsid w:val="00805C40"/>
    <w:rsid w:val="008172E8"/>
    <w:rsid w:val="00822127"/>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C4D33"/>
    <w:rsid w:val="008D7438"/>
    <w:rsid w:val="008E031B"/>
    <w:rsid w:val="008E56BB"/>
    <w:rsid w:val="008F2793"/>
    <w:rsid w:val="00902BB3"/>
    <w:rsid w:val="0090709B"/>
    <w:rsid w:val="0091063B"/>
    <w:rsid w:val="00911451"/>
    <w:rsid w:val="009156BF"/>
    <w:rsid w:val="0091615F"/>
    <w:rsid w:val="009315CF"/>
    <w:rsid w:val="0094060E"/>
    <w:rsid w:val="00941226"/>
    <w:rsid w:val="0094249F"/>
    <w:rsid w:val="00945D9D"/>
    <w:rsid w:val="00947495"/>
    <w:rsid w:val="0095585F"/>
    <w:rsid w:val="00971164"/>
    <w:rsid w:val="00984781"/>
    <w:rsid w:val="00996461"/>
    <w:rsid w:val="009A0EAA"/>
    <w:rsid w:val="009A5D55"/>
    <w:rsid w:val="009B05DD"/>
    <w:rsid w:val="009B58ED"/>
    <w:rsid w:val="009C4400"/>
    <w:rsid w:val="009E1109"/>
    <w:rsid w:val="009E4D0B"/>
    <w:rsid w:val="009E5DBE"/>
    <w:rsid w:val="009E774D"/>
    <w:rsid w:val="009E7FA9"/>
    <w:rsid w:val="009F2A36"/>
    <w:rsid w:val="00A04DD9"/>
    <w:rsid w:val="00A05300"/>
    <w:rsid w:val="00A41752"/>
    <w:rsid w:val="00A4183C"/>
    <w:rsid w:val="00A43FB5"/>
    <w:rsid w:val="00A47884"/>
    <w:rsid w:val="00A51AAE"/>
    <w:rsid w:val="00A51D19"/>
    <w:rsid w:val="00A5293B"/>
    <w:rsid w:val="00A63B22"/>
    <w:rsid w:val="00A64752"/>
    <w:rsid w:val="00A74B28"/>
    <w:rsid w:val="00A76D1F"/>
    <w:rsid w:val="00A9003C"/>
    <w:rsid w:val="00A913FC"/>
    <w:rsid w:val="00A94792"/>
    <w:rsid w:val="00AA1A6D"/>
    <w:rsid w:val="00AB0984"/>
    <w:rsid w:val="00AB1820"/>
    <w:rsid w:val="00AB2C56"/>
    <w:rsid w:val="00AD206D"/>
    <w:rsid w:val="00AD615D"/>
    <w:rsid w:val="00AE05E7"/>
    <w:rsid w:val="00AE207C"/>
    <w:rsid w:val="00B0322B"/>
    <w:rsid w:val="00B06F36"/>
    <w:rsid w:val="00B10309"/>
    <w:rsid w:val="00B22919"/>
    <w:rsid w:val="00B23A05"/>
    <w:rsid w:val="00B37337"/>
    <w:rsid w:val="00B43AC4"/>
    <w:rsid w:val="00B4437C"/>
    <w:rsid w:val="00B451BF"/>
    <w:rsid w:val="00B501B1"/>
    <w:rsid w:val="00B539D5"/>
    <w:rsid w:val="00B5552A"/>
    <w:rsid w:val="00B555CC"/>
    <w:rsid w:val="00B61005"/>
    <w:rsid w:val="00B666E8"/>
    <w:rsid w:val="00B67EFD"/>
    <w:rsid w:val="00BA4C0C"/>
    <w:rsid w:val="00BB028D"/>
    <w:rsid w:val="00BB59BC"/>
    <w:rsid w:val="00BB5D30"/>
    <w:rsid w:val="00BC6BB9"/>
    <w:rsid w:val="00BD0F67"/>
    <w:rsid w:val="00BD4C20"/>
    <w:rsid w:val="00BD58BD"/>
    <w:rsid w:val="00BD6C89"/>
    <w:rsid w:val="00BE065A"/>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399E"/>
    <w:rsid w:val="00CB01DB"/>
    <w:rsid w:val="00CC06DE"/>
    <w:rsid w:val="00CC62BA"/>
    <w:rsid w:val="00CC7465"/>
    <w:rsid w:val="00CD0754"/>
    <w:rsid w:val="00CF18FD"/>
    <w:rsid w:val="00D01F6F"/>
    <w:rsid w:val="00D14ADE"/>
    <w:rsid w:val="00D20B12"/>
    <w:rsid w:val="00D2135C"/>
    <w:rsid w:val="00D271DB"/>
    <w:rsid w:val="00D3040C"/>
    <w:rsid w:val="00D3792F"/>
    <w:rsid w:val="00D41A65"/>
    <w:rsid w:val="00D4712E"/>
    <w:rsid w:val="00D51EA0"/>
    <w:rsid w:val="00D56DAE"/>
    <w:rsid w:val="00D649CF"/>
    <w:rsid w:val="00D65BB5"/>
    <w:rsid w:val="00D762EE"/>
    <w:rsid w:val="00D96E9D"/>
    <w:rsid w:val="00DA0A06"/>
    <w:rsid w:val="00DB1DAA"/>
    <w:rsid w:val="00DB7700"/>
    <w:rsid w:val="00DC5906"/>
    <w:rsid w:val="00DD0DA3"/>
    <w:rsid w:val="00DF74F7"/>
    <w:rsid w:val="00E109BB"/>
    <w:rsid w:val="00E2356A"/>
    <w:rsid w:val="00E24462"/>
    <w:rsid w:val="00E33344"/>
    <w:rsid w:val="00E33E9F"/>
    <w:rsid w:val="00E34DE8"/>
    <w:rsid w:val="00E40337"/>
    <w:rsid w:val="00E51C4D"/>
    <w:rsid w:val="00E56EB3"/>
    <w:rsid w:val="00E717B8"/>
    <w:rsid w:val="00E8399D"/>
    <w:rsid w:val="00E8522C"/>
    <w:rsid w:val="00E8654C"/>
    <w:rsid w:val="00E92B0A"/>
    <w:rsid w:val="00E944EA"/>
    <w:rsid w:val="00E97C9A"/>
    <w:rsid w:val="00EB6BB6"/>
    <w:rsid w:val="00EC1328"/>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438B"/>
    <w:rsid w:val="00F52726"/>
    <w:rsid w:val="00F623D8"/>
    <w:rsid w:val="00F63553"/>
    <w:rsid w:val="00F66625"/>
    <w:rsid w:val="00F7207C"/>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b/>
      <w:bCs/>
      <w:sz w:val="28"/>
      <w:szCs w:val="28"/>
    </w:rPr>
  </w:style>
  <w:style w:type="character" w:customStyle="1" w:styleId="Heading5Char">
    <w:name w:val="Heading 5 Char"/>
    <w:basedOn w:val="DefaultParagraphFont"/>
    <w:link w:val="Heading5"/>
    <w:uiPriority w:val="9"/>
    <w:locked/>
    <w:rPr>
      <w:b/>
      <w:bCs/>
      <w:i/>
      <w:iCs/>
      <w:sz w:val="26"/>
      <w:szCs w:val="26"/>
    </w:rPr>
  </w:style>
  <w:style w:type="character" w:customStyle="1" w:styleId="Heading6Char">
    <w:name w:val="Heading 6 Char"/>
    <w:basedOn w:val="DefaultParagraphFont"/>
    <w:link w:val="Heading6"/>
    <w:uiPriority w:val="9"/>
    <w:locked/>
    <w:rPr>
      <w:b/>
      <w:bCs/>
      <w:sz w:val="22"/>
      <w:szCs w:val="22"/>
    </w:rPr>
  </w:style>
  <w:style w:type="character" w:customStyle="1" w:styleId="Heading7Char">
    <w:name w:val="Heading 7 Char"/>
    <w:basedOn w:val="DefaultParagraphFont"/>
    <w:link w:val="Heading7"/>
    <w:uiPriority w:val="9"/>
    <w:locked/>
    <w:rPr>
      <w:sz w:val="24"/>
      <w:szCs w:val="24"/>
    </w:rPr>
  </w:style>
  <w:style w:type="character" w:customStyle="1" w:styleId="Heading8Char">
    <w:name w:val="Heading 8 Char"/>
    <w:basedOn w:val="DefaultParagraphFont"/>
    <w:link w:val="Heading8"/>
    <w:uiPriority w:val="9"/>
    <w:locked/>
    <w:rPr>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b/>
      <w:bCs/>
      <w:sz w:val="28"/>
      <w:szCs w:val="28"/>
    </w:rPr>
  </w:style>
  <w:style w:type="character" w:customStyle="1" w:styleId="Heading5Char">
    <w:name w:val="Heading 5 Char"/>
    <w:basedOn w:val="DefaultParagraphFont"/>
    <w:link w:val="Heading5"/>
    <w:uiPriority w:val="9"/>
    <w:locked/>
    <w:rPr>
      <w:b/>
      <w:bCs/>
      <w:i/>
      <w:iCs/>
      <w:sz w:val="26"/>
      <w:szCs w:val="26"/>
    </w:rPr>
  </w:style>
  <w:style w:type="character" w:customStyle="1" w:styleId="Heading6Char">
    <w:name w:val="Heading 6 Char"/>
    <w:basedOn w:val="DefaultParagraphFont"/>
    <w:link w:val="Heading6"/>
    <w:uiPriority w:val="9"/>
    <w:locked/>
    <w:rPr>
      <w:b/>
      <w:bCs/>
      <w:sz w:val="22"/>
      <w:szCs w:val="22"/>
    </w:rPr>
  </w:style>
  <w:style w:type="character" w:customStyle="1" w:styleId="Heading7Char">
    <w:name w:val="Heading 7 Char"/>
    <w:basedOn w:val="DefaultParagraphFont"/>
    <w:link w:val="Heading7"/>
    <w:uiPriority w:val="9"/>
    <w:locked/>
    <w:rPr>
      <w:sz w:val="24"/>
      <w:szCs w:val="24"/>
    </w:rPr>
  </w:style>
  <w:style w:type="character" w:customStyle="1" w:styleId="Heading8Char">
    <w:name w:val="Heading 8 Char"/>
    <w:basedOn w:val="DefaultParagraphFont"/>
    <w:link w:val="Heading8"/>
    <w:uiPriority w:val="9"/>
    <w:locked/>
    <w:rPr>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9667">
      <w:marLeft w:val="0"/>
      <w:marRight w:val="0"/>
      <w:marTop w:val="0"/>
      <w:marBottom w:val="0"/>
      <w:divBdr>
        <w:top w:val="none" w:sz="0" w:space="0" w:color="auto"/>
        <w:left w:val="none" w:sz="0" w:space="0" w:color="auto"/>
        <w:bottom w:val="none" w:sz="0" w:space="0" w:color="auto"/>
        <w:right w:val="none" w:sz="0" w:space="0" w:color="auto"/>
      </w:divBdr>
    </w:div>
    <w:div w:id="1708799668">
      <w:marLeft w:val="0"/>
      <w:marRight w:val="0"/>
      <w:marTop w:val="0"/>
      <w:marBottom w:val="0"/>
      <w:divBdr>
        <w:top w:val="none" w:sz="0" w:space="0" w:color="auto"/>
        <w:left w:val="none" w:sz="0" w:space="0" w:color="auto"/>
        <w:bottom w:val="none" w:sz="0" w:space="0" w:color="auto"/>
        <w:right w:val="none" w:sz="0" w:space="0" w:color="auto"/>
      </w:divBdr>
    </w:div>
    <w:div w:id="1708799669">
      <w:marLeft w:val="0"/>
      <w:marRight w:val="0"/>
      <w:marTop w:val="0"/>
      <w:marBottom w:val="0"/>
      <w:divBdr>
        <w:top w:val="none" w:sz="0" w:space="0" w:color="auto"/>
        <w:left w:val="none" w:sz="0" w:space="0" w:color="auto"/>
        <w:bottom w:val="none" w:sz="0" w:space="0" w:color="auto"/>
        <w:right w:val="none" w:sz="0" w:space="0" w:color="auto"/>
      </w:divBdr>
    </w:div>
    <w:div w:id="1708799670">
      <w:marLeft w:val="0"/>
      <w:marRight w:val="0"/>
      <w:marTop w:val="0"/>
      <w:marBottom w:val="0"/>
      <w:divBdr>
        <w:top w:val="none" w:sz="0" w:space="0" w:color="auto"/>
        <w:left w:val="none" w:sz="0" w:space="0" w:color="auto"/>
        <w:bottom w:val="none" w:sz="0" w:space="0" w:color="auto"/>
        <w:right w:val="none" w:sz="0" w:space="0" w:color="auto"/>
      </w:divBdr>
    </w:div>
    <w:div w:id="1708799671">
      <w:marLeft w:val="0"/>
      <w:marRight w:val="0"/>
      <w:marTop w:val="0"/>
      <w:marBottom w:val="0"/>
      <w:divBdr>
        <w:top w:val="none" w:sz="0" w:space="0" w:color="auto"/>
        <w:left w:val="none" w:sz="0" w:space="0" w:color="auto"/>
        <w:bottom w:val="none" w:sz="0" w:space="0" w:color="auto"/>
        <w:right w:val="none" w:sz="0" w:space="0" w:color="auto"/>
      </w:divBdr>
    </w:div>
    <w:div w:id="1708799672">
      <w:marLeft w:val="0"/>
      <w:marRight w:val="0"/>
      <w:marTop w:val="0"/>
      <w:marBottom w:val="0"/>
      <w:divBdr>
        <w:top w:val="none" w:sz="0" w:space="0" w:color="auto"/>
        <w:left w:val="none" w:sz="0" w:space="0" w:color="auto"/>
        <w:bottom w:val="none" w:sz="0" w:space="0" w:color="auto"/>
        <w:right w:val="none" w:sz="0" w:space="0" w:color="auto"/>
      </w:divBdr>
    </w:div>
    <w:div w:id="1708799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44EB-92CB-4021-8087-C11A0AF5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Andrew Lewis</cp:lastModifiedBy>
  <cp:revision>2</cp:revision>
  <cp:lastPrinted>2015-12-31T13:07:00Z</cp:lastPrinted>
  <dcterms:created xsi:type="dcterms:W3CDTF">2016-01-04T14:38:00Z</dcterms:created>
  <dcterms:modified xsi:type="dcterms:W3CDTF">2016-01-04T14:38:00Z</dcterms:modified>
</cp:coreProperties>
</file>