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1418"/>
        <w:gridCol w:w="2126"/>
        <w:gridCol w:w="1276"/>
        <w:gridCol w:w="4819"/>
      </w:tblGrid>
      <w:tr w:rsidR="00707650">
        <w:trPr>
          <w:cantSplit/>
          <w:trHeight w:hRule="exact" w:val="568"/>
        </w:trPr>
        <w:tc>
          <w:tcPr>
            <w:tcW w:w="3544" w:type="dxa"/>
            <w:gridSpan w:val="2"/>
            <w:vMerge w:val="restart"/>
            <w:tcBorders>
              <w:top w:val="nil"/>
              <w:left w:val="nil"/>
              <w:bottom w:val="nil"/>
              <w:right w:val="nil"/>
            </w:tcBorders>
          </w:tcPr>
          <w:p w:rsidR="00707650" w:rsidRPr="001A02E3" w:rsidRDefault="00630906" w:rsidP="003C1A82">
            <w:pPr>
              <w:tabs>
                <w:tab w:val="left" w:pos="743"/>
                <w:tab w:val="left" w:pos="2302"/>
                <w:tab w:val="left" w:pos="4570"/>
                <w:tab w:val="left" w:pos="6554"/>
                <w:tab w:val="left" w:pos="8114"/>
                <w:tab w:val="left" w:pos="8505"/>
              </w:tabs>
              <w:rPr>
                <w:rFonts w:ascii="Arial" w:hAnsi="Arial" w:cs="Arial"/>
                <w:sz w:val="16"/>
                <w:szCs w:val="16"/>
              </w:rPr>
            </w:pPr>
            <w:r>
              <w:rPr>
                <w:rFonts w:ascii="Times New Roman" w:hAnsi="Times New Roman" w:cs="Times New Roman"/>
                <w:noProof/>
                <w:sz w:val="168"/>
                <w:szCs w:val="168"/>
              </w:rPr>
              <w:drawing>
                <wp:inline distT="0" distB="0" distL="0" distR="0">
                  <wp:extent cx="21812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p>
        </w:tc>
        <w:tc>
          <w:tcPr>
            <w:tcW w:w="6095" w:type="dxa"/>
            <w:gridSpan w:val="2"/>
            <w:tcBorders>
              <w:top w:val="nil"/>
              <w:left w:val="nil"/>
              <w:bottom w:val="nil"/>
              <w:right w:val="nil"/>
            </w:tcBorders>
          </w:tcPr>
          <w:p w:rsidR="00707650" w:rsidRPr="002A3BBD" w:rsidRDefault="00707650" w:rsidP="003C1A82">
            <w:pPr>
              <w:pStyle w:val="Heading8"/>
              <w:rPr>
                <w:rFonts w:ascii="Arial" w:hAnsi="Arial" w:cs="Arial"/>
              </w:rPr>
            </w:pPr>
            <w:r w:rsidRPr="002A3BBD">
              <w:rPr>
                <w:rFonts w:ascii="Arial" w:hAnsi="Arial" w:cs="Arial"/>
              </w:rPr>
              <w:t>NOTICE OF DECISION</w:t>
            </w:r>
          </w:p>
        </w:tc>
      </w:tr>
      <w:tr w:rsidR="00707650">
        <w:trPr>
          <w:cantSplit/>
          <w:trHeight w:hRule="exact" w:val="1140"/>
        </w:trPr>
        <w:tc>
          <w:tcPr>
            <w:tcW w:w="3544" w:type="dxa"/>
            <w:gridSpan w:val="2"/>
            <w:vMerge/>
            <w:tcBorders>
              <w:top w:val="nil"/>
              <w:left w:val="nil"/>
              <w:bottom w:val="nil"/>
              <w:right w:val="nil"/>
            </w:tcBorders>
          </w:tcPr>
          <w:p w:rsidR="00707650" w:rsidRDefault="00707650" w:rsidP="003C1A82">
            <w:pPr>
              <w:tabs>
                <w:tab w:val="left" w:pos="743"/>
                <w:tab w:val="left" w:pos="2302"/>
                <w:tab w:val="left" w:pos="4570"/>
                <w:tab w:val="left" w:pos="6554"/>
                <w:tab w:val="left" w:pos="8114"/>
                <w:tab w:val="left" w:pos="8505"/>
              </w:tabs>
              <w:rPr>
                <w:rFonts w:ascii="Times New Roman" w:hAnsi="Times New Roman" w:cs="Times New Roman"/>
              </w:rPr>
            </w:pPr>
          </w:p>
        </w:tc>
        <w:tc>
          <w:tcPr>
            <w:tcW w:w="6095" w:type="dxa"/>
            <w:gridSpan w:val="2"/>
            <w:tcBorders>
              <w:top w:val="nil"/>
              <w:left w:val="nil"/>
              <w:bottom w:val="nil"/>
              <w:right w:val="nil"/>
            </w:tcBorders>
          </w:tcPr>
          <w:p w:rsidR="00707650" w:rsidRPr="002A3BBD" w:rsidRDefault="00707650" w:rsidP="003C1A82">
            <w:pPr>
              <w:pStyle w:val="Heading2"/>
              <w:jc w:val="center"/>
              <w:rPr>
                <w:rFonts w:ascii="Arial" w:hAnsi="Arial" w:cs="Arial"/>
                <w:sz w:val="24"/>
                <w:szCs w:val="24"/>
              </w:rPr>
            </w:pPr>
            <w:r w:rsidRPr="002A3BBD">
              <w:rPr>
                <w:rFonts w:ascii="Arial" w:hAnsi="Arial" w:cs="Arial"/>
                <w:sz w:val="24"/>
                <w:szCs w:val="24"/>
              </w:rPr>
              <w:t xml:space="preserve">TOWN </w:t>
            </w:r>
            <w:smartTag w:uri="urn:schemas-microsoft-com:office:smarttags" w:element="stockticker">
              <w:r w:rsidRPr="002A3BBD">
                <w:rPr>
                  <w:rFonts w:ascii="Arial" w:hAnsi="Arial" w:cs="Arial"/>
                  <w:sz w:val="24"/>
                  <w:szCs w:val="24"/>
                </w:rPr>
                <w:t>AND</w:t>
              </w:r>
            </w:smartTag>
            <w:r w:rsidRPr="002A3BBD">
              <w:rPr>
                <w:rFonts w:ascii="Arial" w:hAnsi="Arial" w:cs="Arial"/>
                <w:sz w:val="24"/>
                <w:szCs w:val="24"/>
              </w:rPr>
              <w:t xml:space="preserve"> COUNTRY PLANNING ACT 1990</w:t>
            </w:r>
          </w:p>
          <w:p w:rsidR="00707650" w:rsidRPr="002A3BBD" w:rsidRDefault="00707650" w:rsidP="003C1A82">
            <w:pPr>
              <w:pStyle w:val="Heading2"/>
              <w:jc w:val="center"/>
              <w:rPr>
                <w:rFonts w:ascii="Arial" w:hAnsi="Arial" w:cs="Arial"/>
                <w:sz w:val="24"/>
                <w:szCs w:val="24"/>
              </w:rPr>
            </w:pPr>
            <w:r w:rsidRPr="002A3BBD">
              <w:rPr>
                <w:rFonts w:ascii="Arial" w:hAnsi="Arial" w:cs="Arial"/>
                <w:sz w:val="24"/>
                <w:szCs w:val="24"/>
              </w:rPr>
              <w:t>(AS AMENDED)</w:t>
            </w:r>
          </w:p>
          <w:p w:rsidR="00707650" w:rsidRPr="002A3BBD" w:rsidRDefault="00707650" w:rsidP="003C1A82">
            <w:pPr>
              <w:rPr>
                <w:rFonts w:ascii="Arial" w:hAnsi="Arial" w:cs="Arial"/>
              </w:rPr>
            </w:pPr>
          </w:p>
          <w:p w:rsidR="00707650" w:rsidRPr="002A3BBD" w:rsidRDefault="00707650" w:rsidP="003C1A82">
            <w:pPr>
              <w:rPr>
                <w:rFonts w:ascii="Arial" w:hAnsi="Arial" w:cs="Arial"/>
              </w:rPr>
            </w:pPr>
          </w:p>
          <w:p w:rsidR="00707650" w:rsidRDefault="00707650" w:rsidP="003C1A82">
            <w:pPr>
              <w:pStyle w:val="Heading1"/>
              <w:rPr>
                <w:rFonts w:ascii="Gill Sans MT" w:hAnsi="Gill Sans MT" w:cs="Gill Sans MT"/>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tc>
      </w:tr>
      <w:tr w:rsidR="00707650">
        <w:trPr>
          <w:cantSplit/>
          <w:trHeight w:hRule="exact" w:val="2561"/>
        </w:trPr>
        <w:tc>
          <w:tcPr>
            <w:tcW w:w="4820" w:type="dxa"/>
            <w:gridSpan w:val="3"/>
            <w:tcBorders>
              <w:top w:val="nil"/>
              <w:left w:val="nil"/>
              <w:bottom w:val="nil"/>
              <w:right w:val="nil"/>
            </w:tcBorders>
          </w:tcPr>
          <w:p w:rsidR="00707650" w:rsidRPr="002A3BBD" w:rsidRDefault="00707650" w:rsidP="003C1A82">
            <w:pPr>
              <w:pStyle w:val="Heading2"/>
              <w:rPr>
                <w:rFonts w:ascii="Arial" w:hAnsi="Arial" w:cs="Arial"/>
                <w:sz w:val="22"/>
                <w:szCs w:val="22"/>
              </w:rPr>
            </w:pPr>
            <w:r w:rsidRPr="002A3BBD">
              <w:rPr>
                <w:rFonts w:ascii="Arial" w:hAnsi="Arial" w:cs="Arial"/>
                <w:sz w:val="22"/>
                <w:szCs w:val="22"/>
              </w:rPr>
              <w:t>Name and Address of Agent/Applicant</w:t>
            </w:r>
            <w:r w:rsidR="00630906">
              <w:rPr>
                <w:rFonts w:ascii="Arial" w:hAnsi="Arial" w:cs="Arial"/>
                <w:sz w:val="22"/>
                <w:szCs w:val="22"/>
              </w:rPr>
              <w:t>:</w:t>
            </w:r>
          </w:p>
          <w:p w:rsidR="00707650" w:rsidRPr="002A3BBD" w:rsidRDefault="00707650" w:rsidP="003C1A82">
            <w:pPr>
              <w:rPr>
                <w:rFonts w:ascii="Arial" w:hAnsi="Arial" w:cs="Arial"/>
                <w:sz w:val="22"/>
                <w:szCs w:val="22"/>
              </w:rPr>
            </w:pPr>
          </w:p>
          <w:p w:rsidR="00707650" w:rsidRPr="002A3BBD" w:rsidRDefault="00707650" w:rsidP="003C1A82">
            <w:pPr>
              <w:pStyle w:val="Header"/>
              <w:spacing w:line="260" w:lineRule="exact"/>
              <w:rPr>
                <w:rFonts w:ascii="Arial" w:hAnsi="Arial" w:cs="Arial"/>
                <w:sz w:val="22"/>
                <w:szCs w:val="22"/>
              </w:rPr>
            </w:pPr>
            <w:r w:rsidRPr="002A3BBD">
              <w:rPr>
                <w:rFonts w:ascii="Arial" w:hAnsi="Arial" w:cs="Arial"/>
                <w:sz w:val="22"/>
                <w:szCs w:val="22"/>
              </w:rPr>
              <w:t xml:space="preserve">The Vanbrugh Trust And </w:t>
            </w:r>
            <w:proofErr w:type="spellStart"/>
            <w:r w:rsidRPr="002A3BBD">
              <w:rPr>
                <w:rFonts w:ascii="Arial" w:hAnsi="Arial" w:cs="Arial"/>
                <w:sz w:val="22"/>
                <w:szCs w:val="22"/>
              </w:rPr>
              <w:t>Pye</w:t>
            </w:r>
            <w:proofErr w:type="spellEnd"/>
            <w:r w:rsidRPr="002A3BBD">
              <w:rPr>
                <w:rFonts w:ascii="Arial" w:hAnsi="Arial" w:cs="Arial"/>
                <w:sz w:val="22"/>
                <w:szCs w:val="22"/>
              </w:rPr>
              <w:t xml:space="preserve"> Homes Ltd</w:t>
            </w:r>
          </w:p>
          <w:p w:rsidR="00707650" w:rsidRPr="002A3BBD" w:rsidRDefault="00707650" w:rsidP="003C1A82">
            <w:pPr>
              <w:pStyle w:val="Header"/>
              <w:spacing w:line="260" w:lineRule="exact"/>
              <w:rPr>
                <w:rFonts w:ascii="Arial" w:hAnsi="Arial" w:cs="Arial"/>
                <w:sz w:val="22"/>
                <w:szCs w:val="22"/>
              </w:rPr>
            </w:pPr>
            <w:r w:rsidRPr="002A3BBD">
              <w:rPr>
                <w:rFonts w:ascii="Arial" w:hAnsi="Arial" w:cs="Arial"/>
                <w:sz w:val="22"/>
                <w:szCs w:val="22"/>
              </w:rPr>
              <w:t xml:space="preserve">c/o West </w:t>
            </w:r>
            <w:proofErr w:type="spellStart"/>
            <w:r w:rsidRPr="002A3BBD">
              <w:rPr>
                <w:rFonts w:ascii="Arial" w:hAnsi="Arial" w:cs="Arial"/>
                <w:sz w:val="22"/>
                <w:szCs w:val="22"/>
              </w:rPr>
              <w:t>Waddy</w:t>
            </w:r>
            <w:proofErr w:type="spellEnd"/>
            <w:r w:rsidRPr="002A3BBD">
              <w:rPr>
                <w:rFonts w:ascii="Arial" w:hAnsi="Arial" w:cs="Arial"/>
                <w:sz w:val="22"/>
                <w:szCs w:val="22"/>
              </w:rPr>
              <w:t xml:space="preserve"> ADP</w:t>
            </w:r>
          </w:p>
          <w:p w:rsidR="00707650" w:rsidRPr="002A3BBD" w:rsidRDefault="00707650" w:rsidP="003C1A82">
            <w:pPr>
              <w:rPr>
                <w:rFonts w:ascii="Arial" w:hAnsi="Arial" w:cs="Arial"/>
                <w:sz w:val="22"/>
                <w:szCs w:val="22"/>
              </w:rPr>
            </w:pPr>
            <w:r w:rsidRPr="002A3BBD">
              <w:rPr>
                <w:rFonts w:ascii="Arial" w:hAnsi="Arial" w:cs="Arial"/>
                <w:sz w:val="22"/>
                <w:szCs w:val="22"/>
              </w:rPr>
              <w:t>Ms Debbie Jones</w:t>
            </w:r>
          </w:p>
          <w:p w:rsidR="00707650" w:rsidRPr="002A3BBD" w:rsidRDefault="00707650" w:rsidP="003C1A82">
            <w:pPr>
              <w:rPr>
                <w:rFonts w:ascii="Arial" w:hAnsi="Arial" w:cs="Arial"/>
                <w:sz w:val="22"/>
                <w:szCs w:val="22"/>
              </w:rPr>
            </w:pPr>
            <w:r w:rsidRPr="002A3BBD">
              <w:rPr>
                <w:rFonts w:ascii="Arial" w:hAnsi="Arial" w:cs="Arial"/>
                <w:sz w:val="22"/>
                <w:szCs w:val="22"/>
              </w:rPr>
              <w:t xml:space="preserve">The </w:t>
            </w:r>
            <w:proofErr w:type="spellStart"/>
            <w:r w:rsidRPr="002A3BBD">
              <w:rPr>
                <w:rFonts w:ascii="Arial" w:hAnsi="Arial" w:cs="Arial"/>
                <w:sz w:val="22"/>
                <w:szCs w:val="22"/>
              </w:rPr>
              <w:t>Malthouse</w:t>
            </w:r>
            <w:proofErr w:type="spellEnd"/>
          </w:p>
          <w:p w:rsidR="00707650" w:rsidRPr="002A3BBD" w:rsidRDefault="00707650" w:rsidP="003C1A82">
            <w:pPr>
              <w:rPr>
                <w:rFonts w:ascii="Arial" w:hAnsi="Arial" w:cs="Arial"/>
                <w:sz w:val="22"/>
                <w:szCs w:val="22"/>
              </w:rPr>
            </w:pPr>
            <w:r w:rsidRPr="002A3BBD">
              <w:rPr>
                <w:rFonts w:ascii="Arial" w:hAnsi="Arial" w:cs="Arial"/>
                <w:sz w:val="22"/>
                <w:szCs w:val="22"/>
              </w:rPr>
              <w:t>60 East St. Helen Street</w:t>
            </w:r>
          </w:p>
          <w:p w:rsidR="00707650" w:rsidRPr="002A3BBD" w:rsidRDefault="00707650" w:rsidP="003C1A82">
            <w:pPr>
              <w:rPr>
                <w:rFonts w:ascii="Arial" w:hAnsi="Arial" w:cs="Arial"/>
                <w:sz w:val="22"/>
                <w:szCs w:val="22"/>
              </w:rPr>
            </w:pPr>
            <w:r w:rsidRPr="002A3BBD">
              <w:rPr>
                <w:rFonts w:ascii="Arial" w:hAnsi="Arial" w:cs="Arial"/>
                <w:sz w:val="22"/>
                <w:szCs w:val="22"/>
              </w:rPr>
              <w:t>Abingdon</w:t>
            </w:r>
          </w:p>
          <w:p w:rsidR="00707650" w:rsidRPr="002A3BBD" w:rsidRDefault="00707650" w:rsidP="003C1A82">
            <w:pPr>
              <w:rPr>
                <w:rFonts w:ascii="Arial" w:hAnsi="Arial" w:cs="Arial"/>
                <w:sz w:val="22"/>
                <w:szCs w:val="22"/>
              </w:rPr>
            </w:pPr>
            <w:r w:rsidRPr="002A3BBD">
              <w:rPr>
                <w:rFonts w:ascii="Arial" w:hAnsi="Arial" w:cs="Arial"/>
                <w:sz w:val="22"/>
                <w:szCs w:val="22"/>
              </w:rPr>
              <w:t>OX14 5EB</w:t>
            </w:r>
          </w:p>
          <w:p w:rsidR="00707650" w:rsidRDefault="00707650" w:rsidP="003C1A82">
            <w:pPr>
              <w:rPr>
                <w:rFonts w:ascii="Gill Sans MT" w:hAnsi="Gill Sans MT" w:cs="Gill Sans MT"/>
                <w:b/>
                <w:bCs/>
                <w:sz w:val="22"/>
                <w:szCs w:val="22"/>
              </w:rPr>
            </w:pPr>
          </w:p>
        </w:tc>
        <w:tc>
          <w:tcPr>
            <w:tcW w:w="4819" w:type="dxa"/>
            <w:tcBorders>
              <w:top w:val="nil"/>
              <w:left w:val="nil"/>
              <w:bottom w:val="nil"/>
              <w:right w:val="nil"/>
            </w:tcBorders>
          </w:tcPr>
          <w:p w:rsidR="00707650" w:rsidRPr="002A3BBD" w:rsidRDefault="00707650" w:rsidP="003C1A82">
            <w:pPr>
              <w:jc w:val="right"/>
              <w:rPr>
                <w:rFonts w:ascii="Arial" w:hAnsi="Arial" w:cs="Arial"/>
                <w:b/>
                <w:bCs/>
                <w:sz w:val="22"/>
                <w:szCs w:val="22"/>
              </w:rPr>
            </w:pPr>
          </w:p>
          <w:p w:rsidR="00707650" w:rsidRPr="002A3BBD" w:rsidRDefault="00707650" w:rsidP="003C1A82">
            <w:pPr>
              <w:rPr>
                <w:rFonts w:ascii="Arial" w:hAnsi="Arial" w:cs="Arial"/>
                <w:b/>
                <w:bCs/>
                <w:sz w:val="22"/>
                <w:szCs w:val="22"/>
              </w:rPr>
            </w:pPr>
          </w:p>
          <w:p w:rsidR="00707650" w:rsidRPr="002A3BBD" w:rsidRDefault="00707650" w:rsidP="003C1A82">
            <w:pPr>
              <w:rPr>
                <w:rFonts w:ascii="Arial" w:hAnsi="Arial" w:cs="Arial"/>
                <w:b/>
                <w:bCs/>
                <w:sz w:val="22"/>
                <w:szCs w:val="22"/>
              </w:rPr>
            </w:pPr>
          </w:p>
          <w:p w:rsidR="00707650" w:rsidRPr="002A3BBD" w:rsidRDefault="00707650" w:rsidP="003C1A82">
            <w:pPr>
              <w:rPr>
                <w:rFonts w:ascii="Arial" w:hAnsi="Arial" w:cs="Arial"/>
                <w:sz w:val="22"/>
                <w:szCs w:val="22"/>
              </w:rPr>
            </w:pPr>
          </w:p>
          <w:p w:rsidR="00707650" w:rsidRPr="002A3BBD" w:rsidRDefault="00707650" w:rsidP="003C1A82">
            <w:pPr>
              <w:rPr>
                <w:rFonts w:ascii="Arial" w:hAnsi="Arial" w:cs="Arial"/>
                <w:sz w:val="22"/>
                <w:szCs w:val="22"/>
              </w:rPr>
            </w:pPr>
          </w:p>
          <w:p w:rsidR="00707650" w:rsidRDefault="00707650" w:rsidP="003C1A82">
            <w:pPr>
              <w:rPr>
                <w:rFonts w:ascii="Gill Sans MT" w:hAnsi="Gill Sans MT" w:cs="Gill Sans MT"/>
                <w:sz w:val="22"/>
                <w:szCs w:val="22"/>
              </w:rPr>
            </w:pPr>
          </w:p>
        </w:tc>
      </w:tr>
      <w:tr w:rsidR="00707650">
        <w:trPr>
          <w:cantSplit/>
          <w:trHeight w:hRule="exact" w:val="412"/>
        </w:trPr>
        <w:tc>
          <w:tcPr>
            <w:tcW w:w="9639" w:type="dxa"/>
            <w:gridSpan w:val="4"/>
            <w:tcBorders>
              <w:top w:val="nil"/>
              <w:left w:val="nil"/>
              <w:bottom w:val="nil"/>
              <w:right w:val="nil"/>
            </w:tcBorders>
          </w:tcPr>
          <w:p w:rsidR="00707650" w:rsidRPr="002A3BBD" w:rsidRDefault="00707650" w:rsidP="003C1A82">
            <w:pPr>
              <w:rPr>
                <w:rFonts w:ascii="Arial" w:hAnsi="Arial" w:cs="Arial"/>
                <w:sz w:val="22"/>
                <w:szCs w:val="22"/>
              </w:rPr>
            </w:pPr>
            <w:r w:rsidRPr="002A3BBD">
              <w:rPr>
                <w:rFonts w:ascii="Arial" w:hAnsi="Arial" w:cs="Arial"/>
                <w:b/>
                <w:bCs/>
                <w:sz w:val="22"/>
                <w:szCs w:val="22"/>
              </w:rPr>
              <w:t>Date Registered</w:t>
            </w:r>
            <w:r w:rsidR="00630906">
              <w:rPr>
                <w:rFonts w:ascii="Arial" w:hAnsi="Arial" w:cs="Arial"/>
                <w:b/>
                <w:bCs/>
                <w:sz w:val="22"/>
                <w:szCs w:val="22"/>
              </w:rPr>
              <w:t>:</w:t>
            </w:r>
            <w:r w:rsidRPr="002A3BBD">
              <w:rPr>
                <w:rFonts w:ascii="Arial" w:hAnsi="Arial" w:cs="Arial"/>
                <w:sz w:val="22"/>
                <w:szCs w:val="22"/>
              </w:rPr>
              <w:t xml:space="preserve"> 9th December 2014</w:t>
            </w:r>
          </w:p>
          <w:p w:rsidR="00707650" w:rsidRDefault="00707650" w:rsidP="003C1A82">
            <w:pPr>
              <w:rPr>
                <w:rFonts w:ascii="Gill Sans MT" w:hAnsi="Gill Sans MT" w:cs="Gill Sans MT"/>
                <w:b/>
                <w:bCs/>
                <w:sz w:val="22"/>
                <w:szCs w:val="22"/>
              </w:rPr>
            </w:pPr>
          </w:p>
        </w:tc>
      </w:tr>
      <w:tr w:rsidR="00707650">
        <w:trPr>
          <w:cantSplit/>
          <w:trHeight w:hRule="exact" w:val="150"/>
        </w:trPr>
        <w:tc>
          <w:tcPr>
            <w:tcW w:w="9639" w:type="dxa"/>
            <w:gridSpan w:val="4"/>
            <w:tcBorders>
              <w:top w:val="single" w:sz="6" w:space="0" w:color="auto"/>
              <w:left w:val="nil"/>
              <w:bottom w:val="nil"/>
              <w:right w:val="nil"/>
            </w:tcBorders>
          </w:tcPr>
          <w:p w:rsidR="00707650" w:rsidRDefault="00707650" w:rsidP="003C1A82">
            <w:pPr>
              <w:rPr>
                <w:rFonts w:ascii="Gill Sans MT" w:hAnsi="Gill Sans MT" w:cs="Gill Sans MT"/>
                <w:sz w:val="22"/>
                <w:szCs w:val="22"/>
              </w:rPr>
            </w:pPr>
          </w:p>
        </w:tc>
      </w:tr>
      <w:tr w:rsidR="00707650" w:rsidTr="005F5A47">
        <w:trPr>
          <w:cantSplit/>
          <w:trHeight w:val="1276"/>
        </w:trPr>
        <w:tc>
          <w:tcPr>
            <w:tcW w:w="1418" w:type="dxa"/>
            <w:tcBorders>
              <w:top w:val="nil"/>
              <w:left w:val="nil"/>
              <w:bottom w:val="nil"/>
              <w:right w:val="nil"/>
            </w:tcBorders>
          </w:tcPr>
          <w:p w:rsidR="00707650" w:rsidRPr="002A3BBD" w:rsidRDefault="00707650" w:rsidP="003C1A82">
            <w:pPr>
              <w:rPr>
                <w:rFonts w:ascii="Arial" w:hAnsi="Arial" w:cs="Arial"/>
                <w:b/>
                <w:bCs/>
                <w:sz w:val="22"/>
                <w:szCs w:val="22"/>
              </w:rPr>
            </w:pPr>
            <w:r w:rsidRPr="002A3BBD">
              <w:rPr>
                <w:rFonts w:ascii="Arial" w:hAnsi="Arial" w:cs="Arial"/>
                <w:b/>
                <w:bCs/>
                <w:sz w:val="22"/>
                <w:szCs w:val="22"/>
              </w:rPr>
              <w:t>Proposal</w:t>
            </w:r>
            <w:r w:rsidR="00630906">
              <w:rPr>
                <w:rFonts w:ascii="Arial" w:hAnsi="Arial" w:cs="Arial"/>
                <w:b/>
                <w:bCs/>
                <w:sz w:val="22"/>
                <w:szCs w:val="22"/>
              </w:rPr>
              <w:t>:</w:t>
            </w:r>
          </w:p>
        </w:tc>
        <w:tc>
          <w:tcPr>
            <w:tcW w:w="8221" w:type="dxa"/>
            <w:gridSpan w:val="3"/>
            <w:tcBorders>
              <w:top w:val="nil"/>
              <w:left w:val="nil"/>
              <w:bottom w:val="nil"/>
              <w:right w:val="nil"/>
            </w:tcBorders>
          </w:tcPr>
          <w:p w:rsidR="00707650" w:rsidRPr="002A3BBD" w:rsidRDefault="00707650" w:rsidP="003C1A82">
            <w:pPr>
              <w:rPr>
                <w:rFonts w:ascii="Arial" w:hAnsi="Arial" w:cs="Arial"/>
                <w:sz w:val="22"/>
                <w:szCs w:val="22"/>
              </w:rPr>
            </w:pPr>
            <w:r w:rsidRPr="002A3BBD">
              <w:rPr>
                <w:rFonts w:ascii="Arial" w:hAnsi="Arial" w:cs="Arial"/>
                <w:sz w:val="22"/>
                <w:szCs w:val="22"/>
              </w:rPr>
              <w:t>Outline planning application (all matters reserved except for means of access) for a mixed use development comprising: up to 1,200 dwellings, including affordable housing and up to 120 unit care village (C2) with associated publically accessible ancillary facilities; site for a new primary school; up to 930sqm of retail space; up to 13,800sqm of locally led employment (B1/B2/B8) including transport interchange; site for a Football Association step 5 football facility with publically accessible ancillary facilities; public open space; associated infrastructure, engineering and ancillary works.</w:t>
            </w:r>
          </w:p>
          <w:p w:rsidR="00707650" w:rsidRPr="002A3BBD" w:rsidRDefault="00707650" w:rsidP="003C1A82">
            <w:pPr>
              <w:rPr>
                <w:rFonts w:ascii="Arial" w:hAnsi="Arial" w:cs="Arial"/>
                <w:sz w:val="22"/>
                <w:szCs w:val="22"/>
              </w:rPr>
            </w:pPr>
          </w:p>
          <w:p w:rsidR="00707650" w:rsidRPr="002A3BBD" w:rsidRDefault="00707650" w:rsidP="003C1A82">
            <w:pPr>
              <w:rPr>
                <w:rFonts w:ascii="Arial" w:hAnsi="Arial" w:cs="Arial"/>
                <w:sz w:val="22"/>
                <w:szCs w:val="22"/>
              </w:rPr>
            </w:pPr>
          </w:p>
          <w:p w:rsidR="00707650" w:rsidRDefault="00707650" w:rsidP="003C1A82">
            <w:pPr>
              <w:rPr>
                <w:rFonts w:ascii="Gill Sans MT" w:hAnsi="Gill Sans MT" w:cs="Gill Sans MT"/>
                <w:sz w:val="22"/>
                <w:szCs w:val="22"/>
              </w:rPr>
            </w:pPr>
          </w:p>
        </w:tc>
      </w:tr>
      <w:tr w:rsidR="00707650">
        <w:trPr>
          <w:cantSplit/>
          <w:trHeight w:hRule="exact" w:val="699"/>
        </w:trPr>
        <w:tc>
          <w:tcPr>
            <w:tcW w:w="1418" w:type="dxa"/>
            <w:tcBorders>
              <w:top w:val="nil"/>
              <w:left w:val="nil"/>
              <w:bottom w:val="nil"/>
              <w:right w:val="nil"/>
            </w:tcBorders>
          </w:tcPr>
          <w:p w:rsidR="00707650" w:rsidRPr="002A3BBD" w:rsidRDefault="00707650" w:rsidP="003C1A82">
            <w:pPr>
              <w:rPr>
                <w:rFonts w:ascii="Arial" w:hAnsi="Arial" w:cs="Arial"/>
                <w:b/>
                <w:bCs/>
                <w:sz w:val="22"/>
                <w:szCs w:val="22"/>
              </w:rPr>
            </w:pPr>
            <w:r w:rsidRPr="002A3BBD">
              <w:rPr>
                <w:rFonts w:ascii="Arial" w:hAnsi="Arial" w:cs="Arial"/>
                <w:b/>
                <w:bCs/>
                <w:sz w:val="22"/>
                <w:szCs w:val="22"/>
              </w:rPr>
              <w:t>Location</w:t>
            </w:r>
            <w:r w:rsidR="00630906">
              <w:rPr>
                <w:rFonts w:ascii="Arial" w:hAnsi="Arial" w:cs="Arial"/>
                <w:b/>
                <w:bCs/>
                <w:sz w:val="22"/>
                <w:szCs w:val="22"/>
              </w:rPr>
              <w:t>:</w:t>
            </w:r>
          </w:p>
        </w:tc>
        <w:tc>
          <w:tcPr>
            <w:tcW w:w="8221" w:type="dxa"/>
            <w:gridSpan w:val="3"/>
            <w:tcBorders>
              <w:top w:val="nil"/>
              <w:left w:val="nil"/>
              <w:bottom w:val="nil"/>
              <w:right w:val="nil"/>
            </w:tcBorders>
          </w:tcPr>
          <w:p w:rsidR="00707650" w:rsidRPr="002A3BBD" w:rsidRDefault="00707650" w:rsidP="003C1A82">
            <w:pPr>
              <w:rPr>
                <w:rFonts w:ascii="Arial" w:hAnsi="Arial" w:cs="Arial"/>
                <w:sz w:val="22"/>
                <w:szCs w:val="22"/>
              </w:rPr>
            </w:pPr>
            <w:r w:rsidRPr="002A3BBD">
              <w:rPr>
                <w:rFonts w:ascii="Arial" w:hAnsi="Arial" w:cs="Arial"/>
                <w:sz w:val="22"/>
                <w:szCs w:val="22"/>
              </w:rPr>
              <w:t xml:space="preserve">Land South Of </w:t>
            </w:r>
            <w:proofErr w:type="spellStart"/>
            <w:r w:rsidRPr="002A3BBD">
              <w:rPr>
                <w:rFonts w:ascii="Arial" w:hAnsi="Arial" w:cs="Arial"/>
                <w:sz w:val="22"/>
                <w:szCs w:val="22"/>
              </w:rPr>
              <w:t>Perdiswell</w:t>
            </w:r>
            <w:proofErr w:type="spellEnd"/>
            <w:r w:rsidRPr="002A3BBD">
              <w:rPr>
                <w:rFonts w:ascii="Arial" w:hAnsi="Arial" w:cs="Arial"/>
                <w:sz w:val="22"/>
                <w:szCs w:val="22"/>
              </w:rPr>
              <w:t xml:space="preserve"> Farm </w:t>
            </w:r>
            <w:proofErr w:type="spellStart"/>
            <w:r w:rsidRPr="002A3BBD">
              <w:rPr>
                <w:rFonts w:ascii="Arial" w:hAnsi="Arial" w:cs="Arial"/>
                <w:sz w:val="22"/>
                <w:szCs w:val="22"/>
              </w:rPr>
              <w:t>Shipton</w:t>
            </w:r>
            <w:proofErr w:type="spellEnd"/>
            <w:r w:rsidRPr="002A3BBD">
              <w:rPr>
                <w:rFonts w:ascii="Arial" w:hAnsi="Arial" w:cs="Arial"/>
                <w:sz w:val="22"/>
                <w:szCs w:val="22"/>
              </w:rPr>
              <w:t xml:space="preserve"> Road </w:t>
            </w:r>
            <w:proofErr w:type="spellStart"/>
            <w:r w:rsidRPr="002A3BBD">
              <w:rPr>
                <w:rFonts w:ascii="Arial" w:hAnsi="Arial" w:cs="Arial"/>
                <w:sz w:val="22"/>
                <w:szCs w:val="22"/>
              </w:rPr>
              <w:t>Shipton</w:t>
            </w:r>
            <w:proofErr w:type="spellEnd"/>
            <w:r w:rsidRPr="002A3BBD">
              <w:rPr>
                <w:rFonts w:ascii="Arial" w:hAnsi="Arial" w:cs="Arial"/>
                <w:sz w:val="22"/>
                <w:szCs w:val="22"/>
              </w:rPr>
              <w:t xml:space="preserve"> On Cherwell   </w:t>
            </w:r>
          </w:p>
          <w:p w:rsidR="00707650" w:rsidRDefault="00707650" w:rsidP="003C1A82">
            <w:pPr>
              <w:rPr>
                <w:rFonts w:ascii="Gill Sans MT" w:hAnsi="Gill Sans MT" w:cs="Gill Sans MT"/>
                <w:sz w:val="22"/>
                <w:szCs w:val="22"/>
              </w:rPr>
            </w:pPr>
          </w:p>
        </w:tc>
      </w:tr>
      <w:tr w:rsidR="00707650">
        <w:trPr>
          <w:cantSplit/>
          <w:trHeight w:hRule="exact" w:val="559"/>
        </w:trPr>
        <w:tc>
          <w:tcPr>
            <w:tcW w:w="1418" w:type="dxa"/>
            <w:tcBorders>
              <w:top w:val="nil"/>
              <w:left w:val="nil"/>
              <w:bottom w:val="nil"/>
              <w:right w:val="nil"/>
            </w:tcBorders>
          </w:tcPr>
          <w:p w:rsidR="00707650" w:rsidRPr="002A3BBD" w:rsidRDefault="00707650" w:rsidP="003C1A82">
            <w:pPr>
              <w:rPr>
                <w:rFonts w:ascii="Arial" w:hAnsi="Arial" w:cs="Arial"/>
                <w:b/>
                <w:bCs/>
                <w:sz w:val="22"/>
                <w:szCs w:val="22"/>
              </w:rPr>
            </w:pPr>
            <w:r w:rsidRPr="002A3BBD">
              <w:rPr>
                <w:rFonts w:ascii="Arial" w:hAnsi="Arial" w:cs="Arial"/>
                <w:b/>
                <w:bCs/>
                <w:sz w:val="22"/>
                <w:szCs w:val="22"/>
              </w:rPr>
              <w:t>Parish</w:t>
            </w:r>
            <w:r>
              <w:rPr>
                <w:rFonts w:ascii="Arial" w:hAnsi="Arial" w:cs="Arial"/>
                <w:b/>
                <w:bCs/>
                <w:sz w:val="22"/>
                <w:szCs w:val="22"/>
              </w:rPr>
              <w:t>(</w:t>
            </w:r>
            <w:proofErr w:type="spellStart"/>
            <w:r>
              <w:rPr>
                <w:rFonts w:ascii="Arial" w:hAnsi="Arial" w:cs="Arial"/>
                <w:b/>
                <w:bCs/>
                <w:sz w:val="22"/>
                <w:szCs w:val="22"/>
              </w:rPr>
              <w:t>es</w:t>
            </w:r>
            <w:proofErr w:type="spellEnd"/>
            <w:r>
              <w:rPr>
                <w:rFonts w:ascii="Arial" w:hAnsi="Arial" w:cs="Arial"/>
                <w:b/>
                <w:bCs/>
                <w:sz w:val="22"/>
                <w:szCs w:val="22"/>
              </w:rPr>
              <w:t>)</w:t>
            </w:r>
            <w:r w:rsidR="00630906">
              <w:rPr>
                <w:rFonts w:ascii="Arial" w:hAnsi="Arial" w:cs="Arial"/>
                <w:b/>
                <w:bCs/>
                <w:sz w:val="22"/>
                <w:szCs w:val="22"/>
              </w:rPr>
              <w:t>:</w:t>
            </w:r>
          </w:p>
        </w:tc>
        <w:tc>
          <w:tcPr>
            <w:tcW w:w="8221" w:type="dxa"/>
            <w:gridSpan w:val="3"/>
            <w:tcBorders>
              <w:top w:val="nil"/>
              <w:left w:val="nil"/>
              <w:bottom w:val="nil"/>
              <w:right w:val="nil"/>
            </w:tcBorders>
          </w:tcPr>
          <w:p w:rsidR="00707650" w:rsidRPr="00325A0F" w:rsidRDefault="00707650" w:rsidP="003C1A82">
            <w:pPr>
              <w:rPr>
                <w:rFonts w:ascii="Arial" w:hAnsi="Arial" w:cs="Arial"/>
                <w:sz w:val="22"/>
                <w:szCs w:val="22"/>
              </w:rPr>
            </w:pPr>
            <w:r w:rsidRPr="00325A0F">
              <w:rPr>
                <w:rFonts w:ascii="Arial" w:hAnsi="Arial" w:cs="Arial"/>
                <w:sz w:val="22"/>
                <w:szCs w:val="22"/>
              </w:rPr>
              <w:t xml:space="preserve"> </w:t>
            </w:r>
            <w:proofErr w:type="spellStart"/>
            <w:r w:rsidRPr="00325A0F">
              <w:rPr>
                <w:rFonts w:ascii="Arial" w:hAnsi="Arial" w:cs="Arial"/>
                <w:sz w:val="22"/>
                <w:szCs w:val="22"/>
              </w:rPr>
              <w:t>Shipton</w:t>
            </w:r>
            <w:proofErr w:type="spellEnd"/>
            <w:r w:rsidRPr="00325A0F">
              <w:rPr>
                <w:rFonts w:ascii="Arial" w:hAnsi="Arial" w:cs="Arial"/>
                <w:sz w:val="22"/>
                <w:szCs w:val="22"/>
              </w:rPr>
              <w:t xml:space="preserve"> On Cherwell And </w:t>
            </w:r>
            <w:proofErr w:type="spellStart"/>
            <w:r w:rsidRPr="00325A0F">
              <w:rPr>
                <w:rFonts w:ascii="Arial" w:hAnsi="Arial" w:cs="Arial"/>
                <w:sz w:val="22"/>
                <w:szCs w:val="22"/>
              </w:rPr>
              <w:t>Thrupp</w:t>
            </w:r>
            <w:proofErr w:type="spellEnd"/>
            <w:r w:rsidRPr="00325A0F">
              <w:rPr>
                <w:rFonts w:ascii="Arial" w:hAnsi="Arial" w:cs="Arial"/>
                <w:sz w:val="22"/>
                <w:szCs w:val="22"/>
              </w:rPr>
              <w:tab/>
            </w:r>
            <w:r w:rsidRPr="00325A0F">
              <w:rPr>
                <w:rFonts w:ascii="Arial" w:hAnsi="Arial" w:cs="Arial"/>
                <w:sz w:val="22"/>
                <w:szCs w:val="22"/>
              </w:rPr>
              <w:tab/>
              <w:t xml:space="preserve"> </w:t>
            </w:r>
          </w:p>
        </w:tc>
      </w:tr>
      <w:tr w:rsidR="00707650" w:rsidTr="00B004D8">
        <w:trPr>
          <w:cantSplit/>
          <w:trHeight w:hRule="exact" w:val="80"/>
        </w:trPr>
        <w:tc>
          <w:tcPr>
            <w:tcW w:w="1418" w:type="dxa"/>
            <w:tcBorders>
              <w:top w:val="nil"/>
              <w:left w:val="nil"/>
              <w:bottom w:val="single" w:sz="6" w:space="0" w:color="auto"/>
              <w:right w:val="nil"/>
            </w:tcBorders>
          </w:tcPr>
          <w:p w:rsidR="00707650" w:rsidRPr="002A3BBD" w:rsidRDefault="00707650" w:rsidP="003C1A82">
            <w:pPr>
              <w:rPr>
                <w:rFonts w:ascii="Arial" w:hAnsi="Arial" w:cs="Arial"/>
                <w:b/>
                <w:bCs/>
                <w:sz w:val="22"/>
                <w:szCs w:val="22"/>
              </w:rPr>
            </w:pPr>
          </w:p>
        </w:tc>
        <w:tc>
          <w:tcPr>
            <w:tcW w:w="8221" w:type="dxa"/>
            <w:gridSpan w:val="3"/>
            <w:tcBorders>
              <w:top w:val="nil"/>
              <w:left w:val="nil"/>
              <w:bottom w:val="single" w:sz="6" w:space="0" w:color="auto"/>
              <w:right w:val="nil"/>
            </w:tcBorders>
          </w:tcPr>
          <w:p w:rsidR="00707650" w:rsidRDefault="00707650" w:rsidP="003C1A82">
            <w:pPr>
              <w:rPr>
                <w:rFonts w:ascii="Gill Sans MT" w:hAnsi="Gill Sans MT" w:cs="Gill Sans MT"/>
                <w:sz w:val="22"/>
                <w:szCs w:val="22"/>
              </w:rPr>
            </w:pPr>
          </w:p>
        </w:tc>
      </w:tr>
    </w:tbl>
    <w:p w:rsidR="00707650" w:rsidRPr="002A3BBD" w:rsidRDefault="00707650" w:rsidP="00707650">
      <w:pPr>
        <w:rPr>
          <w:rFonts w:ascii="Arial" w:hAnsi="Arial" w:cs="Arial"/>
        </w:rPr>
      </w:pPr>
    </w:p>
    <w:p w:rsidR="00707650" w:rsidRPr="002A3BBD" w:rsidRDefault="00707650" w:rsidP="00707650">
      <w:pPr>
        <w:pStyle w:val="Header"/>
        <w:tabs>
          <w:tab w:val="clear" w:pos="4153"/>
          <w:tab w:val="clear" w:pos="8306"/>
        </w:tabs>
        <w:rPr>
          <w:rFonts w:ascii="Arial" w:hAnsi="Arial" w:cs="Arial"/>
        </w:rPr>
      </w:pPr>
    </w:p>
    <w:p w:rsidR="00707650" w:rsidRPr="002A3BBD" w:rsidRDefault="00707650" w:rsidP="00707650">
      <w:pPr>
        <w:pStyle w:val="Heading3"/>
        <w:rPr>
          <w:rFonts w:ascii="Arial" w:hAnsi="Arial" w:cs="Arial"/>
          <w:sz w:val="24"/>
          <w:szCs w:val="24"/>
          <w:u w:val="none"/>
        </w:rPr>
      </w:pPr>
      <w:r w:rsidRPr="002A3BBD">
        <w:rPr>
          <w:rFonts w:ascii="Arial" w:hAnsi="Arial" w:cs="Arial"/>
          <w:sz w:val="24"/>
          <w:szCs w:val="24"/>
          <w:u w:val="none"/>
        </w:rPr>
        <w:t xml:space="preserve">REFUSAL OF PERMISSION FOR DEVELOPMENT </w:t>
      </w:r>
    </w:p>
    <w:p w:rsidR="00707650" w:rsidRPr="002A3BBD" w:rsidRDefault="00707650" w:rsidP="00707650">
      <w:pPr>
        <w:jc w:val="both"/>
        <w:rPr>
          <w:rFonts w:ascii="Arial" w:hAnsi="Arial" w:cs="Arial"/>
        </w:rPr>
      </w:pPr>
    </w:p>
    <w:tbl>
      <w:tblPr>
        <w:tblW w:w="0" w:type="auto"/>
        <w:tblInd w:w="108" w:type="dxa"/>
        <w:tblLayout w:type="fixed"/>
        <w:tblLook w:val="0000" w:firstRow="0" w:lastRow="0" w:firstColumn="0" w:lastColumn="0" w:noHBand="0" w:noVBand="0"/>
      </w:tblPr>
      <w:tblGrid>
        <w:gridCol w:w="9639"/>
      </w:tblGrid>
      <w:tr w:rsidR="00707650">
        <w:trPr>
          <w:trHeight w:val="1720"/>
        </w:trPr>
        <w:tc>
          <w:tcPr>
            <w:tcW w:w="9639" w:type="dxa"/>
            <w:tcBorders>
              <w:top w:val="nil"/>
              <w:left w:val="nil"/>
              <w:bottom w:val="nil"/>
              <w:right w:val="nil"/>
            </w:tcBorders>
          </w:tcPr>
          <w:p w:rsidR="00707650" w:rsidRPr="002A3BBD" w:rsidRDefault="00707650" w:rsidP="003C1A82">
            <w:pPr>
              <w:jc w:val="both"/>
              <w:rPr>
                <w:rFonts w:ascii="Arial" w:hAnsi="Arial" w:cs="Arial"/>
                <w:sz w:val="22"/>
                <w:szCs w:val="22"/>
              </w:rPr>
            </w:pPr>
            <w:r w:rsidRPr="002A3BBD">
              <w:rPr>
                <w:rFonts w:ascii="Arial" w:hAnsi="Arial" w:cs="Arial"/>
                <w:sz w:val="22"/>
                <w:szCs w:val="22"/>
              </w:rPr>
              <w:t xml:space="preserve">The Cherwell District Council, as Local Planning Authority, hereby </w:t>
            </w:r>
            <w:r w:rsidRPr="002A3BBD">
              <w:rPr>
                <w:rFonts w:ascii="Arial" w:hAnsi="Arial" w:cs="Arial"/>
                <w:b/>
                <w:bCs/>
                <w:sz w:val="22"/>
                <w:szCs w:val="22"/>
              </w:rPr>
              <w:t xml:space="preserve">REFUSES </w:t>
            </w:r>
            <w:r w:rsidRPr="002A3BBD">
              <w:rPr>
                <w:rFonts w:ascii="Arial" w:hAnsi="Arial" w:cs="Arial"/>
                <w:sz w:val="22"/>
                <w:szCs w:val="22"/>
              </w:rPr>
              <w:t xml:space="preserve">to grant planning permission for the development described in the above-mentioned application, the accompanying plans and drawings and any clarifying or amending information. </w:t>
            </w:r>
            <w:r w:rsidRPr="002A3BBD">
              <w:rPr>
                <w:rFonts w:ascii="Arial" w:hAnsi="Arial" w:cs="Arial"/>
                <w:b/>
                <w:bCs/>
                <w:sz w:val="22"/>
                <w:szCs w:val="22"/>
              </w:rPr>
              <w:t xml:space="preserve">THE REASONS FOR REFUSAL </w:t>
            </w:r>
            <w:smartTag w:uri="urn:schemas-microsoft-com:office:smarttags" w:element="stockticker">
              <w:r w:rsidRPr="002A3BBD">
                <w:rPr>
                  <w:rFonts w:ascii="Arial" w:hAnsi="Arial" w:cs="Arial"/>
                  <w:b/>
                  <w:bCs/>
                  <w:sz w:val="22"/>
                  <w:szCs w:val="22"/>
                </w:rPr>
                <w:t>ARE</w:t>
              </w:r>
            </w:smartTag>
            <w:r w:rsidRPr="002A3BBD">
              <w:rPr>
                <w:rFonts w:ascii="Arial" w:hAnsi="Arial" w:cs="Arial"/>
                <w:b/>
                <w:bCs/>
                <w:sz w:val="22"/>
                <w:szCs w:val="22"/>
              </w:rPr>
              <w:t xml:space="preserve"> SET OUT IN THE ATTACHED SCHEDULE.</w:t>
            </w:r>
            <w:r w:rsidRPr="002A3BBD">
              <w:rPr>
                <w:rFonts w:ascii="Arial" w:hAnsi="Arial" w:cs="Arial"/>
                <w:sz w:val="22"/>
                <w:szCs w:val="22"/>
              </w:rPr>
              <w:t xml:space="preserve"> </w:t>
            </w:r>
          </w:p>
        </w:tc>
      </w:tr>
    </w:tbl>
    <w:tbl>
      <w:tblPr>
        <w:tblStyle w:val="TableGrid"/>
        <w:tblW w:w="10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24"/>
        <w:gridCol w:w="222"/>
      </w:tblGrid>
      <w:tr w:rsidR="00FD1D40" w:rsidRPr="00AC37D2" w:rsidTr="00C67A7D">
        <w:trPr>
          <w:trHeight w:val="1657"/>
        </w:trPr>
        <w:tc>
          <w:tcPr>
            <w:tcW w:w="9855" w:type="dxa"/>
          </w:tcPr>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3969"/>
              <w:gridCol w:w="3969"/>
            </w:tblGrid>
            <w:tr w:rsidR="007D6E03" w:rsidRPr="007D5A67" w:rsidTr="007D6E03">
              <w:trPr>
                <w:trHeight w:val="2020"/>
              </w:trPr>
              <w:tc>
                <w:tcPr>
                  <w:tcW w:w="5670" w:type="dxa"/>
                  <w:tcBorders>
                    <w:top w:val="nil"/>
                    <w:left w:val="nil"/>
                    <w:bottom w:val="nil"/>
                    <w:right w:val="nil"/>
                  </w:tcBorders>
                </w:tcPr>
                <w:p w:rsidR="007D6E03" w:rsidRPr="007D5A67" w:rsidRDefault="007D6E03" w:rsidP="00440EE1">
                  <w:pPr>
                    <w:ind w:left="176"/>
                    <w:jc w:val="both"/>
                    <w:rPr>
                      <w:rFonts w:ascii="Arial" w:hAnsi="Arial" w:cs="Arial"/>
                    </w:rPr>
                  </w:pPr>
                  <w:r w:rsidRPr="007D5A67">
                    <w:rPr>
                      <w:rFonts w:ascii="Arial" w:hAnsi="Arial" w:cs="Arial"/>
                    </w:rPr>
                    <w:t>Cherwell District Council</w:t>
                  </w:r>
                </w:p>
                <w:p w:rsidR="007D6E03" w:rsidRPr="007D5A67" w:rsidRDefault="007D6E03" w:rsidP="00440EE1">
                  <w:pPr>
                    <w:ind w:left="176"/>
                    <w:jc w:val="both"/>
                    <w:rPr>
                      <w:rFonts w:ascii="Arial" w:hAnsi="Arial" w:cs="Arial"/>
                    </w:rPr>
                  </w:pPr>
                  <w:proofErr w:type="spellStart"/>
                  <w:r w:rsidRPr="007D5A67">
                    <w:rPr>
                      <w:rFonts w:ascii="Arial" w:hAnsi="Arial" w:cs="Arial"/>
                    </w:rPr>
                    <w:t>Bodicote</w:t>
                  </w:r>
                  <w:proofErr w:type="spellEnd"/>
                  <w:r w:rsidRPr="007D5A67">
                    <w:rPr>
                      <w:rFonts w:ascii="Arial" w:hAnsi="Arial" w:cs="Arial"/>
                    </w:rPr>
                    <w:t xml:space="preserve"> House</w:t>
                  </w:r>
                </w:p>
                <w:p w:rsidR="007D6E03" w:rsidRPr="007D5A67" w:rsidRDefault="007D6E03" w:rsidP="00440EE1">
                  <w:pPr>
                    <w:ind w:left="176"/>
                    <w:jc w:val="both"/>
                    <w:rPr>
                      <w:rFonts w:ascii="Arial" w:hAnsi="Arial" w:cs="Arial"/>
                    </w:rPr>
                  </w:pPr>
                  <w:proofErr w:type="spellStart"/>
                  <w:r w:rsidRPr="007D5A67">
                    <w:rPr>
                      <w:rFonts w:ascii="Arial" w:hAnsi="Arial" w:cs="Arial"/>
                    </w:rPr>
                    <w:t>Bodicote</w:t>
                  </w:r>
                  <w:proofErr w:type="spellEnd"/>
                </w:p>
                <w:p w:rsidR="007D6E03" w:rsidRPr="007D5A67" w:rsidRDefault="007D6E03" w:rsidP="00440EE1">
                  <w:pPr>
                    <w:ind w:left="176"/>
                    <w:jc w:val="both"/>
                    <w:rPr>
                      <w:rFonts w:ascii="Arial" w:hAnsi="Arial" w:cs="Arial"/>
                    </w:rPr>
                  </w:pPr>
                  <w:r w:rsidRPr="007D5A67">
                    <w:rPr>
                      <w:rFonts w:ascii="Arial" w:hAnsi="Arial" w:cs="Arial"/>
                    </w:rPr>
                    <w:t>Banbury</w:t>
                  </w:r>
                </w:p>
                <w:p w:rsidR="007D6E03" w:rsidRPr="007D5A67" w:rsidRDefault="007D6E03" w:rsidP="00440EE1">
                  <w:pPr>
                    <w:ind w:left="176"/>
                    <w:jc w:val="both"/>
                    <w:rPr>
                      <w:rFonts w:ascii="Arial" w:hAnsi="Arial" w:cs="Arial"/>
                    </w:rPr>
                  </w:pPr>
                  <w:r w:rsidRPr="007D5A67">
                    <w:rPr>
                      <w:rFonts w:ascii="Arial" w:hAnsi="Arial" w:cs="Arial"/>
                    </w:rPr>
                    <w:t>Oxon</w:t>
                  </w:r>
                </w:p>
                <w:p w:rsidR="007D6E03" w:rsidRPr="007D5A67" w:rsidRDefault="007D6E03" w:rsidP="00440EE1">
                  <w:pPr>
                    <w:ind w:left="176"/>
                    <w:jc w:val="both"/>
                    <w:rPr>
                      <w:rFonts w:ascii="Arial" w:hAnsi="Arial" w:cs="Arial"/>
                    </w:rPr>
                  </w:pPr>
                  <w:r w:rsidRPr="007D5A67">
                    <w:rPr>
                      <w:rFonts w:ascii="Arial" w:hAnsi="Arial" w:cs="Arial"/>
                    </w:rPr>
                    <w:t>OX15 4AA</w:t>
                  </w:r>
                  <w:bookmarkStart w:id="0" w:name="_GoBack"/>
                  <w:bookmarkEnd w:id="0"/>
                </w:p>
              </w:tc>
              <w:tc>
                <w:tcPr>
                  <w:tcW w:w="396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tblGrid>
                  <w:tr w:rsidR="007D6E03" w:rsidTr="007D6E03">
                    <w:trPr>
                      <w:trHeight w:val="220"/>
                    </w:trPr>
                    <w:tc>
                      <w:tcPr>
                        <w:tcW w:w="3081" w:type="dxa"/>
                        <w:shd w:val="clear" w:color="auto" w:fill="auto"/>
                      </w:tcPr>
                      <w:p w:rsidR="007D6E03" w:rsidRDefault="007D6E03" w:rsidP="00D77641">
                        <w:pPr>
                          <w:rPr>
                            <w:rFonts w:ascii="Arial" w:hAnsi="Arial" w:cs="Arial"/>
                            <w:b/>
                          </w:rPr>
                        </w:pPr>
                        <w:r>
                          <w:rPr>
                            <w:rFonts w:ascii="Arial" w:hAnsi="Arial" w:cs="Arial"/>
                            <w:b/>
                          </w:rPr>
                          <w:t>Cherwell District Council</w:t>
                        </w:r>
                      </w:p>
                    </w:tc>
                  </w:tr>
                  <w:tr w:rsidR="007D6E03" w:rsidTr="007D6E03">
                    <w:trPr>
                      <w:trHeight w:val="1853"/>
                    </w:trPr>
                    <w:tc>
                      <w:tcPr>
                        <w:tcW w:w="3081" w:type="dxa"/>
                        <w:shd w:val="clear" w:color="auto" w:fill="auto"/>
                      </w:tcPr>
                      <w:p w:rsidR="007D6E03" w:rsidRDefault="007D6E03" w:rsidP="00D77641">
                        <w:pPr>
                          <w:rPr>
                            <w:rFonts w:ascii="Arial" w:hAnsi="Arial" w:cs="Arial"/>
                            <w:sz w:val="22"/>
                            <w:szCs w:val="22"/>
                          </w:rPr>
                        </w:pPr>
                        <w:r>
                          <w:rPr>
                            <w:rFonts w:ascii="Arial" w:hAnsi="Arial" w:cs="Arial"/>
                            <w:sz w:val="22"/>
                            <w:szCs w:val="22"/>
                          </w:rPr>
                          <w:t>Certified a true copy</w:t>
                        </w:r>
                      </w:p>
                      <w:p w:rsidR="007D6E03" w:rsidRDefault="007D6E03" w:rsidP="00D77641">
                        <w:pPr>
                          <w:jc w:val="center"/>
                          <w:rPr>
                            <w:rFonts w:ascii="Arial" w:hAnsi="Arial" w:cs="Arial"/>
                            <w:sz w:val="22"/>
                            <w:szCs w:val="22"/>
                          </w:rPr>
                        </w:pPr>
                        <w:r>
                          <w:rPr>
                            <w:rFonts w:ascii="Arial" w:hAnsi="Arial" w:cs="Arial"/>
                            <w:noProof/>
                            <w:sz w:val="22"/>
                            <w:szCs w:val="22"/>
                          </w:rPr>
                          <w:pict w14:anchorId="6503E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7pt;margin-top:-50.7pt;width:49.05pt;height:168.25pt;rotation:270;z-index:251659264">
                              <v:imagedata r:id="rId9" o:title=""/>
                              <w10:wrap type="square"/>
                            </v:shape>
                          </w:pict>
                        </w:r>
                        <w:r>
                          <w:rPr>
                            <w:rFonts w:ascii="Arial" w:hAnsi="Arial" w:cs="Arial"/>
                            <w:sz w:val="22"/>
                            <w:szCs w:val="22"/>
                          </w:rPr>
                          <w:t>Head of Public Protection &amp; Development Management</w:t>
                        </w:r>
                      </w:p>
                    </w:tc>
                  </w:tr>
                </w:tbl>
                <w:p w:rsidR="007D6E03" w:rsidRDefault="007D6E03" w:rsidP="00D77641">
                  <w:pPr>
                    <w:jc w:val="both"/>
                    <w:rPr>
                      <w:rFonts w:ascii="Arial" w:hAnsi="Arial" w:cs="Arial"/>
                      <w:sz w:val="22"/>
                      <w:szCs w:val="22"/>
                    </w:rPr>
                  </w:pPr>
                </w:p>
              </w:tc>
              <w:tc>
                <w:tcPr>
                  <w:tcW w:w="3969" w:type="dxa"/>
                  <w:tcBorders>
                    <w:top w:val="nil"/>
                    <w:left w:val="nil"/>
                    <w:bottom w:val="nil"/>
                    <w:right w:val="nil"/>
                  </w:tcBorders>
                  <w:vAlign w:val="bottom"/>
                </w:tcPr>
                <w:p w:rsidR="007D6E03" w:rsidRPr="007D5A67" w:rsidRDefault="007D6E03" w:rsidP="00440EE1">
                  <w:pPr>
                    <w:jc w:val="right"/>
                    <w:rPr>
                      <w:rFonts w:ascii="Arial" w:hAnsi="Arial" w:cs="Arial"/>
                    </w:rPr>
                  </w:pPr>
                </w:p>
              </w:tc>
            </w:tr>
          </w:tbl>
          <w:p w:rsidR="00FD1D40" w:rsidRPr="00AC37D2" w:rsidRDefault="00FD1D40" w:rsidP="001F6699">
            <w:pPr>
              <w:ind w:left="176"/>
              <w:jc w:val="both"/>
              <w:rPr>
                <w:sz w:val="22"/>
                <w:szCs w:val="22"/>
              </w:rPr>
            </w:pPr>
          </w:p>
        </w:tc>
        <w:tc>
          <w:tcPr>
            <w:tcW w:w="222" w:type="dxa"/>
          </w:tcPr>
          <w:p w:rsidR="00FD1D40" w:rsidRPr="00AC37D2" w:rsidRDefault="00FD1D40" w:rsidP="001F6699">
            <w:pPr>
              <w:jc w:val="both"/>
              <w:rPr>
                <w:sz w:val="22"/>
                <w:szCs w:val="22"/>
              </w:rPr>
            </w:pPr>
          </w:p>
        </w:tc>
      </w:tr>
    </w:tbl>
    <w:tbl>
      <w:tblPr>
        <w:tblW w:w="0" w:type="auto"/>
        <w:tblInd w:w="108" w:type="dxa"/>
        <w:tblLayout w:type="fixed"/>
        <w:tblLook w:val="0000" w:firstRow="0" w:lastRow="0" w:firstColumn="0" w:lastColumn="0" w:noHBand="0" w:noVBand="0"/>
      </w:tblPr>
      <w:tblGrid>
        <w:gridCol w:w="4819"/>
        <w:gridCol w:w="4927"/>
      </w:tblGrid>
      <w:tr w:rsidR="00707650">
        <w:tc>
          <w:tcPr>
            <w:tcW w:w="4819" w:type="dxa"/>
            <w:tcBorders>
              <w:top w:val="nil"/>
              <w:left w:val="nil"/>
              <w:bottom w:val="nil"/>
              <w:right w:val="nil"/>
            </w:tcBorders>
          </w:tcPr>
          <w:p w:rsidR="00707650" w:rsidRPr="002A3BBD" w:rsidRDefault="00707650" w:rsidP="003C1A82">
            <w:pPr>
              <w:jc w:val="both"/>
              <w:rPr>
                <w:rFonts w:ascii="Arial" w:hAnsi="Arial" w:cs="Arial"/>
                <w:b/>
                <w:bCs/>
                <w:sz w:val="22"/>
                <w:szCs w:val="22"/>
              </w:rPr>
            </w:pPr>
            <w:r w:rsidRPr="002A3BBD">
              <w:rPr>
                <w:rFonts w:ascii="Arial" w:hAnsi="Arial" w:cs="Arial"/>
                <w:b/>
                <w:bCs/>
                <w:sz w:val="22"/>
                <w:szCs w:val="22"/>
              </w:rPr>
              <w:t>Date of Decision</w:t>
            </w:r>
            <w:r w:rsidR="00630906">
              <w:rPr>
                <w:rFonts w:ascii="Arial" w:hAnsi="Arial" w:cs="Arial"/>
                <w:b/>
                <w:bCs/>
                <w:sz w:val="22"/>
                <w:szCs w:val="22"/>
              </w:rPr>
              <w:t>:</w:t>
            </w:r>
            <w:r w:rsidRPr="002A3BBD">
              <w:rPr>
                <w:rFonts w:ascii="Arial" w:hAnsi="Arial" w:cs="Arial"/>
                <w:b/>
                <w:bCs/>
                <w:sz w:val="22"/>
                <w:szCs w:val="22"/>
              </w:rPr>
              <w:t xml:space="preserve"> 2nd October 2015</w:t>
            </w:r>
          </w:p>
        </w:tc>
        <w:tc>
          <w:tcPr>
            <w:tcW w:w="4927" w:type="dxa"/>
            <w:tcBorders>
              <w:top w:val="nil"/>
              <w:left w:val="nil"/>
              <w:bottom w:val="nil"/>
              <w:right w:val="nil"/>
            </w:tcBorders>
          </w:tcPr>
          <w:p w:rsidR="00B004D8" w:rsidRDefault="00BA7FA4" w:rsidP="001F7106">
            <w:pPr>
              <w:jc w:val="right"/>
              <w:rPr>
                <w:rFonts w:ascii="Arial" w:hAnsi="Arial" w:cs="Arial"/>
                <w:b/>
                <w:bCs/>
                <w:sz w:val="22"/>
                <w:szCs w:val="22"/>
              </w:rPr>
            </w:pPr>
            <w:r w:rsidRPr="00BA7FA4">
              <w:rPr>
                <w:rFonts w:ascii="Arial" w:hAnsi="Arial" w:cs="Arial"/>
                <w:b/>
                <w:bCs/>
                <w:sz w:val="22"/>
                <w:szCs w:val="22"/>
              </w:rPr>
              <w:t xml:space="preserve">Head of Public Protection </w:t>
            </w:r>
          </w:p>
          <w:p w:rsidR="00707650" w:rsidRPr="002A3BBD" w:rsidRDefault="00BA7FA4" w:rsidP="001F7106">
            <w:pPr>
              <w:jc w:val="right"/>
              <w:rPr>
                <w:rFonts w:ascii="Arial" w:hAnsi="Arial" w:cs="Arial"/>
                <w:b/>
                <w:bCs/>
                <w:sz w:val="22"/>
                <w:szCs w:val="22"/>
              </w:rPr>
            </w:pPr>
            <w:r w:rsidRPr="00BA7FA4">
              <w:rPr>
                <w:rFonts w:ascii="Arial" w:hAnsi="Arial" w:cs="Arial"/>
                <w:b/>
                <w:bCs/>
                <w:sz w:val="22"/>
                <w:szCs w:val="22"/>
              </w:rPr>
              <w:t>&amp; Development Management</w:t>
            </w:r>
          </w:p>
        </w:tc>
      </w:tr>
    </w:tbl>
    <w:p w:rsidR="00707650" w:rsidRDefault="00707650" w:rsidP="00707650">
      <w:pPr>
        <w:jc w:val="both"/>
        <w:rPr>
          <w:rFonts w:ascii="Gill Sans MT" w:hAnsi="Gill Sans MT" w:cs="Gill Sans MT"/>
          <w:sz w:val="22"/>
          <w:szCs w:val="22"/>
        </w:rPr>
      </w:pPr>
    </w:p>
    <w:p w:rsidR="00707650" w:rsidRDefault="00707650" w:rsidP="00707650">
      <w:pPr>
        <w:jc w:val="both"/>
        <w:rPr>
          <w:rFonts w:ascii="Arial" w:hAnsi="Arial" w:cs="Arial"/>
          <w:sz w:val="22"/>
          <w:szCs w:val="22"/>
        </w:rPr>
      </w:pPr>
    </w:p>
    <w:tbl>
      <w:tblPr>
        <w:tblW w:w="0" w:type="auto"/>
        <w:tblLayout w:type="fixed"/>
        <w:tblLook w:val="0000" w:firstRow="0" w:lastRow="0" w:firstColumn="0" w:lastColumn="0" w:noHBand="0" w:noVBand="0"/>
      </w:tblPr>
      <w:tblGrid>
        <w:gridCol w:w="9854"/>
      </w:tblGrid>
      <w:tr w:rsidR="00707650" w:rsidRPr="002A3BBD">
        <w:trPr>
          <w:cantSplit/>
        </w:trPr>
        <w:tc>
          <w:tcPr>
            <w:tcW w:w="9854" w:type="dxa"/>
            <w:tcBorders>
              <w:top w:val="nil"/>
              <w:left w:val="nil"/>
              <w:bottom w:val="nil"/>
              <w:right w:val="nil"/>
            </w:tcBorders>
          </w:tcPr>
          <w:p w:rsidR="00707650" w:rsidRPr="002A3BBD" w:rsidRDefault="00707650" w:rsidP="003C1A82">
            <w:pPr>
              <w:pStyle w:val="Heading4"/>
              <w:rPr>
                <w:rFonts w:ascii="Arial" w:hAnsi="Arial" w:cs="Arial"/>
                <w:sz w:val="22"/>
                <w:szCs w:val="22"/>
                <w:u w:val="none"/>
              </w:rPr>
            </w:pPr>
            <w:r w:rsidRPr="002A3BBD">
              <w:rPr>
                <w:rFonts w:ascii="Arial" w:hAnsi="Arial" w:cs="Arial"/>
                <w:sz w:val="22"/>
                <w:szCs w:val="22"/>
                <w:u w:val="none"/>
              </w:rPr>
              <w:t>REASONS FOR REFUSAL</w:t>
            </w:r>
          </w:p>
        </w:tc>
      </w:tr>
    </w:tbl>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1</w:t>
      </w:r>
      <w:r w:rsidRPr="00880D3B">
        <w:rPr>
          <w:rFonts w:ascii="Arial" w:hAnsi="Arial" w:cs="Arial"/>
          <w:sz w:val="22"/>
          <w:szCs w:val="22"/>
        </w:rPr>
        <w:tab/>
        <w:t>The proposed development would result in unnecessary and undesirable new housing development in open countryside in that the  application site is not allocated for development in either the adopted Cherwell Local Plan 2011-2031, the West Oxfordshire Local Plan 2011, or the Submission West Oxfordshire Local Plan  2031 . Cherwell District Council is able to demonstrate that it has a 5 year supply of deliverable housing land</w:t>
      </w:r>
      <w:r w:rsidR="008C5F80">
        <w:rPr>
          <w:rFonts w:ascii="Arial" w:hAnsi="Arial" w:cs="Arial"/>
          <w:sz w:val="22"/>
          <w:szCs w:val="22"/>
        </w:rPr>
        <w:t xml:space="preserve"> </w:t>
      </w:r>
      <w:r w:rsidRPr="00880D3B">
        <w:rPr>
          <w:rFonts w:ascii="Arial" w:hAnsi="Arial" w:cs="Arial"/>
          <w:sz w:val="22"/>
          <w:szCs w:val="22"/>
        </w:rPr>
        <w:t xml:space="preserve">and the development of land at Woodstock does not accord with the Council's development strategy of focussing development at Banbury and Bicester and allowing only limited development in rural areas, and therefore the proposal is contrary to Policies BSC 1 </w:t>
      </w:r>
      <w:r w:rsidR="00F96A90">
        <w:rPr>
          <w:rFonts w:ascii="Arial" w:hAnsi="Arial" w:cs="Arial"/>
          <w:sz w:val="22"/>
          <w:szCs w:val="22"/>
        </w:rPr>
        <w:t>and</w:t>
      </w:r>
      <w:r w:rsidRPr="00880D3B">
        <w:rPr>
          <w:rFonts w:ascii="Arial" w:hAnsi="Arial" w:cs="Arial"/>
          <w:sz w:val="22"/>
          <w:szCs w:val="22"/>
        </w:rPr>
        <w:t xml:space="preserve"> Policy Villages 1 of the Cherwell Local Plan 2011-2031 and Policy H18 of the saved policies of the Cherwell Local Plan (1996).</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2</w:t>
      </w:r>
      <w:r w:rsidRPr="00880D3B">
        <w:rPr>
          <w:rFonts w:ascii="Arial" w:hAnsi="Arial" w:cs="Arial"/>
          <w:sz w:val="22"/>
          <w:szCs w:val="22"/>
        </w:rPr>
        <w:tab/>
        <w:t>This substantial development proposal would result in a significant loss of open countryside and have a substantial and adverse impact upon the character and appearance of that countryside and therefore be contrary to Policy ESD13 of the Cherwell Local Plan 2011-2031.</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3</w:t>
      </w:r>
      <w:r w:rsidRPr="00880D3B">
        <w:rPr>
          <w:rFonts w:ascii="Arial" w:hAnsi="Arial" w:cs="Arial"/>
          <w:sz w:val="22"/>
          <w:szCs w:val="22"/>
        </w:rPr>
        <w:tab/>
        <w:t>It has not been demonstrated that the development, by reason of its siting, size, and height of buildings, will not have a significant and adverse detrimental impact upon the Blenheim Palace and Park World Heritage Site, the Grade 1 listed building, and the Listed Garden, or the Blenheim Villa Scheduled Ancient Monument, which would impact upon the setting of these assets and visitors experience of the WHS and other heritage assets both on their approach to it from the south along the A44, and whilst within the park,  and would therefore be contrary to Policy ESD16 of the Cherwell Local Plan 2011-2031. It is considered that the evidence to support the applicant</w:t>
      </w:r>
      <w:r w:rsidR="00630906">
        <w:rPr>
          <w:rFonts w:ascii="Arial" w:hAnsi="Arial" w:cs="Arial"/>
          <w:sz w:val="22"/>
          <w:szCs w:val="22"/>
        </w:rPr>
        <w:t>’</w:t>
      </w:r>
      <w:r w:rsidRPr="00880D3B">
        <w:rPr>
          <w:rFonts w:ascii="Arial" w:hAnsi="Arial" w:cs="Arial"/>
          <w:sz w:val="22"/>
          <w:szCs w:val="22"/>
        </w:rPr>
        <w:t>s case for securing the future of the World Heritage site is not sufficient to outweigh this concern.</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4</w:t>
      </w:r>
      <w:r w:rsidRPr="00880D3B">
        <w:rPr>
          <w:rFonts w:ascii="Arial" w:hAnsi="Arial" w:cs="Arial"/>
          <w:sz w:val="22"/>
          <w:szCs w:val="22"/>
        </w:rPr>
        <w:tab/>
        <w:t>The proposed development would be poorly connected to the existing facilities offered by Woodstock, with the principle effective pedestrian/ cycle route being along the A44.</w:t>
      </w:r>
      <w:r w:rsidR="00F96A90">
        <w:rPr>
          <w:rFonts w:ascii="Arial" w:hAnsi="Arial" w:cs="Arial"/>
          <w:sz w:val="22"/>
          <w:szCs w:val="22"/>
        </w:rPr>
        <w:t xml:space="preserve"> </w:t>
      </w:r>
      <w:r w:rsidRPr="00880D3B">
        <w:rPr>
          <w:rFonts w:ascii="Arial" w:hAnsi="Arial" w:cs="Arial"/>
          <w:sz w:val="22"/>
          <w:szCs w:val="22"/>
        </w:rPr>
        <w:t>Additional proposed connections through existing housing estates are considered to be indirect and of lesser attraction to users as they do not lead to the facilities sought. Given the size of the site walking and cycling distances from the southern/eastern extremities of the site are excessive. The proposal is therefore considered to contrary to Policy SLE 4 of Cherwell Local Plan 2011-2031.</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5</w:t>
      </w:r>
      <w:r w:rsidRPr="00880D3B">
        <w:rPr>
          <w:rFonts w:ascii="Arial" w:hAnsi="Arial" w:cs="Arial"/>
          <w:sz w:val="22"/>
          <w:szCs w:val="22"/>
        </w:rPr>
        <w:tab/>
        <w:t xml:space="preserve">Given the refusal of planning permission by West Oxfordshire District Council for their part of the site the remaining development would result in an unconnected and isolated  community in an unsustainable location poorly related to  either Woodstock or </w:t>
      </w:r>
      <w:proofErr w:type="spellStart"/>
      <w:r w:rsidRPr="00880D3B">
        <w:rPr>
          <w:rFonts w:ascii="Arial" w:hAnsi="Arial" w:cs="Arial"/>
          <w:sz w:val="22"/>
          <w:szCs w:val="22"/>
        </w:rPr>
        <w:t>Bladon</w:t>
      </w:r>
      <w:proofErr w:type="spellEnd"/>
      <w:r w:rsidRPr="00880D3B">
        <w:rPr>
          <w:rFonts w:ascii="Arial" w:hAnsi="Arial" w:cs="Arial"/>
          <w:sz w:val="22"/>
          <w:szCs w:val="22"/>
        </w:rPr>
        <w:t>, and it has not been demonstrated that the necessary facilities for the community could be provided in a satisfactory manner within the remaining area, and therefore the proposal would be contrary to Policies PSD1,</w:t>
      </w:r>
      <w:r w:rsidR="008C5F80">
        <w:rPr>
          <w:rFonts w:ascii="Arial" w:hAnsi="Arial" w:cs="Arial"/>
          <w:sz w:val="22"/>
          <w:szCs w:val="22"/>
        </w:rPr>
        <w:t xml:space="preserve"> </w:t>
      </w:r>
      <w:r w:rsidRPr="00880D3B">
        <w:rPr>
          <w:rFonts w:ascii="Arial" w:hAnsi="Arial" w:cs="Arial"/>
          <w:sz w:val="22"/>
          <w:szCs w:val="22"/>
        </w:rPr>
        <w:t>Policy Villages 1 and 2, and Policy INF 1.</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6</w:t>
      </w:r>
      <w:r w:rsidRPr="00880D3B">
        <w:rPr>
          <w:rFonts w:ascii="Arial" w:hAnsi="Arial" w:cs="Arial"/>
          <w:sz w:val="22"/>
          <w:szCs w:val="22"/>
        </w:rPr>
        <w:tab/>
        <w:t>The transport interchange (formerly Link &amp; Ride) car park is contrary to transport strategy as set out in the Oxford Transport Strategy that forms part of the adopted Oxfordshire County Council Local Transport Plan 4, 2015-2031.</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7</w:t>
      </w:r>
      <w:r w:rsidRPr="00880D3B">
        <w:rPr>
          <w:rFonts w:ascii="Arial" w:hAnsi="Arial" w:cs="Arial"/>
          <w:sz w:val="22"/>
          <w:szCs w:val="22"/>
        </w:rPr>
        <w:tab/>
        <w:t>The provision of employment development of the scale proposed is inconsistent with the Cherwell Local Plan strategy which focusses employment development at Banbury and Bicester or on existing employment sites elsewhere. No attempt has been made to address the criteria set out in Policy SLE1</w:t>
      </w:r>
      <w:r w:rsidR="008C5F80">
        <w:rPr>
          <w:rFonts w:ascii="Arial" w:hAnsi="Arial" w:cs="Arial"/>
          <w:sz w:val="22"/>
          <w:szCs w:val="22"/>
        </w:rPr>
        <w:t xml:space="preserve"> </w:t>
      </w:r>
      <w:r w:rsidRPr="00880D3B">
        <w:rPr>
          <w:rFonts w:ascii="Arial" w:hAnsi="Arial" w:cs="Arial"/>
          <w:sz w:val="22"/>
          <w:szCs w:val="22"/>
        </w:rPr>
        <w:t>of the adopted Cherwell Local P</w:t>
      </w:r>
      <w:r w:rsidR="008C5F80">
        <w:rPr>
          <w:rFonts w:ascii="Arial" w:hAnsi="Arial" w:cs="Arial"/>
          <w:sz w:val="22"/>
          <w:szCs w:val="22"/>
        </w:rPr>
        <w:t>l</w:t>
      </w:r>
      <w:r w:rsidRPr="00880D3B">
        <w:rPr>
          <w:rFonts w:ascii="Arial" w:hAnsi="Arial" w:cs="Arial"/>
          <w:sz w:val="22"/>
          <w:szCs w:val="22"/>
        </w:rPr>
        <w:t>an 2011-2031 and therefore the proposal is contrary to that Policy.</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lastRenderedPageBreak/>
        <w:t xml:space="preserve"> 8</w:t>
      </w:r>
      <w:r w:rsidRPr="00880D3B">
        <w:rPr>
          <w:rFonts w:ascii="Arial" w:hAnsi="Arial" w:cs="Arial"/>
          <w:sz w:val="22"/>
          <w:szCs w:val="22"/>
        </w:rPr>
        <w:tab/>
        <w:t>It</w:t>
      </w:r>
      <w:r w:rsidR="00F96A90">
        <w:rPr>
          <w:rFonts w:ascii="Arial" w:hAnsi="Arial" w:cs="Arial"/>
          <w:sz w:val="22"/>
          <w:szCs w:val="22"/>
        </w:rPr>
        <w:t xml:space="preserve"> </w:t>
      </w:r>
      <w:r w:rsidRPr="00880D3B">
        <w:rPr>
          <w:rFonts w:ascii="Arial" w:hAnsi="Arial" w:cs="Arial"/>
          <w:sz w:val="22"/>
          <w:szCs w:val="22"/>
        </w:rPr>
        <w:t>has not been demonstrated to the satisfaction of either the Local Planning Authority or Sport England that the proposed sports facilities have been planned in a  positive and integrated way in accordance with Paragraph 70 of the NPPF and may not therefore be fit for purpose, accessible and sustainable, and therefore the proposal is contrary to Policies BSC10 AND BSC 11 of the adopted Cherwell Local Plan 2011-2031.</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r w:rsidRPr="00880D3B">
        <w:rPr>
          <w:rFonts w:ascii="Arial" w:hAnsi="Arial" w:cs="Arial"/>
          <w:sz w:val="22"/>
          <w:szCs w:val="22"/>
        </w:rPr>
        <w:t xml:space="preserve"> 9</w:t>
      </w:r>
      <w:r w:rsidRPr="00880D3B">
        <w:rPr>
          <w:rFonts w:ascii="Arial" w:hAnsi="Arial" w:cs="Arial"/>
          <w:sz w:val="22"/>
          <w:szCs w:val="22"/>
        </w:rPr>
        <w:tab/>
        <w:t>By reason of a lack of a satisfactory completed S106 legal agreement to ensure that the development adequately mitigates its impact on community infrastructure and secures the provision of affordable housing, the local planning authority cannot be satisfied that the impacts of the development in this respect can be made acceptable. Consequently the proposals conflict with the requirements of Policies BSC3 and INF1 of the Cherwell Submission Local Plan as well as paragraphs 17, 203 and 204 of the National Planning Policy Framework.</w:t>
      </w:r>
    </w:p>
    <w:p w:rsidR="00707650" w:rsidRPr="00880D3B" w:rsidRDefault="00707650" w:rsidP="00707650">
      <w:pPr>
        <w:keepLines/>
        <w:ind w:left="720" w:hanging="720"/>
        <w:jc w:val="both"/>
        <w:rPr>
          <w:rFonts w:ascii="Arial" w:hAnsi="Arial" w:cs="Arial"/>
          <w:sz w:val="22"/>
          <w:szCs w:val="22"/>
        </w:rPr>
      </w:pPr>
    </w:p>
    <w:p w:rsidR="00707650" w:rsidRPr="00880D3B" w:rsidRDefault="00707650" w:rsidP="00707650">
      <w:pPr>
        <w:keepLines/>
        <w:ind w:left="720" w:hanging="720"/>
        <w:jc w:val="both"/>
        <w:rPr>
          <w:rFonts w:ascii="Arial" w:hAnsi="Arial" w:cs="Arial"/>
          <w:sz w:val="22"/>
          <w:szCs w:val="22"/>
        </w:rPr>
      </w:pPr>
    </w:p>
    <w:p w:rsidR="00707650" w:rsidRPr="00880D3B" w:rsidRDefault="00630906" w:rsidP="00707650">
      <w:pPr>
        <w:keepLines/>
        <w:ind w:hanging="11"/>
        <w:jc w:val="both"/>
        <w:rPr>
          <w:rFonts w:ascii="Arial" w:hAnsi="Arial" w:cs="Arial"/>
          <w:sz w:val="22"/>
          <w:szCs w:val="22"/>
        </w:rPr>
      </w:pPr>
      <w:r>
        <w:rPr>
          <w:rFonts w:ascii="Arial" w:hAnsi="Arial" w:cs="Arial"/>
          <w:b/>
          <w:bCs/>
          <w:sz w:val="22"/>
          <w:szCs w:val="22"/>
        </w:rPr>
        <w:t>STATEMENT OF ENGAGEMENT</w:t>
      </w:r>
    </w:p>
    <w:p w:rsidR="00707650" w:rsidRPr="00880D3B" w:rsidRDefault="00707650" w:rsidP="00707650">
      <w:pPr>
        <w:keepLines/>
        <w:ind w:hanging="11"/>
        <w:jc w:val="both"/>
        <w:rPr>
          <w:rFonts w:ascii="Arial" w:hAnsi="Arial" w:cs="Arial"/>
          <w:sz w:val="22"/>
          <w:szCs w:val="22"/>
        </w:rPr>
      </w:pPr>
    </w:p>
    <w:p w:rsidR="00707650" w:rsidRPr="00880D3B" w:rsidRDefault="00707650" w:rsidP="00707650">
      <w:pPr>
        <w:keepLines/>
        <w:ind w:hanging="11"/>
        <w:jc w:val="both"/>
        <w:rPr>
          <w:rFonts w:ascii="Arial" w:hAnsi="Arial" w:cs="Arial"/>
          <w:sz w:val="22"/>
          <w:szCs w:val="22"/>
        </w:rPr>
      </w:pPr>
      <w:r w:rsidRPr="00880D3B">
        <w:rPr>
          <w:rFonts w:ascii="Arial" w:hAnsi="Arial" w:cs="Arial"/>
          <w:sz w:val="22"/>
          <w:szCs w:val="22"/>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set out in the application report.</w:t>
      </w:r>
    </w:p>
    <w:p w:rsidR="00707650" w:rsidRPr="00880D3B" w:rsidRDefault="00707650" w:rsidP="00707650">
      <w:pPr>
        <w:keepLines/>
        <w:ind w:hanging="11"/>
        <w:jc w:val="both"/>
        <w:rPr>
          <w:rFonts w:ascii="Arial" w:hAnsi="Arial" w:cs="Arial"/>
          <w:sz w:val="22"/>
          <w:szCs w:val="22"/>
        </w:rPr>
      </w:pPr>
    </w:p>
    <w:p w:rsidR="00707650" w:rsidRPr="00880D3B" w:rsidRDefault="00707650" w:rsidP="00707650">
      <w:pPr>
        <w:jc w:val="both"/>
        <w:rPr>
          <w:rFonts w:ascii="Arial" w:hAnsi="Arial" w:cs="Arial"/>
          <w:sz w:val="22"/>
          <w:szCs w:val="22"/>
        </w:rPr>
      </w:pPr>
    </w:p>
    <w:p w:rsidR="00707650" w:rsidRPr="00880D3B" w:rsidRDefault="00707650" w:rsidP="00707650">
      <w:pPr>
        <w:jc w:val="both"/>
        <w:rPr>
          <w:rFonts w:ascii="Arial" w:hAnsi="Arial" w:cs="Arial"/>
          <w:sz w:val="22"/>
          <w:szCs w:val="22"/>
        </w:rPr>
      </w:pPr>
    </w:p>
    <w:p w:rsidR="00707650" w:rsidRPr="00880D3B" w:rsidRDefault="00707650" w:rsidP="00707650">
      <w:pPr>
        <w:jc w:val="both"/>
        <w:rPr>
          <w:rFonts w:ascii="Arial" w:hAnsi="Arial" w:cs="Arial"/>
          <w:sz w:val="22"/>
          <w:szCs w:val="22"/>
        </w:rPr>
      </w:pPr>
    </w:p>
    <w:p w:rsidR="00707650" w:rsidRPr="00880D3B" w:rsidRDefault="00707650" w:rsidP="00707650">
      <w:pPr>
        <w:jc w:val="both"/>
        <w:rPr>
          <w:rFonts w:ascii="Arial" w:hAnsi="Arial" w:cs="Arial"/>
          <w:sz w:val="22"/>
          <w:szCs w:val="22"/>
        </w:rPr>
      </w:pPr>
    </w:p>
    <w:p w:rsidR="00707650" w:rsidRPr="002A3BBD" w:rsidRDefault="00707650" w:rsidP="00707650">
      <w:pPr>
        <w:jc w:val="both"/>
        <w:rPr>
          <w:rFonts w:ascii="Arial" w:hAnsi="Arial" w:cs="Arial"/>
          <w:sz w:val="22"/>
          <w:szCs w:val="22"/>
        </w:rPr>
      </w:pPr>
      <w:r w:rsidRPr="002A3BBD">
        <w:rPr>
          <w:rFonts w:ascii="Arial" w:hAnsi="Arial" w:cs="Arial"/>
          <w:sz w:val="22"/>
          <w:szCs w:val="22"/>
        </w:rPr>
        <w:br w:type="page"/>
      </w:r>
    </w:p>
    <w:tbl>
      <w:tblPr>
        <w:tblW w:w="0" w:type="auto"/>
        <w:tblInd w:w="107" w:type="dxa"/>
        <w:tblBorders>
          <w:bottom w:val="single" w:sz="6" w:space="0" w:color="auto"/>
        </w:tblBorders>
        <w:tblLayout w:type="fixed"/>
        <w:tblCellMar>
          <w:left w:w="107" w:type="dxa"/>
          <w:right w:w="107" w:type="dxa"/>
        </w:tblCellMar>
        <w:tblLook w:val="0000" w:firstRow="0" w:lastRow="0" w:firstColumn="0" w:lastColumn="0" w:noHBand="0" w:noVBand="0"/>
      </w:tblPr>
      <w:tblGrid>
        <w:gridCol w:w="3544"/>
        <w:gridCol w:w="6095"/>
      </w:tblGrid>
      <w:tr w:rsidR="00707650">
        <w:trPr>
          <w:cantSplit/>
          <w:trHeight w:hRule="exact" w:val="568"/>
        </w:trPr>
        <w:tc>
          <w:tcPr>
            <w:tcW w:w="3544" w:type="dxa"/>
            <w:vMerge w:val="restart"/>
            <w:tcBorders>
              <w:top w:val="nil"/>
              <w:left w:val="nil"/>
              <w:bottom w:val="nil"/>
              <w:right w:val="nil"/>
            </w:tcBorders>
          </w:tcPr>
          <w:p w:rsidR="00707650" w:rsidRPr="001A02E3" w:rsidRDefault="00630906" w:rsidP="003C1A82">
            <w:pPr>
              <w:tabs>
                <w:tab w:val="left" w:pos="743"/>
                <w:tab w:val="left" w:pos="2302"/>
                <w:tab w:val="left" w:pos="4570"/>
                <w:tab w:val="left" w:pos="6554"/>
                <w:tab w:val="left" w:pos="8114"/>
                <w:tab w:val="left" w:pos="8505"/>
              </w:tabs>
              <w:rPr>
                <w:rFonts w:ascii="Arial" w:hAnsi="Arial" w:cs="Arial"/>
                <w:sz w:val="16"/>
                <w:szCs w:val="16"/>
              </w:rPr>
            </w:pPr>
            <w:r>
              <w:rPr>
                <w:rFonts w:ascii="Arial" w:hAnsi="Arial" w:cs="Arial"/>
                <w:noProof/>
                <w:sz w:val="16"/>
                <w:szCs w:val="16"/>
              </w:rPr>
              <w:lastRenderedPageBreak/>
              <w:drawing>
                <wp:inline distT="0" distB="0" distL="0" distR="0">
                  <wp:extent cx="22669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181100"/>
                          </a:xfrm>
                          <a:prstGeom prst="rect">
                            <a:avLst/>
                          </a:prstGeom>
                          <a:noFill/>
                          <a:ln>
                            <a:noFill/>
                          </a:ln>
                        </pic:spPr>
                      </pic:pic>
                    </a:graphicData>
                  </a:graphic>
                </wp:inline>
              </w:drawing>
            </w:r>
          </w:p>
        </w:tc>
        <w:tc>
          <w:tcPr>
            <w:tcW w:w="6095" w:type="dxa"/>
            <w:tcBorders>
              <w:top w:val="nil"/>
              <w:left w:val="nil"/>
              <w:bottom w:val="nil"/>
              <w:right w:val="nil"/>
            </w:tcBorders>
          </w:tcPr>
          <w:p w:rsidR="00707650" w:rsidRPr="002A3BBD" w:rsidRDefault="00707650" w:rsidP="003C1A82">
            <w:pPr>
              <w:pStyle w:val="Heading8"/>
              <w:rPr>
                <w:rFonts w:ascii="Arial" w:hAnsi="Arial" w:cs="Arial"/>
              </w:rPr>
            </w:pPr>
            <w:r w:rsidRPr="002A3BBD">
              <w:rPr>
                <w:rFonts w:ascii="Arial" w:hAnsi="Arial" w:cs="Arial"/>
              </w:rPr>
              <w:t>NOTICE OF DECISION</w:t>
            </w:r>
          </w:p>
        </w:tc>
      </w:tr>
      <w:tr w:rsidR="00707650">
        <w:trPr>
          <w:cantSplit/>
          <w:trHeight w:hRule="exact" w:val="1270"/>
        </w:trPr>
        <w:tc>
          <w:tcPr>
            <w:tcW w:w="3544" w:type="dxa"/>
            <w:vMerge/>
            <w:tcBorders>
              <w:top w:val="nil"/>
              <w:left w:val="nil"/>
              <w:bottom w:val="single" w:sz="6" w:space="0" w:color="auto"/>
              <w:right w:val="nil"/>
            </w:tcBorders>
          </w:tcPr>
          <w:p w:rsidR="00707650" w:rsidRDefault="00707650" w:rsidP="003C1A82">
            <w:pPr>
              <w:tabs>
                <w:tab w:val="left" w:pos="743"/>
                <w:tab w:val="left" w:pos="2302"/>
                <w:tab w:val="left" w:pos="4570"/>
                <w:tab w:val="left" w:pos="6554"/>
                <w:tab w:val="left" w:pos="8114"/>
                <w:tab w:val="left" w:pos="8505"/>
              </w:tabs>
              <w:rPr>
                <w:rFonts w:ascii="Gill Sans MT" w:hAnsi="Gill Sans MT" w:cs="Gill Sans MT"/>
                <w:sz w:val="22"/>
                <w:szCs w:val="22"/>
              </w:rPr>
            </w:pPr>
          </w:p>
        </w:tc>
        <w:tc>
          <w:tcPr>
            <w:tcW w:w="6095" w:type="dxa"/>
            <w:tcBorders>
              <w:top w:val="nil"/>
              <w:left w:val="nil"/>
              <w:bottom w:val="single" w:sz="6" w:space="0" w:color="auto"/>
              <w:right w:val="nil"/>
            </w:tcBorders>
          </w:tcPr>
          <w:p w:rsidR="00707650" w:rsidRPr="002A3BBD" w:rsidRDefault="00707650" w:rsidP="003C1A82">
            <w:pPr>
              <w:pStyle w:val="Heading2"/>
              <w:jc w:val="center"/>
              <w:rPr>
                <w:rFonts w:ascii="Arial" w:hAnsi="Arial" w:cs="Arial"/>
                <w:sz w:val="24"/>
                <w:szCs w:val="24"/>
              </w:rPr>
            </w:pPr>
            <w:r w:rsidRPr="002A3BBD">
              <w:rPr>
                <w:rFonts w:ascii="Arial" w:hAnsi="Arial" w:cs="Arial"/>
                <w:sz w:val="24"/>
                <w:szCs w:val="24"/>
              </w:rPr>
              <w:t xml:space="preserve">TOWN </w:t>
            </w:r>
            <w:smartTag w:uri="urn:schemas-microsoft-com:office:smarttags" w:element="stockticker">
              <w:r w:rsidRPr="002A3BBD">
                <w:rPr>
                  <w:rFonts w:ascii="Arial" w:hAnsi="Arial" w:cs="Arial"/>
                  <w:sz w:val="24"/>
                  <w:szCs w:val="24"/>
                </w:rPr>
                <w:t>AND</w:t>
              </w:r>
            </w:smartTag>
            <w:r w:rsidRPr="002A3BBD">
              <w:rPr>
                <w:rFonts w:ascii="Arial" w:hAnsi="Arial" w:cs="Arial"/>
                <w:sz w:val="24"/>
                <w:szCs w:val="24"/>
              </w:rPr>
              <w:t xml:space="preserve"> COUNTRY PLANNING ACT 1990</w:t>
            </w:r>
          </w:p>
          <w:p w:rsidR="00707650" w:rsidRPr="002A3BBD" w:rsidRDefault="00707650" w:rsidP="003C1A82">
            <w:pPr>
              <w:pStyle w:val="Heading2"/>
              <w:jc w:val="center"/>
              <w:rPr>
                <w:rFonts w:ascii="Arial" w:hAnsi="Arial" w:cs="Arial"/>
                <w:sz w:val="24"/>
                <w:szCs w:val="24"/>
              </w:rPr>
            </w:pPr>
            <w:r w:rsidRPr="002A3BBD">
              <w:rPr>
                <w:rFonts w:ascii="Arial" w:hAnsi="Arial" w:cs="Arial"/>
                <w:sz w:val="24"/>
                <w:szCs w:val="24"/>
              </w:rPr>
              <w:t>(AS AMENDED)</w:t>
            </w:r>
          </w:p>
          <w:p w:rsidR="00707650" w:rsidRPr="002A3BBD" w:rsidRDefault="00707650" w:rsidP="003C1A82">
            <w:pPr>
              <w:rPr>
                <w:rFonts w:ascii="Arial" w:hAnsi="Arial" w:cs="Arial"/>
              </w:rPr>
            </w:pPr>
          </w:p>
          <w:p w:rsidR="00707650" w:rsidRPr="002A3BBD" w:rsidRDefault="00707650" w:rsidP="003C1A82">
            <w:pPr>
              <w:rPr>
                <w:rFonts w:ascii="Arial" w:hAnsi="Arial" w:cs="Arial"/>
              </w:rPr>
            </w:pPr>
          </w:p>
          <w:p w:rsidR="00707650" w:rsidRDefault="00707650" w:rsidP="003C1A82">
            <w:pPr>
              <w:pStyle w:val="Heading1"/>
              <w:rPr>
                <w:rFonts w:ascii="Gill Sans MT" w:hAnsi="Gill Sans MT" w:cs="Gill Sans MT"/>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p w:rsidR="00707650" w:rsidRDefault="00707650" w:rsidP="003C1A82">
            <w:pPr>
              <w:jc w:val="center"/>
              <w:rPr>
                <w:rFonts w:ascii="Gill Sans MT" w:hAnsi="Gill Sans MT" w:cs="Gill Sans MT"/>
                <w:b/>
                <w:bCs/>
                <w:smallCaps/>
                <w:sz w:val="22"/>
                <w:szCs w:val="22"/>
              </w:rPr>
            </w:pPr>
          </w:p>
        </w:tc>
      </w:tr>
    </w:tbl>
    <w:p w:rsidR="00707650" w:rsidRPr="002A3BBD" w:rsidRDefault="00707650" w:rsidP="00707650">
      <w:pPr>
        <w:keepLines/>
        <w:ind w:left="720" w:hanging="720"/>
        <w:jc w:val="both"/>
        <w:rPr>
          <w:rFonts w:ascii="Arial" w:hAnsi="Arial" w:cs="Arial"/>
        </w:rPr>
      </w:pPr>
    </w:p>
    <w:p w:rsidR="00707650" w:rsidRPr="002A3BBD" w:rsidRDefault="00707650" w:rsidP="00707650">
      <w:pPr>
        <w:pStyle w:val="Heading5"/>
        <w:rPr>
          <w:rFonts w:ascii="Arial" w:hAnsi="Arial" w:cs="Arial"/>
          <w:u w:val="none"/>
        </w:rPr>
      </w:pPr>
      <w:r w:rsidRPr="002A3BBD">
        <w:rPr>
          <w:rFonts w:ascii="Arial" w:hAnsi="Arial" w:cs="Arial"/>
          <w:u w:val="none"/>
        </w:rPr>
        <w:t>NOTES TO THE APPLICANT</w:t>
      </w:r>
    </w:p>
    <w:p w:rsidR="00707650" w:rsidRPr="002A3BBD" w:rsidRDefault="00707650" w:rsidP="00707650">
      <w:pPr>
        <w:jc w:val="both"/>
        <w:rPr>
          <w:rFonts w:ascii="Arial" w:hAnsi="Arial" w:cs="Arial"/>
          <w:sz w:val="22"/>
          <w:szCs w:val="22"/>
        </w:rPr>
      </w:pPr>
    </w:p>
    <w:p w:rsidR="00707650" w:rsidRPr="002A3BBD" w:rsidRDefault="00707650" w:rsidP="00707650">
      <w:pPr>
        <w:jc w:val="both"/>
        <w:rPr>
          <w:rFonts w:ascii="Arial" w:hAnsi="Arial" w:cs="Arial"/>
          <w:b/>
          <w:bCs/>
          <w:sz w:val="22"/>
          <w:szCs w:val="22"/>
        </w:rPr>
      </w:pPr>
      <w:r w:rsidRPr="002A3BBD">
        <w:rPr>
          <w:rFonts w:ascii="Arial" w:hAnsi="Arial" w:cs="Arial"/>
          <w:b/>
          <w:bCs/>
          <w:sz w:val="22"/>
          <w:szCs w:val="22"/>
        </w:rPr>
        <w:t>REFUSAL OF PERMISSION</w:t>
      </w:r>
    </w:p>
    <w:p w:rsidR="00707650" w:rsidRPr="002A3BBD" w:rsidRDefault="00707650" w:rsidP="00707650">
      <w:pPr>
        <w:jc w:val="both"/>
        <w:rPr>
          <w:rFonts w:ascii="Arial" w:hAnsi="Arial" w:cs="Arial"/>
          <w:sz w:val="22"/>
          <w:szCs w:val="22"/>
        </w:rPr>
      </w:pPr>
    </w:p>
    <w:p w:rsidR="003E3417" w:rsidRPr="003E3417" w:rsidRDefault="003E3417" w:rsidP="003E3417">
      <w:pPr>
        <w:jc w:val="both"/>
        <w:rPr>
          <w:rFonts w:ascii="Arial" w:hAnsi="Arial" w:cs="Arial"/>
          <w:sz w:val="22"/>
          <w:szCs w:val="22"/>
        </w:rPr>
      </w:pPr>
      <w:r w:rsidRPr="003E3417">
        <w:rPr>
          <w:rFonts w:ascii="Arial" w:hAnsi="Arial" w:cs="Arial"/>
          <w:sz w:val="22"/>
          <w:szCs w:val="22"/>
        </w:rPr>
        <w:t>The Local Planning Authority has refused consent for the reasons set out in the schedule forming part of this notice of refusal.  A further explanation of the reasons for the decision can be found in the planning officer’s report, which can be viewed in Public Access via the council’s web site.</w:t>
      </w:r>
    </w:p>
    <w:p w:rsidR="003E3417" w:rsidRPr="003E3417" w:rsidRDefault="003E3417" w:rsidP="003E3417">
      <w:pPr>
        <w:jc w:val="both"/>
        <w:rPr>
          <w:rFonts w:ascii="Arial" w:hAnsi="Arial" w:cs="Arial"/>
          <w:sz w:val="22"/>
          <w:szCs w:val="22"/>
        </w:rPr>
      </w:pPr>
    </w:p>
    <w:p w:rsidR="003E3417" w:rsidRPr="003E3417" w:rsidRDefault="003E3417" w:rsidP="003E3417">
      <w:pPr>
        <w:jc w:val="both"/>
        <w:rPr>
          <w:rFonts w:ascii="Arial" w:hAnsi="Arial" w:cs="Arial"/>
          <w:sz w:val="22"/>
          <w:szCs w:val="22"/>
        </w:rPr>
      </w:pPr>
      <w:r w:rsidRPr="003E3417">
        <w:rPr>
          <w:rFonts w:ascii="Arial" w:hAnsi="Arial" w:cs="Arial"/>
          <w:sz w:val="22"/>
          <w:szCs w:val="22"/>
        </w:rPr>
        <w:t xml:space="preserve">If you wish to examine any of the development plans which set out the Local Planning Authority's policies and proposals for the development and use of land in its area, these are available for inspection on our website, or at the District Council offices, </w:t>
      </w:r>
      <w:proofErr w:type="spellStart"/>
      <w:r w:rsidRPr="003E3417">
        <w:rPr>
          <w:rFonts w:ascii="Arial" w:hAnsi="Arial" w:cs="Arial"/>
          <w:sz w:val="22"/>
          <w:szCs w:val="22"/>
        </w:rPr>
        <w:t>Bodicote</w:t>
      </w:r>
      <w:proofErr w:type="spellEnd"/>
      <w:r w:rsidRPr="003E3417">
        <w:rPr>
          <w:rFonts w:ascii="Arial" w:hAnsi="Arial" w:cs="Arial"/>
          <w:sz w:val="22"/>
          <w:szCs w:val="22"/>
        </w:rPr>
        <w:t xml:space="preserve"> House, </w:t>
      </w:r>
      <w:proofErr w:type="spellStart"/>
      <w:r w:rsidRPr="003E3417">
        <w:rPr>
          <w:rFonts w:ascii="Arial" w:hAnsi="Arial" w:cs="Arial"/>
          <w:sz w:val="22"/>
          <w:szCs w:val="22"/>
        </w:rPr>
        <w:t>Bodicote</w:t>
      </w:r>
      <w:proofErr w:type="spellEnd"/>
      <w:r w:rsidRPr="003E3417">
        <w:rPr>
          <w:rFonts w:ascii="Arial" w:hAnsi="Arial" w:cs="Arial"/>
          <w:sz w:val="22"/>
          <w:szCs w:val="22"/>
        </w:rPr>
        <w:t>, during normal office hours.</w:t>
      </w:r>
    </w:p>
    <w:p w:rsidR="00707650" w:rsidRPr="002A3BBD" w:rsidRDefault="00707650" w:rsidP="00707650">
      <w:pPr>
        <w:jc w:val="both"/>
        <w:rPr>
          <w:rFonts w:ascii="Arial" w:hAnsi="Arial" w:cs="Arial"/>
          <w:sz w:val="22"/>
          <w:szCs w:val="22"/>
        </w:rPr>
      </w:pPr>
    </w:p>
    <w:p w:rsidR="00707650" w:rsidRPr="002A3BBD" w:rsidRDefault="00707650" w:rsidP="00707650">
      <w:pPr>
        <w:pStyle w:val="Heading6"/>
        <w:keepLines w:val="0"/>
        <w:rPr>
          <w:rFonts w:ascii="Arial" w:hAnsi="Arial" w:cs="Arial"/>
        </w:rPr>
      </w:pPr>
      <w:r w:rsidRPr="002A3BBD">
        <w:rPr>
          <w:rFonts w:ascii="Arial" w:hAnsi="Arial" w:cs="Arial"/>
        </w:rPr>
        <w:t>APPEALS TO THE SECRETARY OF STATE</w:t>
      </w:r>
    </w:p>
    <w:p w:rsidR="00707650" w:rsidRPr="002A3BBD" w:rsidRDefault="00707650" w:rsidP="00707650">
      <w:pPr>
        <w:jc w:val="both"/>
        <w:rPr>
          <w:rFonts w:ascii="Arial" w:hAnsi="Arial" w:cs="Arial"/>
          <w:sz w:val="22"/>
          <w:szCs w:val="22"/>
        </w:rPr>
      </w:pPr>
    </w:p>
    <w:p w:rsidR="00187D27" w:rsidRDefault="00187D27" w:rsidP="00187D27">
      <w:pPr>
        <w:pStyle w:val="BodyText"/>
        <w:spacing w:before="120" w:after="120"/>
        <w:ind w:hanging="11"/>
        <w:rPr>
          <w:rFonts w:ascii="Arial" w:hAnsi="Arial" w:cs="Arial"/>
        </w:rPr>
      </w:pPr>
      <w:r>
        <w:rPr>
          <w:rFonts w:ascii="Arial" w:hAnsi="Arial" w:cs="Arial"/>
        </w:rPr>
        <w:t>If you are aggrieved by the decision of the Local Planning Authority to refuse to  grant planning permission or grant planning permission subject to conditions, you can appeal to the Secretary of State in accordance with Section 78(1) of the Town and Country Planning Act 1990.</w:t>
      </w:r>
    </w:p>
    <w:p w:rsidR="00187D27" w:rsidRDefault="00187D27" w:rsidP="00187D27">
      <w:pPr>
        <w:jc w:val="both"/>
        <w:rPr>
          <w:rFonts w:ascii="Arial" w:hAnsi="Arial" w:cs="Arial"/>
          <w:sz w:val="22"/>
          <w:szCs w:val="22"/>
        </w:rPr>
      </w:pPr>
      <w:r>
        <w:rPr>
          <w:rFonts w:ascii="Arial" w:hAnsi="Arial" w:cs="Arial"/>
          <w:sz w:val="22"/>
          <w:szCs w:val="22"/>
        </w:rPr>
        <w:t>If you wish to appeal then;</w:t>
      </w:r>
    </w:p>
    <w:p w:rsidR="00187D27" w:rsidRDefault="00187D27" w:rsidP="00187D27">
      <w:pPr>
        <w:numPr>
          <w:ilvl w:val="0"/>
          <w:numId w:val="3"/>
        </w:numPr>
        <w:jc w:val="both"/>
        <w:rPr>
          <w:rFonts w:ascii="Arial" w:hAnsi="Arial" w:cs="Arial"/>
          <w:sz w:val="22"/>
          <w:szCs w:val="22"/>
        </w:rPr>
      </w:pPr>
      <w:r>
        <w:rPr>
          <w:rFonts w:ascii="Arial" w:hAnsi="Arial" w:cs="Arial"/>
          <w:sz w:val="22"/>
          <w:szCs w:val="22"/>
        </w:rPr>
        <w:t xml:space="preserve">For </w:t>
      </w:r>
      <w:r w:rsidRPr="00FF1E76">
        <w:rPr>
          <w:rFonts w:ascii="Arial" w:hAnsi="Arial" w:cs="Arial"/>
          <w:b/>
          <w:sz w:val="22"/>
          <w:szCs w:val="22"/>
        </w:rPr>
        <w:t>Householder</w:t>
      </w:r>
      <w:r>
        <w:rPr>
          <w:rFonts w:ascii="Arial" w:hAnsi="Arial" w:cs="Arial"/>
          <w:b/>
          <w:sz w:val="22"/>
          <w:szCs w:val="22"/>
        </w:rPr>
        <w:t xml:space="preserve"> </w:t>
      </w:r>
      <w:r>
        <w:rPr>
          <w:rFonts w:ascii="Arial" w:hAnsi="Arial" w:cs="Arial"/>
          <w:sz w:val="22"/>
          <w:szCs w:val="22"/>
        </w:rPr>
        <w:t>applications</w:t>
      </w:r>
      <w:r>
        <w:rPr>
          <w:rFonts w:ascii="Arial" w:hAnsi="Arial" w:cs="Arial"/>
          <w:b/>
          <w:sz w:val="22"/>
          <w:szCs w:val="22"/>
        </w:rPr>
        <w:t xml:space="preserve"> </w:t>
      </w:r>
      <w:r>
        <w:rPr>
          <w:rFonts w:ascii="Arial" w:hAnsi="Arial" w:cs="Arial"/>
          <w:sz w:val="22"/>
          <w:szCs w:val="22"/>
        </w:rPr>
        <w:t xml:space="preserve">you must do so within </w:t>
      </w:r>
      <w:r w:rsidRPr="00FF1E76">
        <w:rPr>
          <w:rFonts w:ascii="Arial" w:hAnsi="Arial" w:cs="Arial"/>
          <w:b/>
          <w:sz w:val="22"/>
          <w:szCs w:val="22"/>
        </w:rPr>
        <w:t>12 weeks</w:t>
      </w:r>
      <w:r>
        <w:rPr>
          <w:rFonts w:ascii="Arial" w:hAnsi="Arial" w:cs="Arial"/>
          <w:sz w:val="22"/>
          <w:szCs w:val="22"/>
        </w:rPr>
        <w:t xml:space="preserve"> of the date of the decision  </w:t>
      </w:r>
    </w:p>
    <w:p w:rsidR="00187D27" w:rsidRDefault="00187D27" w:rsidP="00187D27">
      <w:pPr>
        <w:numPr>
          <w:ilvl w:val="0"/>
          <w:numId w:val="3"/>
        </w:numPr>
        <w:jc w:val="both"/>
        <w:rPr>
          <w:rFonts w:ascii="Arial" w:hAnsi="Arial" w:cs="Arial"/>
          <w:sz w:val="22"/>
          <w:szCs w:val="22"/>
        </w:rPr>
      </w:pPr>
      <w:r>
        <w:rPr>
          <w:rFonts w:ascii="Arial" w:hAnsi="Arial" w:cs="Arial"/>
          <w:sz w:val="22"/>
          <w:szCs w:val="22"/>
        </w:rPr>
        <w:t xml:space="preserve">For </w:t>
      </w:r>
      <w:r w:rsidRPr="00FF1E76">
        <w:rPr>
          <w:rFonts w:ascii="Arial" w:hAnsi="Arial" w:cs="Arial"/>
          <w:b/>
          <w:sz w:val="22"/>
          <w:szCs w:val="22"/>
        </w:rPr>
        <w:t>Minor Commercial</w:t>
      </w:r>
      <w:r>
        <w:rPr>
          <w:rFonts w:ascii="Arial" w:hAnsi="Arial" w:cs="Arial"/>
          <w:sz w:val="22"/>
          <w:szCs w:val="22"/>
        </w:rPr>
        <w:t xml:space="preserve"> applications you must do so within </w:t>
      </w:r>
      <w:r w:rsidRPr="00FF1E76">
        <w:rPr>
          <w:rFonts w:ascii="Arial" w:hAnsi="Arial" w:cs="Arial"/>
          <w:b/>
          <w:sz w:val="22"/>
          <w:szCs w:val="22"/>
        </w:rPr>
        <w:t>12 weeks</w:t>
      </w:r>
      <w:r>
        <w:rPr>
          <w:rFonts w:ascii="Arial" w:hAnsi="Arial" w:cs="Arial"/>
          <w:sz w:val="22"/>
          <w:szCs w:val="22"/>
        </w:rPr>
        <w:t xml:space="preserve"> of the date of the decision</w:t>
      </w:r>
    </w:p>
    <w:p w:rsidR="00187D27" w:rsidRDefault="00187D27" w:rsidP="00187D27">
      <w:pPr>
        <w:numPr>
          <w:ilvl w:val="0"/>
          <w:numId w:val="3"/>
        </w:numPr>
        <w:jc w:val="both"/>
        <w:rPr>
          <w:rFonts w:ascii="Arial" w:hAnsi="Arial" w:cs="Arial"/>
          <w:sz w:val="22"/>
          <w:szCs w:val="22"/>
        </w:rPr>
      </w:pPr>
      <w:r>
        <w:rPr>
          <w:rFonts w:ascii="Arial" w:hAnsi="Arial" w:cs="Arial"/>
          <w:sz w:val="22"/>
          <w:szCs w:val="22"/>
        </w:rPr>
        <w:t xml:space="preserve">For </w:t>
      </w:r>
      <w:r w:rsidRPr="008D4181">
        <w:rPr>
          <w:rFonts w:ascii="Arial" w:hAnsi="Arial" w:cs="Arial"/>
          <w:b/>
          <w:sz w:val="22"/>
          <w:szCs w:val="22"/>
        </w:rPr>
        <w:t>all other types</w:t>
      </w:r>
      <w:r>
        <w:rPr>
          <w:rFonts w:ascii="Arial" w:hAnsi="Arial" w:cs="Arial"/>
          <w:sz w:val="22"/>
          <w:szCs w:val="22"/>
        </w:rPr>
        <w:t xml:space="preserve"> of planning applications you must do so within </w:t>
      </w:r>
      <w:r w:rsidRPr="008D4181">
        <w:rPr>
          <w:rFonts w:ascii="Arial" w:hAnsi="Arial" w:cs="Arial"/>
          <w:b/>
          <w:sz w:val="22"/>
          <w:szCs w:val="22"/>
        </w:rPr>
        <w:t>6 Months</w:t>
      </w:r>
      <w:r>
        <w:rPr>
          <w:rFonts w:ascii="Arial" w:hAnsi="Arial" w:cs="Arial"/>
          <w:sz w:val="22"/>
          <w:szCs w:val="22"/>
        </w:rPr>
        <w:t xml:space="preserve"> of the date of the decision</w:t>
      </w:r>
    </w:p>
    <w:p w:rsidR="00187D27" w:rsidRDefault="00187D27" w:rsidP="00187D27">
      <w:pPr>
        <w:jc w:val="both"/>
        <w:rPr>
          <w:rFonts w:ascii="Arial" w:hAnsi="Arial" w:cs="Arial"/>
          <w:sz w:val="22"/>
          <w:szCs w:val="22"/>
        </w:rPr>
      </w:pPr>
    </w:p>
    <w:p w:rsidR="00187D27" w:rsidRDefault="00187D27" w:rsidP="00187D27">
      <w:pPr>
        <w:jc w:val="both"/>
        <w:rPr>
          <w:rFonts w:ascii="Arial" w:hAnsi="Arial" w:cs="Arial"/>
          <w:b/>
          <w:sz w:val="22"/>
          <w:szCs w:val="22"/>
        </w:rPr>
      </w:pPr>
      <w:r w:rsidRPr="008D4181">
        <w:rPr>
          <w:rFonts w:ascii="Arial" w:hAnsi="Arial" w:cs="Arial"/>
          <w:b/>
          <w:sz w:val="22"/>
          <w:szCs w:val="22"/>
        </w:rPr>
        <w:t>Unless</w:t>
      </w:r>
      <w:r>
        <w:rPr>
          <w:rFonts w:ascii="Arial" w:hAnsi="Arial" w:cs="Arial"/>
          <w:b/>
          <w:sz w:val="22"/>
          <w:szCs w:val="22"/>
        </w:rPr>
        <w:t>;</w:t>
      </w:r>
    </w:p>
    <w:p w:rsidR="00187D27" w:rsidRDefault="00187D27" w:rsidP="00187D27">
      <w:pPr>
        <w:numPr>
          <w:ilvl w:val="0"/>
          <w:numId w:val="4"/>
        </w:numPr>
        <w:jc w:val="both"/>
        <w:rPr>
          <w:rFonts w:ascii="Arial" w:hAnsi="Arial" w:cs="Arial"/>
          <w:sz w:val="22"/>
          <w:szCs w:val="22"/>
        </w:rPr>
      </w:pPr>
      <w:r w:rsidRPr="008D4181">
        <w:rPr>
          <w:rFonts w:ascii="Arial" w:hAnsi="Arial" w:cs="Arial"/>
          <w:sz w:val="22"/>
          <w:szCs w:val="22"/>
        </w:rPr>
        <w:t>The decision on the application relates to the same or substantially the same land and</w:t>
      </w:r>
      <w:r>
        <w:rPr>
          <w:rFonts w:ascii="Arial" w:hAnsi="Arial" w:cs="Arial"/>
          <w:sz w:val="22"/>
          <w:szCs w:val="22"/>
        </w:rPr>
        <w:t xml:space="preserve"> the</w:t>
      </w:r>
      <w:r w:rsidRPr="008D4181">
        <w:rPr>
          <w:rFonts w:ascii="Arial" w:hAnsi="Arial" w:cs="Arial"/>
          <w:sz w:val="22"/>
          <w:szCs w:val="22"/>
        </w:rPr>
        <w:t xml:space="preserve"> development is already the </w:t>
      </w:r>
      <w:r w:rsidRPr="008D4181">
        <w:rPr>
          <w:rFonts w:ascii="Arial" w:hAnsi="Arial" w:cs="Arial"/>
          <w:b/>
          <w:sz w:val="22"/>
          <w:szCs w:val="22"/>
        </w:rPr>
        <w:t>subject of an enforcement notice</w:t>
      </w:r>
      <w:r w:rsidRPr="008D4181">
        <w:rPr>
          <w:rFonts w:ascii="Arial" w:hAnsi="Arial" w:cs="Arial"/>
          <w:sz w:val="22"/>
          <w:szCs w:val="22"/>
        </w:rPr>
        <w:t xml:space="preserve"> </w:t>
      </w:r>
      <w:r>
        <w:rPr>
          <w:rFonts w:ascii="Arial" w:hAnsi="Arial" w:cs="Arial"/>
          <w:sz w:val="22"/>
          <w:szCs w:val="22"/>
        </w:rPr>
        <w:t>then</w:t>
      </w:r>
      <w:r w:rsidRPr="008D4181">
        <w:rPr>
          <w:rFonts w:ascii="Arial" w:hAnsi="Arial" w:cs="Arial"/>
          <w:sz w:val="22"/>
          <w:szCs w:val="22"/>
        </w:rPr>
        <w:t xml:space="preserve"> you must</w:t>
      </w:r>
      <w:r>
        <w:rPr>
          <w:rFonts w:ascii="Arial" w:hAnsi="Arial" w:cs="Arial"/>
          <w:sz w:val="22"/>
          <w:szCs w:val="22"/>
        </w:rPr>
        <w:t xml:space="preserve"> appeal </w:t>
      </w:r>
      <w:r w:rsidRPr="008D4181">
        <w:rPr>
          <w:rFonts w:ascii="Arial" w:hAnsi="Arial" w:cs="Arial"/>
          <w:sz w:val="22"/>
          <w:szCs w:val="22"/>
        </w:rPr>
        <w:t xml:space="preserve">within </w:t>
      </w:r>
      <w:r w:rsidRPr="008D4181">
        <w:rPr>
          <w:rFonts w:ascii="Arial" w:hAnsi="Arial" w:cs="Arial"/>
          <w:b/>
          <w:sz w:val="22"/>
          <w:szCs w:val="22"/>
        </w:rPr>
        <w:t>28 days</w:t>
      </w:r>
      <w:r w:rsidRPr="008D4181">
        <w:rPr>
          <w:rFonts w:ascii="Arial" w:hAnsi="Arial" w:cs="Arial"/>
          <w:sz w:val="22"/>
          <w:szCs w:val="22"/>
        </w:rPr>
        <w:t xml:space="preserve"> of the date of the </w:t>
      </w:r>
      <w:r>
        <w:rPr>
          <w:rFonts w:ascii="Arial" w:hAnsi="Arial" w:cs="Arial"/>
          <w:sz w:val="22"/>
          <w:szCs w:val="22"/>
        </w:rPr>
        <w:t xml:space="preserve">Local Planning Authority’s </w:t>
      </w:r>
      <w:r w:rsidRPr="008D4181">
        <w:rPr>
          <w:rFonts w:ascii="Arial" w:hAnsi="Arial" w:cs="Arial"/>
          <w:sz w:val="22"/>
          <w:szCs w:val="22"/>
        </w:rPr>
        <w:t>decision</w:t>
      </w:r>
      <w:r>
        <w:rPr>
          <w:rFonts w:ascii="Arial" w:hAnsi="Arial" w:cs="Arial"/>
          <w:sz w:val="22"/>
          <w:szCs w:val="22"/>
        </w:rPr>
        <w:t xml:space="preserve"> on the planning application. </w:t>
      </w:r>
    </w:p>
    <w:p w:rsidR="00187D27" w:rsidRPr="003910B4" w:rsidRDefault="00187D27" w:rsidP="00187D27">
      <w:pPr>
        <w:numPr>
          <w:ilvl w:val="0"/>
          <w:numId w:val="4"/>
        </w:numPr>
        <w:jc w:val="both"/>
        <w:rPr>
          <w:rFonts w:ascii="Arial" w:hAnsi="Arial" w:cs="Arial"/>
          <w:sz w:val="22"/>
          <w:szCs w:val="22"/>
        </w:rPr>
      </w:pPr>
      <w:r>
        <w:rPr>
          <w:rFonts w:ascii="Arial" w:hAnsi="Arial" w:cs="Arial"/>
          <w:sz w:val="22"/>
          <w:szCs w:val="22"/>
        </w:rPr>
        <w:t xml:space="preserve">If an </w:t>
      </w:r>
      <w:r w:rsidRPr="003910B4">
        <w:rPr>
          <w:rFonts w:ascii="Arial" w:hAnsi="Arial" w:cs="Arial"/>
          <w:b/>
          <w:sz w:val="22"/>
          <w:szCs w:val="22"/>
        </w:rPr>
        <w:t>enforcement notice is served</w:t>
      </w:r>
      <w:r>
        <w:rPr>
          <w:rFonts w:ascii="Arial" w:hAnsi="Arial" w:cs="Arial"/>
          <w:sz w:val="22"/>
          <w:szCs w:val="22"/>
        </w:rPr>
        <w:t xml:space="preserve"> relating to the same or substantially the same land and development as in your application and if you want to appeal the decision, then you must do so within </w:t>
      </w:r>
      <w:r w:rsidRPr="003910B4">
        <w:rPr>
          <w:rFonts w:ascii="Arial" w:hAnsi="Arial" w:cs="Arial"/>
          <w:b/>
          <w:sz w:val="22"/>
          <w:szCs w:val="22"/>
        </w:rPr>
        <w:t>28 days</w:t>
      </w:r>
      <w:r>
        <w:rPr>
          <w:rFonts w:ascii="Arial" w:hAnsi="Arial" w:cs="Arial"/>
          <w:sz w:val="22"/>
          <w:szCs w:val="22"/>
        </w:rPr>
        <w:t xml:space="preserve"> of the service of the enforcement notice, or 6 months (12 weeks for householder and minor commercial) of the date of this decision </w:t>
      </w:r>
      <w:proofErr w:type="spellStart"/>
      <w:r>
        <w:rPr>
          <w:rFonts w:ascii="Arial" w:hAnsi="Arial" w:cs="Arial"/>
          <w:sz w:val="22"/>
          <w:szCs w:val="22"/>
        </w:rPr>
        <w:t>which ever</w:t>
      </w:r>
      <w:proofErr w:type="spellEnd"/>
      <w:r>
        <w:rPr>
          <w:rFonts w:ascii="Arial" w:hAnsi="Arial" w:cs="Arial"/>
          <w:sz w:val="22"/>
          <w:szCs w:val="22"/>
        </w:rPr>
        <w:t xml:space="preserve"> is the sooner</w:t>
      </w:r>
    </w:p>
    <w:p w:rsidR="00187D27" w:rsidRPr="008D4181" w:rsidRDefault="00187D27" w:rsidP="00187D27">
      <w:pPr>
        <w:jc w:val="both"/>
        <w:rPr>
          <w:rFonts w:ascii="Arial" w:hAnsi="Arial" w:cs="Arial"/>
          <w:sz w:val="22"/>
          <w:szCs w:val="22"/>
        </w:rPr>
      </w:pPr>
    </w:p>
    <w:p w:rsidR="00187D27" w:rsidRDefault="00187D27" w:rsidP="00187D27">
      <w:pPr>
        <w:jc w:val="both"/>
        <w:rPr>
          <w:rFonts w:ascii="Arial" w:hAnsi="Arial" w:cs="Arial"/>
          <w:b/>
          <w:bCs/>
          <w:sz w:val="22"/>
          <w:szCs w:val="22"/>
        </w:rPr>
      </w:pPr>
      <w:r>
        <w:rPr>
          <w:rFonts w:ascii="Arial" w:hAnsi="Arial" w:cs="Arial"/>
          <w:sz w:val="22"/>
          <w:szCs w:val="22"/>
        </w:rPr>
        <w:t xml:space="preserve">Forms can be obtained from the </w:t>
      </w:r>
      <w:r>
        <w:rPr>
          <w:rFonts w:ascii="Arial" w:hAnsi="Arial" w:cs="Arial"/>
          <w:b/>
          <w:bCs/>
          <w:sz w:val="22"/>
          <w:szCs w:val="22"/>
        </w:rPr>
        <w:t xml:space="preserve">Planning Inspectorate, </w:t>
      </w:r>
      <w:smartTag w:uri="urn:schemas-microsoft-com:office:smarttags" w:element="PlaceType">
        <w:r>
          <w:rPr>
            <w:rFonts w:ascii="Arial" w:hAnsi="Arial" w:cs="Arial"/>
            <w:b/>
            <w:bCs/>
            <w:sz w:val="22"/>
            <w:szCs w:val="22"/>
          </w:rPr>
          <w:t>Temple</w:t>
        </w:r>
      </w:smartTag>
      <w:r>
        <w:rPr>
          <w:rFonts w:ascii="Arial" w:hAnsi="Arial" w:cs="Arial"/>
          <w:b/>
          <w:bCs/>
          <w:sz w:val="22"/>
          <w:szCs w:val="22"/>
        </w:rPr>
        <w:t xml:space="preserve"> </w:t>
      </w:r>
      <w:smartTag w:uri="urn:schemas-microsoft-com:office:smarttags" w:element="PlaceName">
        <w:r>
          <w:rPr>
            <w:rFonts w:ascii="Arial" w:hAnsi="Arial" w:cs="Arial"/>
            <w:b/>
            <w:bCs/>
            <w:sz w:val="22"/>
            <w:szCs w:val="22"/>
          </w:rPr>
          <w:t>Quay</w:t>
        </w:r>
      </w:smartTag>
      <w:r>
        <w:rPr>
          <w:rFonts w:ascii="Arial" w:hAnsi="Arial" w:cs="Arial"/>
          <w:b/>
          <w:bCs/>
          <w:sz w:val="22"/>
          <w:szCs w:val="22"/>
        </w:rPr>
        <w:t xml:space="preserve"> House, 2 The Square, </w:t>
      </w:r>
      <w:smartTag w:uri="urn:schemas-microsoft-com:office:smarttags" w:element="PlaceType">
        <w:r>
          <w:rPr>
            <w:rFonts w:ascii="Arial" w:hAnsi="Arial" w:cs="Arial"/>
            <w:b/>
            <w:bCs/>
            <w:sz w:val="22"/>
            <w:szCs w:val="22"/>
          </w:rPr>
          <w:t>Temple</w:t>
        </w:r>
      </w:smartTag>
      <w:r>
        <w:rPr>
          <w:rFonts w:ascii="Arial" w:hAnsi="Arial" w:cs="Arial"/>
          <w:b/>
          <w:bCs/>
          <w:sz w:val="22"/>
          <w:szCs w:val="22"/>
        </w:rPr>
        <w:t xml:space="preserve"> </w:t>
      </w:r>
      <w:smartTag w:uri="urn:schemas-microsoft-com:office:smarttags" w:element="PlaceName">
        <w:r>
          <w:rPr>
            <w:rFonts w:ascii="Arial" w:hAnsi="Arial" w:cs="Arial"/>
            <w:b/>
            <w:bCs/>
            <w:sz w:val="22"/>
            <w:szCs w:val="22"/>
          </w:rPr>
          <w:t>Quay</w:t>
        </w:r>
      </w:smartTag>
      <w:r>
        <w:rPr>
          <w:rFonts w:ascii="Arial" w:hAnsi="Arial" w:cs="Arial"/>
          <w:b/>
          <w:bCs/>
          <w:sz w:val="22"/>
          <w:szCs w:val="22"/>
        </w:rPr>
        <w:t xml:space="preserve">, </w:t>
      </w:r>
      <w:smartTag w:uri="urn:schemas-microsoft-com:office:smarttags" w:element="place">
        <w:smartTag w:uri="urn:schemas-microsoft-com:office:smarttags" w:element="City">
          <w:r>
            <w:rPr>
              <w:rFonts w:ascii="Arial" w:hAnsi="Arial" w:cs="Arial"/>
              <w:b/>
              <w:bCs/>
              <w:sz w:val="22"/>
              <w:szCs w:val="22"/>
            </w:rPr>
            <w:t>Bristol</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BS1 6PN</w:t>
          </w:r>
        </w:smartTag>
      </w:smartTag>
      <w:r>
        <w:rPr>
          <w:rFonts w:ascii="Arial" w:hAnsi="Arial" w:cs="Arial"/>
          <w:b/>
          <w:bCs/>
          <w:sz w:val="22"/>
          <w:szCs w:val="22"/>
        </w:rPr>
        <w:t xml:space="preserve">. Tel </w:t>
      </w:r>
      <w:r w:rsidR="00DD34D4" w:rsidRPr="00DD34D4">
        <w:rPr>
          <w:rFonts w:ascii="Arial" w:hAnsi="Arial" w:cs="Arial"/>
          <w:b/>
          <w:bCs/>
          <w:sz w:val="22"/>
          <w:szCs w:val="22"/>
        </w:rPr>
        <w:t>0303 444 5000</w:t>
      </w:r>
      <w:r>
        <w:rPr>
          <w:rFonts w:ascii="Arial" w:hAnsi="Arial" w:cs="Arial"/>
          <w:b/>
          <w:bCs/>
          <w:sz w:val="22"/>
          <w:szCs w:val="22"/>
        </w:rPr>
        <w:t xml:space="preserve">. Or online at www.planningportal.gov.uk/pcs. </w:t>
      </w:r>
      <w:r>
        <w:rPr>
          <w:rFonts w:ascii="Arial" w:hAnsi="Arial" w:cs="Arial"/>
          <w:sz w:val="22"/>
          <w:szCs w:val="22"/>
        </w:rPr>
        <w:t>The Secretary of State can allow a longer period for giving notice of an appeal, but he will not normally be prepared to use this power unless there are special circumstances which excuse the delay in giving notice of appeal.</w:t>
      </w:r>
    </w:p>
    <w:p w:rsidR="00187D27" w:rsidRDefault="00187D27" w:rsidP="00187D27">
      <w:pPr>
        <w:keepLines/>
        <w:spacing w:before="120" w:after="120"/>
        <w:ind w:hanging="11"/>
        <w:jc w:val="both"/>
        <w:rPr>
          <w:rFonts w:ascii="Arial" w:hAnsi="Arial" w:cs="Arial"/>
          <w:sz w:val="22"/>
          <w:szCs w:val="22"/>
        </w:rPr>
      </w:pPr>
      <w:r>
        <w:rPr>
          <w:rFonts w:ascii="Arial" w:hAnsi="Arial" w:cs="Arial"/>
          <w:sz w:val="22"/>
          <w:szCs w:val="22"/>
        </w:rPr>
        <w:t xml:space="preserve">The Secretary of State need not consider an appeal if it seems to him that permission or approval for the proposed development could not have been so granted otherwise than subject to the conditions imposed by the Local </w:t>
      </w:r>
      <w:smartTag w:uri="urn:schemas-microsoft-com:office:smarttags" w:element="PersonName">
        <w:r>
          <w:rPr>
            <w:rFonts w:ascii="Arial" w:hAnsi="Arial" w:cs="Arial"/>
            <w:sz w:val="22"/>
            <w:szCs w:val="22"/>
          </w:rPr>
          <w:t>Planning</w:t>
        </w:r>
      </w:smartTag>
      <w:r>
        <w:rPr>
          <w:rFonts w:ascii="Arial" w:hAnsi="Arial" w:cs="Arial"/>
          <w:sz w:val="22"/>
          <w:szCs w:val="22"/>
        </w:rPr>
        <w:t xml:space="preserve"> Authority, having regard to the statutory requirements, to the provisions of the development order and to any directions given under the order.</w:t>
      </w:r>
    </w:p>
    <w:p w:rsidR="00187D27" w:rsidRDefault="00187D27" w:rsidP="00187D27">
      <w:pPr>
        <w:keepLines/>
        <w:spacing w:before="120" w:after="120"/>
        <w:ind w:hanging="11"/>
        <w:jc w:val="both"/>
        <w:rPr>
          <w:rFonts w:ascii="Arial" w:hAnsi="Arial" w:cs="Arial"/>
          <w:sz w:val="22"/>
          <w:szCs w:val="22"/>
        </w:rPr>
      </w:pPr>
      <w:r>
        <w:rPr>
          <w:rFonts w:ascii="Arial" w:hAnsi="Arial" w:cs="Arial"/>
          <w:sz w:val="22"/>
          <w:szCs w:val="22"/>
        </w:rPr>
        <w:t xml:space="preserve">In practice, the Secretary of State does not refuse to consider appeals solely because the Local </w:t>
      </w:r>
      <w:smartTag w:uri="urn:schemas-microsoft-com:office:smarttags" w:element="PersonName">
        <w:r>
          <w:rPr>
            <w:rFonts w:ascii="Arial" w:hAnsi="Arial" w:cs="Arial"/>
            <w:sz w:val="22"/>
            <w:szCs w:val="22"/>
          </w:rPr>
          <w:t>Planning</w:t>
        </w:r>
      </w:smartTag>
      <w:r>
        <w:rPr>
          <w:rFonts w:ascii="Arial" w:hAnsi="Arial" w:cs="Arial"/>
          <w:sz w:val="22"/>
          <w:szCs w:val="22"/>
        </w:rPr>
        <w:t xml:space="preserve"> Authority based its decision on a direction given by him.</w:t>
      </w:r>
    </w:p>
    <w:p w:rsidR="00707650" w:rsidRPr="002A3BBD" w:rsidRDefault="00707650" w:rsidP="00707650">
      <w:pPr>
        <w:jc w:val="both"/>
        <w:rPr>
          <w:rFonts w:ascii="Arial" w:hAnsi="Arial" w:cs="Arial"/>
          <w:sz w:val="22"/>
          <w:szCs w:val="22"/>
        </w:rPr>
      </w:pPr>
    </w:p>
    <w:p w:rsidR="00707650" w:rsidRPr="002A3BBD" w:rsidRDefault="00707650" w:rsidP="00707650">
      <w:pPr>
        <w:jc w:val="both"/>
        <w:rPr>
          <w:rFonts w:ascii="Arial" w:hAnsi="Arial" w:cs="Arial"/>
          <w:b/>
          <w:bCs/>
          <w:sz w:val="22"/>
          <w:szCs w:val="22"/>
        </w:rPr>
      </w:pPr>
      <w:r w:rsidRPr="002A3BBD">
        <w:rPr>
          <w:rFonts w:ascii="Arial" w:hAnsi="Arial" w:cs="Arial"/>
          <w:b/>
          <w:bCs/>
          <w:sz w:val="22"/>
          <w:szCs w:val="22"/>
        </w:rPr>
        <w:t>PURCHASE NOTICES</w:t>
      </w:r>
    </w:p>
    <w:p w:rsidR="00707650" w:rsidRPr="002A3BBD" w:rsidRDefault="00707650" w:rsidP="00707650">
      <w:pPr>
        <w:jc w:val="both"/>
        <w:rPr>
          <w:rFonts w:ascii="Arial" w:hAnsi="Arial" w:cs="Arial"/>
          <w:sz w:val="22"/>
          <w:szCs w:val="22"/>
        </w:rPr>
      </w:pPr>
    </w:p>
    <w:p w:rsidR="00707650" w:rsidRPr="002A3BBD" w:rsidRDefault="00707650" w:rsidP="00707650">
      <w:pPr>
        <w:pStyle w:val="BodyText"/>
        <w:keepLines w:val="0"/>
        <w:rPr>
          <w:rFonts w:ascii="Arial" w:hAnsi="Arial" w:cs="Arial"/>
        </w:rPr>
      </w:pPr>
      <w:r w:rsidRPr="002A3BBD">
        <w:rPr>
          <w:rFonts w:ascii="Arial" w:hAnsi="Arial" w:cs="Arial"/>
        </w:rPr>
        <w:t>If either the Local Planning Authority or the First Secretary of State refuses planning permission or approval for the development of land, the owner may claim that he/she can neither put the land to a reasonably beneficial use in its existing state nor render the land capable of a reasonably beneficial use by the carrying out of any development which has been or would be permitted.</w:t>
      </w:r>
    </w:p>
    <w:p w:rsidR="00707650" w:rsidRPr="002A3BBD" w:rsidRDefault="00707650" w:rsidP="00707650">
      <w:pPr>
        <w:jc w:val="both"/>
        <w:rPr>
          <w:rFonts w:ascii="Arial" w:hAnsi="Arial" w:cs="Arial"/>
          <w:sz w:val="22"/>
          <w:szCs w:val="22"/>
        </w:rPr>
      </w:pPr>
    </w:p>
    <w:p w:rsidR="00707650" w:rsidRPr="002A3BBD" w:rsidRDefault="00707650" w:rsidP="00707650">
      <w:pPr>
        <w:jc w:val="both"/>
        <w:rPr>
          <w:rFonts w:ascii="Arial" w:hAnsi="Arial" w:cs="Arial"/>
          <w:sz w:val="22"/>
          <w:szCs w:val="22"/>
        </w:rPr>
      </w:pPr>
      <w:r w:rsidRPr="002A3BBD">
        <w:rPr>
          <w:rFonts w:ascii="Arial" w:hAnsi="Arial" w:cs="Arial"/>
          <w:sz w:val="22"/>
          <w:szCs w:val="22"/>
        </w:rPr>
        <w:t>In these circumstances the owner may serve a purchase notice on the District Council.  This notice will require the Council to purchase his/her interest in the land in accordance with the provisions of Part VI of the Town and Country Planning Act 1990.</w:t>
      </w:r>
    </w:p>
    <w:p w:rsidR="00707650" w:rsidRDefault="00707650" w:rsidP="00707650">
      <w:pPr>
        <w:jc w:val="both"/>
        <w:rPr>
          <w:rFonts w:ascii="Arial" w:hAnsi="Arial" w:cs="Arial"/>
          <w:sz w:val="22"/>
          <w:szCs w:val="22"/>
        </w:rPr>
      </w:pPr>
    </w:p>
    <w:p w:rsidR="00707650" w:rsidRPr="002A3BBD" w:rsidRDefault="00707650" w:rsidP="00707650">
      <w:pPr>
        <w:jc w:val="both"/>
        <w:rPr>
          <w:rFonts w:ascii="Arial" w:hAnsi="Arial" w:cs="Arial"/>
          <w:sz w:val="22"/>
          <w:szCs w:val="22"/>
        </w:rPr>
      </w:pPr>
    </w:p>
    <w:p w:rsidR="00707650" w:rsidRPr="002A3BBD" w:rsidRDefault="00707650" w:rsidP="00707650">
      <w:pPr>
        <w:jc w:val="both"/>
        <w:rPr>
          <w:rFonts w:ascii="Arial" w:hAnsi="Arial" w:cs="Arial"/>
          <w:b/>
          <w:bCs/>
          <w:sz w:val="22"/>
          <w:szCs w:val="22"/>
        </w:rPr>
      </w:pPr>
      <w:r w:rsidRPr="002A3BBD">
        <w:rPr>
          <w:rFonts w:ascii="Arial" w:hAnsi="Arial" w:cs="Arial"/>
          <w:b/>
          <w:bCs/>
          <w:sz w:val="22"/>
          <w:szCs w:val="22"/>
        </w:rPr>
        <w:t>COMPENSATION</w:t>
      </w:r>
    </w:p>
    <w:p w:rsidR="00707650" w:rsidRPr="002A3BBD" w:rsidRDefault="00707650" w:rsidP="00707650">
      <w:pPr>
        <w:jc w:val="both"/>
        <w:rPr>
          <w:rFonts w:ascii="Arial" w:hAnsi="Arial" w:cs="Arial"/>
          <w:sz w:val="22"/>
          <w:szCs w:val="22"/>
        </w:rPr>
      </w:pPr>
    </w:p>
    <w:p w:rsidR="00707650" w:rsidRPr="002A3BBD" w:rsidRDefault="00707650" w:rsidP="00707650">
      <w:pPr>
        <w:jc w:val="both"/>
        <w:rPr>
          <w:rFonts w:ascii="Arial" w:hAnsi="Arial" w:cs="Arial"/>
          <w:sz w:val="22"/>
          <w:szCs w:val="22"/>
        </w:rPr>
      </w:pPr>
      <w:r w:rsidRPr="002A3BBD">
        <w:rPr>
          <w:rFonts w:ascii="Arial" w:hAnsi="Arial" w:cs="Arial"/>
          <w:sz w:val="22"/>
          <w:szCs w:val="22"/>
        </w:rPr>
        <w:t>In certain circumstances compensation may be claimed from the Local Planning Authority if permission is refused by the Secretary of State on appeal or on reference of the application to him.</w:t>
      </w:r>
    </w:p>
    <w:p w:rsidR="00707650" w:rsidRPr="002A3BBD" w:rsidRDefault="00707650" w:rsidP="00707650">
      <w:pPr>
        <w:jc w:val="both"/>
        <w:rPr>
          <w:rFonts w:ascii="Arial" w:hAnsi="Arial" w:cs="Arial"/>
          <w:sz w:val="22"/>
          <w:szCs w:val="22"/>
        </w:rPr>
      </w:pPr>
    </w:p>
    <w:p w:rsidR="00707650" w:rsidRDefault="00707650" w:rsidP="00707650">
      <w:pPr>
        <w:jc w:val="both"/>
        <w:rPr>
          <w:rFonts w:ascii="Arial" w:hAnsi="Arial" w:cs="Arial"/>
          <w:sz w:val="22"/>
          <w:szCs w:val="22"/>
        </w:rPr>
      </w:pPr>
      <w:r w:rsidRPr="002A3BBD">
        <w:rPr>
          <w:rFonts w:ascii="Arial" w:hAnsi="Arial" w:cs="Arial"/>
          <w:sz w:val="22"/>
          <w:szCs w:val="22"/>
        </w:rPr>
        <w:t>These circumstances are set out in the Town and Country Planning Act 1990 as amended by the Planning and Compensation Act 1991.</w:t>
      </w:r>
    </w:p>
    <w:p w:rsidR="00707650" w:rsidRPr="00AF72D2" w:rsidRDefault="00707650" w:rsidP="00707650"/>
    <w:p w:rsidR="00707650" w:rsidRPr="00642A1F" w:rsidRDefault="00707650" w:rsidP="00707650"/>
    <w:p w:rsidR="00120971" w:rsidRPr="00707650" w:rsidRDefault="00120971" w:rsidP="00707650"/>
    <w:sectPr w:rsidR="00120971" w:rsidRPr="00707650" w:rsidSect="00B004D8">
      <w:headerReference w:type="default" r:id="rId10"/>
      <w:footerReference w:type="default" r:id="rId11"/>
      <w:pgSz w:w="11907" w:h="16840"/>
      <w:pgMar w:top="1135" w:right="1134" w:bottom="1134" w:left="1134"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16" w:rsidRDefault="00433416">
      <w:r>
        <w:separator/>
      </w:r>
    </w:p>
  </w:endnote>
  <w:endnote w:type="continuationSeparator" w:id="0">
    <w:p w:rsidR="00433416" w:rsidRDefault="0043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C7" w:rsidRPr="002A3BBD" w:rsidRDefault="001126C7">
    <w:pPr>
      <w:pStyle w:val="Footer"/>
      <w:jc w:val="center"/>
      <w:rPr>
        <w:rStyle w:val="PageNumber"/>
        <w:rFonts w:ascii="Arial" w:hAnsi="Arial" w:cs="Arial"/>
        <w:sz w:val="22"/>
        <w:szCs w:val="22"/>
      </w:rPr>
    </w:pPr>
    <w:r w:rsidRPr="002A3BBD">
      <w:rPr>
        <w:rStyle w:val="PageNumber"/>
        <w:rFonts w:ascii="Arial" w:hAnsi="Arial" w:cs="Arial"/>
        <w:sz w:val="22"/>
        <w:szCs w:val="22"/>
      </w:rPr>
      <w:fldChar w:fldCharType="begin"/>
    </w:r>
    <w:r w:rsidRPr="002A3BBD">
      <w:rPr>
        <w:rStyle w:val="PageNumber"/>
        <w:rFonts w:ascii="Arial" w:hAnsi="Arial" w:cs="Arial"/>
        <w:sz w:val="22"/>
        <w:szCs w:val="22"/>
      </w:rPr>
      <w:instrText xml:space="preserve"> PAGE </w:instrText>
    </w:r>
    <w:r w:rsidRPr="002A3BBD">
      <w:rPr>
        <w:rStyle w:val="PageNumber"/>
        <w:rFonts w:ascii="Arial" w:hAnsi="Arial" w:cs="Arial"/>
        <w:sz w:val="22"/>
        <w:szCs w:val="22"/>
      </w:rPr>
      <w:fldChar w:fldCharType="separate"/>
    </w:r>
    <w:r w:rsidR="007D6E03">
      <w:rPr>
        <w:rStyle w:val="PageNumber"/>
        <w:rFonts w:ascii="Arial" w:hAnsi="Arial" w:cs="Arial"/>
        <w:noProof/>
        <w:sz w:val="22"/>
        <w:szCs w:val="22"/>
      </w:rPr>
      <w:t>1</w:t>
    </w:r>
    <w:r w:rsidRPr="002A3BBD">
      <w:rPr>
        <w:rStyle w:val="PageNumber"/>
        <w:rFonts w:ascii="Arial" w:hAnsi="Arial" w:cs="Arial"/>
        <w:sz w:val="22"/>
        <w:szCs w:val="22"/>
      </w:rPr>
      <w:fldChar w:fldCharType="end"/>
    </w:r>
    <w:r w:rsidRPr="002A3BBD">
      <w:rPr>
        <w:rStyle w:val="PageNumber"/>
        <w:rFonts w:ascii="Arial" w:hAnsi="Arial" w:cs="Arial"/>
        <w:sz w:val="22"/>
        <w:szCs w:val="22"/>
      </w:rPr>
      <w:t xml:space="preserve"> of </w:t>
    </w:r>
    <w:r w:rsidRPr="002A3BBD">
      <w:rPr>
        <w:rStyle w:val="PageNumber"/>
        <w:rFonts w:ascii="Arial" w:hAnsi="Arial" w:cs="Arial"/>
        <w:sz w:val="22"/>
        <w:szCs w:val="22"/>
      </w:rPr>
      <w:fldChar w:fldCharType="begin"/>
    </w:r>
    <w:r w:rsidRPr="002A3BBD">
      <w:rPr>
        <w:rStyle w:val="PageNumber"/>
        <w:rFonts w:ascii="Arial" w:hAnsi="Arial" w:cs="Arial"/>
        <w:sz w:val="22"/>
        <w:szCs w:val="22"/>
      </w:rPr>
      <w:instrText xml:space="preserve"> NUMPAGES </w:instrText>
    </w:r>
    <w:r w:rsidRPr="002A3BBD">
      <w:rPr>
        <w:rStyle w:val="PageNumber"/>
        <w:rFonts w:ascii="Arial" w:hAnsi="Arial" w:cs="Arial"/>
        <w:sz w:val="22"/>
        <w:szCs w:val="22"/>
      </w:rPr>
      <w:fldChar w:fldCharType="separate"/>
    </w:r>
    <w:r w:rsidR="007D6E03">
      <w:rPr>
        <w:rStyle w:val="PageNumber"/>
        <w:rFonts w:ascii="Arial" w:hAnsi="Arial" w:cs="Arial"/>
        <w:noProof/>
        <w:sz w:val="22"/>
        <w:szCs w:val="22"/>
      </w:rPr>
      <w:t>5</w:t>
    </w:r>
    <w:r w:rsidRPr="002A3BBD">
      <w:rPr>
        <w:rStyle w:val="PageNumber"/>
        <w:rFonts w:ascii="Arial" w:hAnsi="Arial" w:cs="Arial"/>
        <w:sz w:val="22"/>
        <w:szCs w:val="22"/>
      </w:rPr>
      <w:fldChar w:fldCharType="end"/>
    </w:r>
  </w:p>
  <w:p w:rsidR="001126C7" w:rsidRDefault="001126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16" w:rsidRDefault="00433416">
      <w:r>
        <w:separator/>
      </w:r>
    </w:p>
  </w:footnote>
  <w:footnote w:type="continuationSeparator" w:id="0">
    <w:p w:rsidR="00433416" w:rsidRDefault="0043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C7" w:rsidRDefault="001126C7">
    <w:pPr>
      <w:pStyle w:val="Header"/>
      <w:jc w:val="right"/>
      <w:rPr>
        <w:b/>
        <w:bCs/>
      </w:rPr>
    </w:pPr>
  </w:p>
  <w:p w:rsidR="001126C7" w:rsidRPr="002A3BBD" w:rsidRDefault="001126C7">
    <w:pPr>
      <w:pStyle w:val="Header"/>
      <w:jc w:val="right"/>
      <w:rPr>
        <w:rFonts w:ascii="Arial" w:hAnsi="Arial" w:cs="Arial"/>
        <w:sz w:val="22"/>
        <w:szCs w:val="22"/>
      </w:rPr>
    </w:pPr>
    <w:r w:rsidRPr="002A3BBD">
      <w:rPr>
        <w:rFonts w:ascii="Arial" w:hAnsi="Arial" w:cs="Arial"/>
        <w:b/>
        <w:bCs/>
        <w:sz w:val="22"/>
        <w:szCs w:val="22"/>
      </w:rPr>
      <w:t>Application No</w:t>
    </w:r>
    <w:r w:rsidR="00630906">
      <w:rPr>
        <w:rFonts w:ascii="Arial" w:hAnsi="Arial" w:cs="Arial"/>
        <w:b/>
        <w:bCs/>
        <w:sz w:val="22"/>
        <w:szCs w:val="22"/>
      </w:rPr>
      <w:t>:</w:t>
    </w:r>
    <w:r w:rsidRPr="002A3BBD">
      <w:rPr>
        <w:rFonts w:ascii="Arial" w:hAnsi="Arial" w:cs="Arial"/>
        <w:b/>
        <w:bCs/>
        <w:sz w:val="22"/>
        <w:szCs w:val="22"/>
      </w:rPr>
      <w:t xml:space="preserve"> 14/02004/</w:t>
    </w:r>
    <w:r w:rsidR="0061145F">
      <w:rPr>
        <w:rFonts w:ascii="Arial" w:hAnsi="Arial" w:cs="Arial"/>
        <w:b/>
        <w:bCs/>
        <w:sz w:val="22"/>
        <w:szCs w:val="22"/>
      </w:rP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F3ECCD"/>
    <w:multiLevelType w:val="hybridMultilevel"/>
    <w:tmpl w:val="0AE2AF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C7"/>
    <w:rsid w:val="00007259"/>
    <w:rsid w:val="00015CA8"/>
    <w:rsid w:val="00045E12"/>
    <w:rsid w:val="00077FA6"/>
    <w:rsid w:val="000E1B54"/>
    <w:rsid w:val="00110010"/>
    <w:rsid w:val="001126C7"/>
    <w:rsid w:val="00120971"/>
    <w:rsid w:val="00187D27"/>
    <w:rsid w:val="001A02E3"/>
    <w:rsid w:val="001D095D"/>
    <w:rsid w:val="001F05B0"/>
    <w:rsid w:val="001F6699"/>
    <w:rsid w:val="001F7106"/>
    <w:rsid w:val="002740C2"/>
    <w:rsid w:val="002805AC"/>
    <w:rsid w:val="002A3BBD"/>
    <w:rsid w:val="002C189B"/>
    <w:rsid w:val="002C5565"/>
    <w:rsid w:val="00302756"/>
    <w:rsid w:val="003050F8"/>
    <w:rsid w:val="003104D6"/>
    <w:rsid w:val="00325A0F"/>
    <w:rsid w:val="0035610E"/>
    <w:rsid w:val="003910B4"/>
    <w:rsid w:val="003B5CF9"/>
    <w:rsid w:val="003C1A82"/>
    <w:rsid w:val="003E3417"/>
    <w:rsid w:val="003F2A77"/>
    <w:rsid w:val="00407EBC"/>
    <w:rsid w:val="00433416"/>
    <w:rsid w:val="00440EE1"/>
    <w:rsid w:val="004C332F"/>
    <w:rsid w:val="004E6BA7"/>
    <w:rsid w:val="005316E5"/>
    <w:rsid w:val="00567072"/>
    <w:rsid w:val="005E33B1"/>
    <w:rsid w:val="005E3819"/>
    <w:rsid w:val="005E5E56"/>
    <w:rsid w:val="005F5A47"/>
    <w:rsid w:val="0061145F"/>
    <w:rsid w:val="006123A8"/>
    <w:rsid w:val="00624EEB"/>
    <w:rsid w:val="00630906"/>
    <w:rsid w:val="00641221"/>
    <w:rsid w:val="00642A1F"/>
    <w:rsid w:val="00663390"/>
    <w:rsid w:val="00674195"/>
    <w:rsid w:val="00695F21"/>
    <w:rsid w:val="006C12B7"/>
    <w:rsid w:val="00707650"/>
    <w:rsid w:val="00755FDC"/>
    <w:rsid w:val="007B42B8"/>
    <w:rsid w:val="007C4B26"/>
    <w:rsid w:val="007D5A67"/>
    <w:rsid w:val="007D6E03"/>
    <w:rsid w:val="00833338"/>
    <w:rsid w:val="00880D3B"/>
    <w:rsid w:val="00884C1B"/>
    <w:rsid w:val="00891BA7"/>
    <w:rsid w:val="008C5F80"/>
    <w:rsid w:val="008D4181"/>
    <w:rsid w:val="008E3FB0"/>
    <w:rsid w:val="008E69A5"/>
    <w:rsid w:val="008E7E85"/>
    <w:rsid w:val="00916EB7"/>
    <w:rsid w:val="00945710"/>
    <w:rsid w:val="009547AA"/>
    <w:rsid w:val="009609F9"/>
    <w:rsid w:val="00962FBF"/>
    <w:rsid w:val="009C7873"/>
    <w:rsid w:val="009D16BF"/>
    <w:rsid w:val="00A93123"/>
    <w:rsid w:val="00AC37D2"/>
    <w:rsid w:val="00AF72D2"/>
    <w:rsid w:val="00B004D8"/>
    <w:rsid w:val="00B30358"/>
    <w:rsid w:val="00B74CEC"/>
    <w:rsid w:val="00BA7FA4"/>
    <w:rsid w:val="00BF2207"/>
    <w:rsid w:val="00C108FA"/>
    <w:rsid w:val="00C22C02"/>
    <w:rsid w:val="00C61312"/>
    <w:rsid w:val="00C67A7D"/>
    <w:rsid w:val="00C70A11"/>
    <w:rsid w:val="00C90649"/>
    <w:rsid w:val="00D46005"/>
    <w:rsid w:val="00DD34D4"/>
    <w:rsid w:val="00DF636D"/>
    <w:rsid w:val="00F10898"/>
    <w:rsid w:val="00F84627"/>
    <w:rsid w:val="00F96A90"/>
    <w:rsid w:val="00FA7224"/>
    <w:rsid w:val="00FD1D40"/>
    <w:rsid w:val="00FF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table" w:styleId="TableGrid">
    <w:name w:val="Table Grid"/>
    <w:basedOn w:val="TableNormal"/>
    <w:uiPriority w:val="59"/>
    <w:rsid w:val="00FD1D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F80"/>
    <w:rPr>
      <w:rFonts w:ascii="Tahoma" w:hAnsi="Tahoma" w:cs="Tahoma"/>
      <w:sz w:val="16"/>
      <w:szCs w:val="16"/>
    </w:rPr>
  </w:style>
  <w:style w:type="character" w:customStyle="1" w:styleId="BalloonTextChar">
    <w:name w:val="Balloon Text Char"/>
    <w:basedOn w:val="DefaultParagraphFont"/>
    <w:link w:val="BalloonText"/>
    <w:uiPriority w:val="99"/>
    <w:semiHidden/>
    <w:rsid w:val="008C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table" w:styleId="TableGrid">
    <w:name w:val="Table Grid"/>
    <w:basedOn w:val="TableNormal"/>
    <w:uiPriority w:val="59"/>
    <w:rsid w:val="00FD1D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F80"/>
    <w:rPr>
      <w:rFonts w:ascii="Tahoma" w:hAnsi="Tahoma" w:cs="Tahoma"/>
      <w:sz w:val="16"/>
      <w:szCs w:val="16"/>
    </w:rPr>
  </w:style>
  <w:style w:type="character" w:customStyle="1" w:styleId="BalloonTextChar">
    <w:name w:val="Balloon Text Char"/>
    <w:basedOn w:val="DefaultParagraphFont"/>
    <w:link w:val="BalloonText"/>
    <w:uiPriority w:val="99"/>
    <w:semiHidden/>
    <w:rsid w:val="008C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71756">
      <w:marLeft w:val="0"/>
      <w:marRight w:val="0"/>
      <w:marTop w:val="0"/>
      <w:marBottom w:val="0"/>
      <w:divBdr>
        <w:top w:val="none" w:sz="0" w:space="0" w:color="auto"/>
        <w:left w:val="none" w:sz="0" w:space="0" w:color="auto"/>
        <w:bottom w:val="none" w:sz="0" w:space="0" w:color="auto"/>
        <w:right w:val="none" w:sz="0" w:space="0" w:color="auto"/>
      </w:divBdr>
    </w:div>
    <w:div w:id="782071757">
      <w:marLeft w:val="0"/>
      <w:marRight w:val="0"/>
      <w:marTop w:val="0"/>
      <w:marBottom w:val="0"/>
      <w:divBdr>
        <w:top w:val="none" w:sz="0" w:space="0" w:color="auto"/>
        <w:left w:val="none" w:sz="0" w:space="0" w:color="auto"/>
        <w:bottom w:val="none" w:sz="0" w:space="0" w:color="auto"/>
        <w:right w:val="none" w:sz="0" w:space="0" w:color="auto"/>
      </w:divBdr>
    </w:div>
    <w:div w:id="782071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8883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SGINN</dc:creator>
  <cp:lastModifiedBy>Andrew Wynne</cp:lastModifiedBy>
  <cp:revision>3</cp:revision>
  <cp:lastPrinted>2015-10-02T11:15:00Z</cp:lastPrinted>
  <dcterms:created xsi:type="dcterms:W3CDTF">2015-10-02T12:32:00Z</dcterms:created>
  <dcterms:modified xsi:type="dcterms:W3CDTF">2015-10-02T13:02:00Z</dcterms:modified>
</cp:coreProperties>
</file>