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98" w:rsidRDefault="00B67B98" w:rsidP="00B67B9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26 September 2015 22:09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14/00204/DISC</w:t>
      </w:r>
    </w:p>
    <w:p w:rsidR="00B67B98" w:rsidRDefault="00B67B98" w:rsidP="00B67B98">
      <w:pPr>
        <w:rPr>
          <w:rFonts w:ascii="Times New Roman" w:hAnsi="Times New Roman"/>
          <w:sz w:val="24"/>
          <w:szCs w:val="24"/>
        </w:rPr>
      </w:pPr>
      <w:bookmarkStart w:id="0" w:name="_GoBack"/>
      <w:bookmarkEnd w:id="0"/>
    </w:p>
    <w:p w:rsidR="00B67B98" w:rsidRDefault="00B67B98" w:rsidP="00B67B98">
      <w:pPr>
        <w:pStyle w:val="NormalWeb"/>
      </w:pPr>
      <w:r>
        <w:rPr>
          <w:rFonts w:ascii="Verdana" w:hAnsi="Verdana"/>
          <w:sz w:val="20"/>
          <w:szCs w:val="20"/>
        </w:rPr>
        <w:t>Planning Application comments have been made. A summary of the comments is provided below.</w:t>
      </w:r>
    </w:p>
    <w:p w:rsidR="00B67B98" w:rsidRDefault="00B67B98" w:rsidP="00B67B98">
      <w:pPr>
        <w:pStyle w:val="NormalWeb"/>
      </w:pPr>
      <w:r>
        <w:rPr>
          <w:rFonts w:ascii="Verdana" w:hAnsi="Verdana"/>
          <w:sz w:val="20"/>
          <w:szCs w:val="20"/>
        </w:rPr>
        <w:t>Comments were submitted at 10:08 PM on 26 Sep 2015 from Mrs Nicole Tucker.</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B67B98" w:rsidTr="00B67B98">
        <w:trPr>
          <w:tblCellSpacing w:w="7" w:type="dxa"/>
        </w:trPr>
        <w:tc>
          <w:tcPr>
            <w:tcW w:w="0" w:type="auto"/>
            <w:gridSpan w:val="2"/>
            <w:tcMar>
              <w:top w:w="45" w:type="dxa"/>
              <w:left w:w="45" w:type="dxa"/>
              <w:bottom w:w="45" w:type="dxa"/>
              <w:right w:w="45" w:type="dxa"/>
            </w:tcMar>
            <w:vAlign w:val="center"/>
            <w:hideMark/>
          </w:tcPr>
          <w:p w:rsidR="00B67B98" w:rsidRDefault="00B67B98">
            <w:pPr>
              <w:rPr>
                <w:rFonts w:eastAsiaTheme="minorHAnsi"/>
                <w:sz w:val="24"/>
                <w:szCs w:val="24"/>
              </w:rPr>
            </w:pPr>
            <w:r>
              <w:rPr>
                <w:rFonts w:ascii="Verdana" w:hAnsi="Verdana"/>
                <w:b/>
                <w:bCs/>
              </w:rPr>
              <w:t>Application Summary</w:t>
            </w:r>
          </w:p>
        </w:tc>
      </w:tr>
      <w:tr w:rsidR="00B67B98" w:rsidTr="00B67B98">
        <w:trPr>
          <w:tblCellSpacing w:w="7" w:type="dxa"/>
        </w:trPr>
        <w:tc>
          <w:tcPr>
            <w:tcW w:w="1500" w:type="dxa"/>
            <w:tcMar>
              <w:top w:w="45" w:type="dxa"/>
              <w:left w:w="45" w:type="dxa"/>
              <w:bottom w:w="45" w:type="dxa"/>
              <w:right w:w="45" w:type="dxa"/>
            </w:tcMar>
            <w:vAlign w:val="center"/>
            <w:hideMark/>
          </w:tcPr>
          <w:p w:rsidR="00B67B98" w:rsidRDefault="00B67B98">
            <w:pPr>
              <w:rPr>
                <w:rFonts w:eastAsiaTheme="minorHAnsi"/>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B67B98" w:rsidRDefault="00B67B98">
            <w:pPr>
              <w:rPr>
                <w:rFonts w:eastAsiaTheme="minorHAnsi"/>
                <w:sz w:val="24"/>
                <w:szCs w:val="24"/>
              </w:rPr>
            </w:pPr>
            <w:r>
              <w:rPr>
                <w:rFonts w:ascii="Verdana" w:hAnsi="Verdana"/>
                <w:sz w:val="20"/>
                <w:szCs w:val="20"/>
              </w:rPr>
              <w:t xml:space="preserve">Islip Station Including Section E Oxford To Bicester Rail Link </w:t>
            </w:r>
            <w:proofErr w:type="spellStart"/>
            <w:r>
              <w:rPr>
                <w:rFonts w:ascii="Verdana" w:hAnsi="Verdana"/>
                <w:sz w:val="20"/>
                <w:szCs w:val="20"/>
              </w:rPr>
              <w:t>Bletchingdon</w:t>
            </w:r>
            <w:proofErr w:type="spellEnd"/>
            <w:r>
              <w:rPr>
                <w:rFonts w:ascii="Verdana" w:hAnsi="Verdana"/>
                <w:sz w:val="20"/>
                <w:szCs w:val="20"/>
              </w:rPr>
              <w:t xml:space="preserve"> Road Islip </w:t>
            </w:r>
          </w:p>
        </w:tc>
      </w:tr>
      <w:tr w:rsidR="00B67B98" w:rsidTr="00B67B98">
        <w:trPr>
          <w:tblCellSpacing w:w="7" w:type="dxa"/>
        </w:trPr>
        <w:tc>
          <w:tcPr>
            <w:tcW w:w="0" w:type="auto"/>
            <w:tcMar>
              <w:top w:w="45" w:type="dxa"/>
              <w:left w:w="45" w:type="dxa"/>
              <w:bottom w:w="45" w:type="dxa"/>
              <w:right w:w="45" w:type="dxa"/>
            </w:tcMar>
            <w:vAlign w:val="center"/>
            <w:hideMark/>
          </w:tcPr>
          <w:p w:rsidR="00B67B98" w:rsidRDefault="00B67B98">
            <w:pPr>
              <w:rPr>
                <w:rFonts w:eastAsiaTheme="minorHAnsi"/>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B67B98" w:rsidRDefault="00B67B98">
            <w:pPr>
              <w:rPr>
                <w:rFonts w:eastAsiaTheme="minorHAnsi"/>
                <w:sz w:val="24"/>
                <w:szCs w:val="24"/>
              </w:rPr>
            </w:pPr>
            <w:proofErr w:type="spellStart"/>
            <w:r>
              <w:rPr>
                <w:rFonts w:ascii="Verdana" w:hAnsi="Verdana"/>
                <w:sz w:val="20"/>
                <w:szCs w:val="20"/>
              </w:rPr>
              <w:t>Partal</w:t>
            </w:r>
            <w:proofErr w:type="spellEnd"/>
            <w:r>
              <w:rPr>
                <w:rFonts w:ascii="Verdana" w:hAnsi="Verdana"/>
                <w:sz w:val="20"/>
                <w:szCs w:val="20"/>
              </w:rPr>
              <w:t xml:space="preserve"> Discharge of Condition 19 (item2) Detailed scheme of assessment (noise) for section E of 10/00023/TWA. </w:t>
            </w:r>
          </w:p>
        </w:tc>
      </w:tr>
      <w:tr w:rsidR="00B67B98" w:rsidTr="00B67B98">
        <w:trPr>
          <w:tblCellSpacing w:w="7" w:type="dxa"/>
        </w:trPr>
        <w:tc>
          <w:tcPr>
            <w:tcW w:w="0" w:type="auto"/>
            <w:tcMar>
              <w:top w:w="45" w:type="dxa"/>
              <w:left w:w="45" w:type="dxa"/>
              <w:bottom w:w="45" w:type="dxa"/>
              <w:right w:w="45" w:type="dxa"/>
            </w:tcMar>
            <w:vAlign w:val="center"/>
            <w:hideMark/>
          </w:tcPr>
          <w:p w:rsidR="00B67B98" w:rsidRDefault="00B67B98">
            <w:pPr>
              <w:rPr>
                <w:rFonts w:eastAsiaTheme="minorHAnsi"/>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B67B98" w:rsidRDefault="00B67B98">
            <w:pPr>
              <w:rPr>
                <w:rFonts w:eastAsiaTheme="minorHAnsi"/>
                <w:sz w:val="24"/>
                <w:szCs w:val="24"/>
              </w:rPr>
            </w:pPr>
            <w:r>
              <w:rPr>
                <w:rFonts w:ascii="Verdana" w:hAnsi="Verdana"/>
                <w:sz w:val="20"/>
                <w:szCs w:val="20"/>
              </w:rPr>
              <w:t xml:space="preserve">Linda Griffiths </w:t>
            </w:r>
          </w:p>
        </w:tc>
      </w:tr>
      <w:tr w:rsidR="00B67B98" w:rsidTr="00B67B98">
        <w:trPr>
          <w:tblCellSpacing w:w="7" w:type="dxa"/>
        </w:trPr>
        <w:tc>
          <w:tcPr>
            <w:tcW w:w="0" w:type="auto"/>
            <w:gridSpan w:val="2"/>
            <w:tcMar>
              <w:top w:w="45" w:type="dxa"/>
              <w:left w:w="45" w:type="dxa"/>
              <w:bottom w:w="45" w:type="dxa"/>
              <w:right w:w="45" w:type="dxa"/>
            </w:tcMar>
            <w:vAlign w:val="center"/>
            <w:hideMark/>
          </w:tcPr>
          <w:p w:rsidR="00B67B98" w:rsidRDefault="00B67B98">
            <w:pPr>
              <w:rPr>
                <w:rFonts w:eastAsiaTheme="minorHAnsi"/>
                <w:sz w:val="24"/>
                <w:szCs w:val="24"/>
              </w:rPr>
            </w:pPr>
            <w:hyperlink r:id="rId5" w:history="1">
              <w:r>
                <w:rPr>
                  <w:rStyle w:val="Hyperlink"/>
                  <w:rFonts w:ascii="Verdana" w:hAnsi="Verdana"/>
                  <w:sz w:val="20"/>
                  <w:szCs w:val="20"/>
                </w:rPr>
                <w:t>Click for further information</w:t>
              </w:r>
            </w:hyperlink>
          </w:p>
        </w:tc>
      </w:tr>
    </w:tbl>
    <w:p w:rsidR="00B67B98" w:rsidRDefault="00B67B98" w:rsidP="00B67B98">
      <w:pPr>
        <w:rPr>
          <w:rFonts w:eastAsiaTheme="minorHAnsi"/>
        </w:rPr>
      </w:pPr>
    </w:p>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B67B98" w:rsidTr="00B67B98">
        <w:trPr>
          <w:tblCellSpacing w:w="7" w:type="dxa"/>
        </w:trPr>
        <w:tc>
          <w:tcPr>
            <w:tcW w:w="0" w:type="auto"/>
            <w:gridSpan w:val="2"/>
            <w:tcMar>
              <w:top w:w="45" w:type="dxa"/>
              <w:left w:w="45" w:type="dxa"/>
              <w:bottom w:w="45" w:type="dxa"/>
              <w:right w:w="45" w:type="dxa"/>
            </w:tcMar>
            <w:vAlign w:val="center"/>
            <w:hideMark/>
          </w:tcPr>
          <w:p w:rsidR="00B67B98" w:rsidRDefault="00B67B98">
            <w:pPr>
              <w:rPr>
                <w:rFonts w:eastAsiaTheme="minorHAnsi"/>
                <w:sz w:val="24"/>
                <w:szCs w:val="24"/>
              </w:rPr>
            </w:pPr>
            <w:r>
              <w:rPr>
                <w:rFonts w:ascii="Verdana" w:hAnsi="Verdana"/>
                <w:b/>
                <w:bCs/>
              </w:rPr>
              <w:t>Customer Details</w:t>
            </w:r>
          </w:p>
        </w:tc>
      </w:tr>
      <w:tr w:rsidR="00B67B98" w:rsidTr="00B67B98">
        <w:trPr>
          <w:tblCellSpacing w:w="7" w:type="dxa"/>
        </w:trPr>
        <w:tc>
          <w:tcPr>
            <w:tcW w:w="1500" w:type="dxa"/>
            <w:tcMar>
              <w:top w:w="45" w:type="dxa"/>
              <w:left w:w="45" w:type="dxa"/>
              <w:bottom w:w="45" w:type="dxa"/>
              <w:right w:w="45" w:type="dxa"/>
            </w:tcMar>
            <w:vAlign w:val="center"/>
            <w:hideMark/>
          </w:tcPr>
          <w:p w:rsidR="00B67B98" w:rsidRDefault="00B67B98">
            <w:pPr>
              <w:rPr>
                <w:rFonts w:eastAsiaTheme="minorHAnsi"/>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B67B98" w:rsidRDefault="00B67B98">
            <w:pPr>
              <w:rPr>
                <w:rFonts w:eastAsiaTheme="minorHAnsi"/>
                <w:sz w:val="24"/>
                <w:szCs w:val="24"/>
              </w:rPr>
            </w:pPr>
            <w:r>
              <w:rPr>
                <w:rFonts w:ascii="Verdana" w:hAnsi="Verdana"/>
                <w:sz w:val="20"/>
                <w:szCs w:val="20"/>
              </w:rPr>
              <w:t>Mrs Nicole Tucker</w:t>
            </w:r>
          </w:p>
        </w:tc>
      </w:tr>
      <w:tr w:rsidR="00B67B98" w:rsidTr="00B67B98">
        <w:trPr>
          <w:tblCellSpacing w:w="7" w:type="dxa"/>
        </w:trPr>
        <w:tc>
          <w:tcPr>
            <w:tcW w:w="0" w:type="auto"/>
            <w:tcMar>
              <w:top w:w="45" w:type="dxa"/>
              <w:left w:w="45" w:type="dxa"/>
              <w:bottom w:w="45" w:type="dxa"/>
              <w:right w:w="45" w:type="dxa"/>
            </w:tcMar>
            <w:vAlign w:val="center"/>
            <w:hideMark/>
          </w:tcPr>
          <w:p w:rsidR="00B67B98" w:rsidRDefault="00B67B98">
            <w:pPr>
              <w:rPr>
                <w:rFonts w:eastAsiaTheme="minorHAnsi"/>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B67B98" w:rsidRDefault="00B67B98">
            <w:pPr>
              <w:rPr>
                <w:rFonts w:eastAsiaTheme="minorHAnsi"/>
                <w:sz w:val="24"/>
                <w:szCs w:val="24"/>
              </w:rPr>
            </w:pPr>
            <w:r>
              <w:rPr>
                <w:rFonts w:ascii="Verdana" w:hAnsi="Verdana"/>
                <w:sz w:val="20"/>
                <w:szCs w:val="20"/>
              </w:rPr>
              <w:t xml:space="preserve">Riverbank Cottage, </w:t>
            </w:r>
            <w:proofErr w:type="spellStart"/>
            <w:r>
              <w:rPr>
                <w:rFonts w:ascii="Verdana" w:hAnsi="Verdana"/>
                <w:sz w:val="20"/>
                <w:szCs w:val="20"/>
              </w:rPr>
              <w:t>Collice</w:t>
            </w:r>
            <w:proofErr w:type="spellEnd"/>
            <w:r>
              <w:rPr>
                <w:rFonts w:ascii="Verdana" w:hAnsi="Verdana"/>
                <w:sz w:val="20"/>
                <w:szCs w:val="20"/>
              </w:rPr>
              <w:t xml:space="preserve"> Street, Islip, </w:t>
            </w:r>
            <w:proofErr w:type="spellStart"/>
            <w:r>
              <w:rPr>
                <w:rFonts w:ascii="Verdana" w:hAnsi="Verdana"/>
                <w:sz w:val="20"/>
                <w:szCs w:val="20"/>
              </w:rPr>
              <w:t>Kidlington</w:t>
            </w:r>
            <w:proofErr w:type="spellEnd"/>
            <w:r>
              <w:rPr>
                <w:rFonts w:ascii="Verdana" w:hAnsi="Verdana"/>
                <w:sz w:val="20"/>
                <w:szCs w:val="20"/>
              </w:rPr>
              <w:t xml:space="preserve"> OX5 2TB</w:t>
            </w:r>
          </w:p>
        </w:tc>
      </w:tr>
    </w:tbl>
    <w:p w:rsidR="00B67B98" w:rsidRDefault="00B67B98" w:rsidP="00B67B98">
      <w:pPr>
        <w:rPr>
          <w:rFonts w:eastAsiaTheme="minorHAnsi"/>
        </w:rPr>
      </w:pPr>
    </w:p>
    <w:tbl>
      <w:tblPr>
        <w:tblW w:w="7500" w:type="dxa"/>
        <w:tblCellSpacing w:w="7" w:type="dxa"/>
        <w:tblCellMar>
          <w:left w:w="0" w:type="dxa"/>
          <w:right w:w="0" w:type="dxa"/>
        </w:tblCellMar>
        <w:tblLook w:val="04A0" w:firstRow="1" w:lastRow="0" w:firstColumn="1" w:lastColumn="0" w:noHBand="0" w:noVBand="1"/>
      </w:tblPr>
      <w:tblGrid>
        <w:gridCol w:w="1591"/>
        <w:gridCol w:w="5909"/>
      </w:tblGrid>
      <w:tr w:rsidR="00B67B98" w:rsidTr="00B67B98">
        <w:trPr>
          <w:tblCellSpacing w:w="7" w:type="dxa"/>
        </w:trPr>
        <w:tc>
          <w:tcPr>
            <w:tcW w:w="0" w:type="auto"/>
            <w:gridSpan w:val="2"/>
            <w:tcMar>
              <w:top w:w="45" w:type="dxa"/>
              <w:left w:w="45" w:type="dxa"/>
              <w:bottom w:w="45" w:type="dxa"/>
              <w:right w:w="45" w:type="dxa"/>
            </w:tcMar>
            <w:vAlign w:val="center"/>
            <w:hideMark/>
          </w:tcPr>
          <w:p w:rsidR="00B67B98" w:rsidRDefault="00B67B98">
            <w:pPr>
              <w:rPr>
                <w:rFonts w:eastAsiaTheme="minorHAnsi"/>
                <w:sz w:val="24"/>
                <w:szCs w:val="24"/>
              </w:rPr>
            </w:pPr>
            <w:r>
              <w:rPr>
                <w:rFonts w:ascii="Verdana" w:hAnsi="Verdana"/>
                <w:b/>
                <w:bCs/>
              </w:rPr>
              <w:t>Comments Details</w:t>
            </w:r>
          </w:p>
        </w:tc>
      </w:tr>
      <w:tr w:rsidR="00B67B98" w:rsidTr="00B67B98">
        <w:trPr>
          <w:tblCellSpacing w:w="7" w:type="dxa"/>
        </w:trPr>
        <w:tc>
          <w:tcPr>
            <w:tcW w:w="2025" w:type="dxa"/>
            <w:tcMar>
              <w:top w:w="45" w:type="dxa"/>
              <w:left w:w="45" w:type="dxa"/>
              <w:bottom w:w="45" w:type="dxa"/>
              <w:right w:w="45" w:type="dxa"/>
            </w:tcMar>
            <w:vAlign w:val="center"/>
            <w:hideMark/>
          </w:tcPr>
          <w:p w:rsidR="00B67B98" w:rsidRDefault="00B67B98">
            <w:pPr>
              <w:rPr>
                <w:rFonts w:eastAsiaTheme="minorHAnsi"/>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B67B98" w:rsidRDefault="00B67B98">
            <w:pPr>
              <w:rPr>
                <w:rFonts w:eastAsiaTheme="minorHAnsi"/>
                <w:sz w:val="24"/>
                <w:szCs w:val="24"/>
              </w:rPr>
            </w:pPr>
            <w:r>
              <w:rPr>
                <w:rFonts w:ascii="Verdana" w:hAnsi="Verdana"/>
                <w:sz w:val="20"/>
                <w:szCs w:val="20"/>
              </w:rPr>
              <w:t>General Public</w:t>
            </w:r>
          </w:p>
        </w:tc>
      </w:tr>
      <w:tr w:rsidR="00B67B98" w:rsidTr="00B67B98">
        <w:trPr>
          <w:tblCellSpacing w:w="7" w:type="dxa"/>
        </w:trPr>
        <w:tc>
          <w:tcPr>
            <w:tcW w:w="0" w:type="auto"/>
            <w:tcMar>
              <w:top w:w="45" w:type="dxa"/>
              <w:left w:w="45" w:type="dxa"/>
              <w:bottom w:w="45" w:type="dxa"/>
              <w:right w:w="45" w:type="dxa"/>
            </w:tcMar>
            <w:vAlign w:val="center"/>
            <w:hideMark/>
          </w:tcPr>
          <w:p w:rsidR="00B67B98" w:rsidRDefault="00B67B98">
            <w:pPr>
              <w:rPr>
                <w:rFonts w:eastAsiaTheme="minorHAnsi"/>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B67B98" w:rsidRDefault="00B67B98">
            <w:pPr>
              <w:rPr>
                <w:rFonts w:eastAsiaTheme="minorHAnsi"/>
                <w:sz w:val="24"/>
                <w:szCs w:val="24"/>
              </w:rPr>
            </w:pPr>
            <w:r>
              <w:rPr>
                <w:rFonts w:ascii="Verdana" w:hAnsi="Verdana"/>
                <w:sz w:val="20"/>
                <w:szCs w:val="20"/>
              </w:rPr>
              <w:t>Customer objects to the Planning Application</w:t>
            </w:r>
          </w:p>
        </w:tc>
      </w:tr>
      <w:tr w:rsidR="00B67B98" w:rsidTr="00B67B98">
        <w:trPr>
          <w:tblCellSpacing w:w="7" w:type="dxa"/>
        </w:trPr>
        <w:tc>
          <w:tcPr>
            <w:tcW w:w="0" w:type="auto"/>
            <w:tcMar>
              <w:top w:w="45" w:type="dxa"/>
              <w:left w:w="45" w:type="dxa"/>
              <w:bottom w:w="45" w:type="dxa"/>
              <w:right w:w="45" w:type="dxa"/>
            </w:tcMar>
            <w:hideMark/>
          </w:tcPr>
          <w:p w:rsidR="00B67B98" w:rsidRDefault="00B67B98">
            <w:pPr>
              <w:rPr>
                <w:rFonts w:eastAsiaTheme="minorHAnsi"/>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B67B98" w:rsidRDefault="00B67B98">
            <w:pPr>
              <w:rPr>
                <w:rFonts w:eastAsia="Times New Roman"/>
                <w:sz w:val="20"/>
                <w:szCs w:val="20"/>
              </w:rPr>
            </w:pPr>
          </w:p>
        </w:tc>
      </w:tr>
      <w:tr w:rsidR="00B67B98" w:rsidTr="00B67B98">
        <w:trPr>
          <w:tblCellSpacing w:w="7" w:type="dxa"/>
        </w:trPr>
        <w:tc>
          <w:tcPr>
            <w:tcW w:w="0" w:type="auto"/>
            <w:tcMar>
              <w:top w:w="45" w:type="dxa"/>
              <w:left w:w="45" w:type="dxa"/>
              <w:bottom w:w="45" w:type="dxa"/>
              <w:right w:w="45" w:type="dxa"/>
            </w:tcMar>
            <w:hideMark/>
          </w:tcPr>
          <w:p w:rsidR="00B67B98" w:rsidRDefault="00B67B98">
            <w:pPr>
              <w:rPr>
                <w:rFonts w:eastAsiaTheme="minorHAnsi"/>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B67B98" w:rsidRDefault="00B67B98">
            <w:pPr>
              <w:rPr>
                <w:rFonts w:eastAsiaTheme="minorHAnsi"/>
                <w:sz w:val="24"/>
                <w:szCs w:val="24"/>
              </w:rPr>
            </w:pPr>
            <w:r>
              <w:rPr>
                <w:rFonts w:ascii="Verdana" w:hAnsi="Verdana"/>
                <w:sz w:val="20"/>
                <w:szCs w:val="20"/>
              </w:rPr>
              <w:t xml:space="preserve">I am a parent of a child at Dr </w:t>
            </w:r>
            <w:proofErr w:type="spellStart"/>
            <w:proofErr w:type="gramStart"/>
            <w:r>
              <w:rPr>
                <w:rFonts w:ascii="Verdana" w:hAnsi="Verdana"/>
                <w:sz w:val="20"/>
                <w:szCs w:val="20"/>
              </w:rPr>
              <w:t>Souths</w:t>
            </w:r>
            <w:proofErr w:type="spellEnd"/>
            <w:proofErr w:type="gramEnd"/>
            <w:r>
              <w:rPr>
                <w:rFonts w:ascii="Verdana" w:hAnsi="Verdana"/>
                <w:sz w:val="20"/>
                <w:szCs w:val="20"/>
              </w:rPr>
              <w:t xml:space="preserve"> school. I am concerned that I was not notified of the additional material published on 16th September and that the </w:t>
            </w:r>
            <w:r>
              <w:rPr>
                <w:rFonts w:ascii="Verdana" w:hAnsi="Verdana"/>
                <w:sz w:val="20"/>
                <w:szCs w:val="20"/>
              </w:rPr>
              <w:lastRenderedPageBreak/>
              <w:t>consultation is so short on this matter.</w:t>
            </w:r>
            <w:r>
              <w:rPr>
                <w:rFonts w:ascii="Verdana" w:hAnsi="Verdana"/>
                <w:sz w:val="20"/>
                <w:szCs w:val="20"/>
              </w:rPr>
              <w:br/>
              <w:t>We hope that the council will pay due attention to your responsibilities for the education of pupils in schools when determining planning matters.</w:t>
            </w:r>
            <w:r>
              <w:rPr>
                <w:rFonts w:ascii="Verdana" w:hAnsi="Verdana"/>
                <w:sz w:val="20"/>
                <w:szCs w:val="20"/>
              </w:rPr>
              <w:br/>
              <w:t>We are concerned that Network Rail's proposed noise and vibration mitigation strategy for Islip does not include any mitigation for the school.</w:t>
            </w:r>
            <w:r>
              <w:rPr>
                <w:rFonts w:ascii="Verdana" w:hAnsi="Verdana"/>
                <w:sz w:val="20"/>
                <w:szCs w:val="20"/>
              </w:rPr>
              <w:br/>
              <w:t>It is unclear how Network Rail can estimate the impact on school grounds but not the buildings. We believe that the analysis by Network Rail is too narrow and as such the council should adopt a precautionary approach and require Network Rail to install adequate sound barriers between the railway and school.</w:t>
            </w:r>
            <w:r>
              <w:rPr>
                <w:rFonts w:ascii="Verdana" w:hAnsi="Verdana"/>
                <w:sz w:val="20"/>
                <w:szCs w:val="20"/>
              </w:rPr>
              <w:br/>
              <w:t>By no means should corporate profit be put above the needs of children's welfare and education.</w:t>
            </w:r>
          </w:p>
        </w:tc>
      </w:tr>
    </w:tbl>
    <w:p w:rsidR="00CF0B75" w:rsidRPr="00B8138E" w:rsidRDefault="00CF0B75" w:rsidP="00B8138E"/>
    <w:sectPr w:rsidR="00CF0B75" w:rsidRPr="00B81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F0"/>
    <w:rsid w:val="000631D8"/>
    <w:rsid w:val="000E3CDB"/>
    <w:rsid w:val="00164506"/>
    <w:rsid w:val="00346910"/>
    <w:rsid w:val="00362116"/>
    <w:rsid w:val="00507E0F"/>
    <w:rsid w:val="005F0B7A"/>
    <w:rsid w:val="006B3F4F"/>
    <w:rsid w:val="00A30A25"/>
    <w:rsid w:val="00B67B98"/>
    <w:rsid w:val="00B8138E"/>
    <w:rsid w:val="00CF0B75"/>
    <w:rsid w:val="00E542F0"/>
    <w:rsid w:val="00F0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542F0"/>
    <w:rPr>
      <w:color w:val="0000FF"/>
      <w:u w:val="single"/>
    </w:rPr>
  </w:style>
  <w:style w:type="paragraph" w:styleId="NormalWeb">
    <w:name w:val="Normal (Web)"/>
    <w:basedOn w:val="Normal"/>
    <w:uiPriority w:val="99"/>
    <w:semiHidden/>
    <w:unhideWhenUsed/>
    <w:rsid w:val="00E542F0"/>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542F0"/>
    <w:rPr>
      <w:color w:val="0000FF"/>
      <w:u w:val="single"/>
    </w:rPr>
  </w:style>
  <w:style w:type="paragraph" w:styleId="NormalWeb">
    <w:name w:val="Normal (Web)"/>
    <w:basedOn w:val="Normal"/>
    <w:uiPriority w:val="99"/>
    <w:semiHidden/>
    <w:unhideWhenUsed/>
    <w:rsid w:val="00E542F0"/>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972">
      <w:bodyDiv w:val="1"/>
      <w:marLeft w:val="0"/>
      <w:marRight w:val="0"/>
      <w:marTop w:val="0"/>
      <w:marBottom w:val="0"/>
      <w:divBdr>
        <w:top w:val="none" w:sz="0" w:space="0" w:color="auto"/>
        <w:left w:val="none" w:sz="0" w:space="0" w:color="auto"/>
        <w:bottom w:val="none" w:sz="0" w:space="0" w:color="auto"/>
        <w:right w:val="none" w:sz="0" w:space="0" w:color="auto"/>
      </w:divBdr>
    </w:div>
    <w:div w:id="258368939">
      <w:bodyDiv w:val="1"/>
      <w:marLeft w:val="0"/>
      <w:marRight w:val="0"/>
      <w:marTop w:val="0"/>
      <w:marBottom w:val="0"/>
      <w:divBdr>
        <w:top w:val="none" w:sz="0" w:space="0" w:color="auto"/>
        <w:left w:val="none" w:sz="0" w:space="0" w:color="auto"/>
        <w:bottom w:val="none" w:sz="0" w:space="0" w:color="auto"/>
        <w:right w:val="none" w:sz="0" w:space="0" w:color="auto"/>
      </w:divBdr>
    </w:div>
    <w:div w:id="522936201">
      <w:bodyDiv w:val="1"/>
      <w:marLeft w:val="0"/>
      <w:marRight w:val="0"/>
      <w:marTop w:val="0"/>
      <w:marBottom w:val="0"/>
      <w:divBdr>
        <w:top w:val="none" w:sz="0" w:space="0" w:color="auto"/>
        <w:left w:val="none" w:sz="0" w:space="0" w:color="auto"/>
        <w:bottom w:val="none" w:sz="0" w:space="0" w:color="auto"/>
        <w:right w:val="none" w:sz="0" w:space="0" w:color="auto"/>
      </w:divBdr>
    </w:div>
    <w:div w:id="651447806">
      <w:bodyDiv w:val="1"/>
      <w:marLeft w:val="0"/>
      <w:marRight w:val="0"/>
      <w:marTop w:val="0"/>
      <w:marBottom w:val="0"/>
      <w:divBdr>
        <w:top w:val="none" w:sz="0" w:space="0" w:color="auto"/>
        <w:left w:val="none" w:sz="0" w:space="0" w:color="auto"/>
        <w:bottom w:val="none" w:sz="0" w:space="0" w:color="auto"/>
        <w:right w:val="none" w:sz="0" w:space="0" w:color="auto"/>
      </w:divBdr>
    </w:div>
    <w:div w:id="921140451">
      <w:bodyDiv w:val="1"/>
      <w:marLeft w:val="0"/>
      <w:marRight w:val="0"/>
      <w:marTop w:val="0"/>
      <w:marBottom w:val="0"/>
      <w:divBdr>
        <w:top w:val="none" w:sz="0" w:space="0" w:color="auto"/>
        <w:left w:val="none" w:sz="0" w:space="0" w:color="auto"/>
        <w:bottom w:val="none" w:sz="0" w:space="0" w:color="auto"/>
        <w:right w:val="none" w:sz="0" w:space="0" w:color="auto"/>
      </w:divBdr>
    </w:div>
    <w:div w:id="922109853">
      <w:bodyDiv w:val="1"/>
      <w:marLeft w:val="0"/>
      <w:marRight w:val="0"/>
      <w:marTop w:val="0"/>
      <w:marBottom w:val="0"/>
      <w:divBdr>
        <w:top w:val="none" w:sz="0" w:space="0" w:color="auto"/>
        <w:left w:val="none" w:sz="0" w:space="0" w:color="auto"/>
        <w:bottom w:val="none" w:sz="0" w:space="0" w:color="auto"/>
        <w:right w:val="none" w:sz="0" w:space="0" w:color="auto"/>
      </w:divBdr>
    </w:div>
    <w:div w:id="1074745733">
      <w:bodyDiv w:val="1"/>
      <w:marLeft w:val="0"/>
      <w:marRight w:val="0"/>
      <w:marTop w:val="0"/>
      <w:marBottom w:val="0"/>
      <w:divBdr>
        <w:top w:val="none" w:sz="0" w:space="0" w:color="auto"/>
        <w:left w:val="none" w:sz="0" w:space="0" w:color="auto"/>
        <w:bottom w:val="none" w:sz="0" w:space="0" w:color="auto"/>
        <w:right w:val="none" w:sz="0" w:space="0" w:color="auto"/>
      </w:divBdr>
    </w:div>
    <w:div w:id="1731227962">
      <w:bodyDiv w:val="1"/>
      <w:marLeft w:val="0"/>
      <w:marRight w:val="0"/>
      <w:marTop w:val="0"/>
      <w:marBottom w:val="0"/>
      <w:divBdr>
        <w:top w:val="none" w:sz="0" w:space="0" w:color="auto"/>
        <w:left w:val="none" w:sz="0" w:space="0" w:color="auto"/>
        <w:bottom w:val="none" w:sz="0" w:space="0" w:color="auto"/>
        <w:right w:val="none" w:sz="0" w:space="0" w:color="auto"/>
      </w:divBdr>
    </w:div>
    <w:div w:id="1757045253">
      <w:bodyDiv w:val="1"/>
      <w:marLeft w:val="0"/>
      <w:marRight w:val="0"/>
      <w:marTop w:val="0"/>
      <w:marBottom w:val="0"/>
      <w:divBdr>
        <w:top w:val="none" w:sz="0" w:space="0" w:color="auto"/>
        <w:left w:val="none" w:sz="0" w:space="0" w:color="auto"/>
        <w:bottom w:val="none" w:sz="0" w:space="0" w:color="auto"/>
        <w:right w:val="none" w:sz="0" w:space="0" w:color="auto"/>
      </w:divBdr>
    </w:div>
    <w:div w:id="19993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access.cherwell.gov.uk/online-applications/centralDistribution.do?caseType=Application&amp;keyVal=N8UYNXEM0FZ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2015-09-28T09:32:00Z</dcterms:created>
  <dcterms:modified xsi:type="dcterms:W3CDTF">2015-09-28T09:32:00Z</dcterms:modified>
</cp:coreProperties>
</file>