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p w:rsidR="00D649CF" w:rsidRPr="000463A3" w:rsidRDefault="000463A3" w:rsidP="000463A3">
      <w:pPr>
        <w:numPr>
          <w:ilvl w:val="1"/>
          <w:numId w:val="4"/>
        </w:numPr>
        <w:spacing w:after="240"/>
        <w:ind w:left="567" w:hanging="567"/>
        <w:jc w:val="both"/>
        <w:rPr>
          <w:rFonts w:ascii="Arial" w:hAnsi="Arial" w:cs="Arial"/>
          <w:sz w:val="22"/>
          <w:szCs w:val="22"/>
        </w:rPr>
      </w:pPr>
      <w:r w:rsidRPr="0046250B">
        <w:rPr>
          <w:rFonts w:ascii="Arial" w:hAnsi="Arial" w:cs="Arial"/>
          <w:sz w:val="22"/>
          <w:szCs w:val="22"/>
        </w:rPr>
        <w:t xml:space="preserve">Bicester Eco Town Exemplar site was granted planning permission (reference 10/01780/HYBRID) for 393 residential dwellings, a primary school, commercial and retail units.  The exemplar site is a development that constitutes part of the larger North West Bicester Eco town, located on the eastern edge.  </w:t>
      </w:r>
    </w:p>
    <w:p w:rsidR="00055B98"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084780" w:rsidRPr="000463A3" w:rsidRDefault="000463A3" w:rsidP="000463A3">
      <w:pPr>
        <w:numPr>
          <w:ilvl w:val="1"/>
          <w:numId w:val="5"/>
        </w:numPr>
        <w:spacing w:after="240"/>
        <w:ind w:left="567" w:hanging="563"/>
        <w:jc w:val="both"/>
        <w:rPr>
          <w:rFonts w:ascii="Arial" w:hAnsi="Arial" w:cs="Arial"/>
          <w:sz w:val="22"/>
          <w:szCs w:val="22"/>
        </w:rPr>
      </w:pPr>
      <w:r>
        <w:rPr>
          <w:rFonts w:ascii="Arial" w:hAnsi="Arial" w:cs="Arial"/>
          <w:sz w:val="22"/>
          <w:szCs w:val="22"/>
        </w:rPr>
        <w:t>The current application seeks to partially discharge condition 60 for the Infrastructure Phase.  This cond</w:t>
      </w:r>
      <w:r w:rsidR="0017519D">
        <w:rPr>
          <w:rFonts w:ascii="Arial" w:hAnsi="Arial" w:cs="Arial"/>
          <w:sz w:val="22"/>
          <w:szCs w:val="22"/>
        </w:rPr>
        <w:t xml:space="preserve">ition was previously discharged; however the </w:t>
      </w:r>
      <w:r>
        <w:rPr>
          <w:rFonts w:ascii="Arial" w:hAnsi="Arial" w:cs="Arial"/>
          <w:sz w:val="22"/>
          <w:szCs w:val="22"/>
        </w:rPr>
        <w:t>detail has since changed.  This condition relates to the adoptable highways for each phase.</w:t>
      </w: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3"/>
          </w:tcPr>
          <w:p w:rsidR="00E944EA" w:rsidRPr="00E944EA" w:rsidRDefault="00E944EA" w:rsidP="00A47884">
            <w:pPr>
              <w:tabs>
                <w:tab w:val="left" w:pos="6480"/>
              </w:tabs>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A47884" w:rsidTr="008314A6">
        <w:trPr>
          <w:trHeight w:val="284"/>
        </w:trPr>
        <w:tc>
          <w:tcPr>
            <w:tcW w:w="2376"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10/01780/HYBRID</w:t>
            </w:r>
          </w:p>
        </w:tc>
        <w:tc>
          <w:tcPr>
            <w:tcW w:w="4678" w:type="dxa"/>
          </w:tcPr>
          <w:p w:rsidR="00A47884" w:rsidRPr="008B68B4" w:rsidRDefault="00A47884" w:rsidP="000052C9">
            <w:pPr>
              <w:tabs>
                <w:tab w:val="left" w:pos="6480"/>
              </w:tabs>
              <w:jc w:val="both"/>
              <w:rPr>
                <w:rFonts w:ascii="Arial" w:hAnsi="Arial" w:cs="Arial"/>
                <w:sz w:val="22"/>
                <w:szCs w:val="22"/>
                <w:lang w:eastAsia="en-US"/>
              </w:rPr>
            </w:pPr>
            <w:r w:rsidRPr="008B68B4">
              <w:rPr>
                <w:rFonts w:ascii="Arial" w:hAnsi="Arial" w:cs="Arial"/>
                <w:sz w:val="22"/>
                <w:szCs w:val="22"/>
                <w:lang w:eastAsia="en-US"/>
              </w:rPr>
              <w:t xml:space="preserve">Development of Exemplar phase of NW Bicester Eco Town to secure full planning permission for 394 residential units and an energy centre (up to 400 square metres), means of access, car parking, landscape, amenity space and service infrastructure and outline permission for a nursery of up to 350 square metres (use class D2), a community centre of up to 350 square metres (sui generis), 3 retail units of up to 770 square metres (including but not exclusively a convenience store, a post office and a pharmacy (use class A1)), an Eco-Business Centre of up to 1,800 square metres (use class B1), office accommodation of up to 1,100 square metres (use class B1), an Eco-Pub of up to 190 square metres (use class A4), and a primary school site measuring up to 1.34 hectares with access and layout to be determined.  </w:t>
            </w:r>
          </w:p>
          <w:p w:rsidR="00A47884" w:rsidRDefault="00A47884" w:rsidP="000052C9">
            <w:pPr>
              <w:tabs>
                <w:tab w:val="left" w:pos="6480"/>
              </w:tabs>
              <w:jc w:val="both"/>
              <w:rPr>
                <w:rFonts w:ascii="Arial" w:hAnsi="Arial" w:cs="Arial"/>
                <w:b/>
                <w:sz w:val="22"/>
                <w:szCs w:val="22"/>
              </w:rPr>
            </w:pPr>
          </w:p>
        </w:tc>
        <w:tc>
          <w:tcPr>
            <w:tcW w:w="1276" w:type="dxa"/>
          </w:tcPr>
          <w:p w:rsidR="00A47884" w:rsidRDefault="00A47884" w:rsidP="00E944EA">
            <w:pPr>
              <w:tabs>
                <w:tab w:val="left" w:pos="6480"/>
              </w:tabs>
              <w:jc w:val="both"/>
              <w:rPr>
                <w:rFonts w:ascii="Arial" w:hAnsi="Arial" w:cs="Arial"/>
                <w:b/>
                <w:sz w:val="22"/>
                <w:szCs w:val="22"/>
              </w:rPr>
            </w:pPr>
            <w:r w:rsidRPr="008B68B4">
              <w:rPr>
                <w:rFonts w:ascii="Arial" w:hAnsi="Arial" w:cs="Arial"/>
                <w:sz w:val="22"/>
                <w:szCs w:val="22"/>
                <w:lang w:eastAsia="en-US"/>
              </w:rPr>
              <w:t>PER</w:t>
            </w: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bl>
    <w:p w:rsidR="00DE1CB9" w:rsidRPr="000E5F6C" w:rsidRDefault="00DE1CB9" w:rsidP="00DE1CB9">
      <w:pPr>
        <w:tabs>
          <w:tab w:val="left" w:pos="6480"/>
        </w:tabs>
        <w:ind w:left="567"/>
        <w:jc w:val="both"/>
        <w:rPr>
          <w:rFonts w:ascii="Arial" w:hAnsi="Arial" w:cs="Arial"/>
          <w:sz w:val="22"/>
          <w:szCs w:val="22"/>
        </w:rPr>
      </w:pPr>
      <w:r w:rsidRPr="000E5F6C">
        <w:rPr>
          <w:rFonts w:ascii="Arial" w:hAnsi="Arial" w:cs="Arial"/>
          <w:sz w:val="22"/>
          <w:szCs w:val="22"/>
        </w:rPr>
        <w:t xml:space="preserve">There are a number of other applications across the wider </w:t>
      </w:r>
      <w:proofErr w:type="spellStart"/>
      <w:r w:rsidRPr="000E5F6C">
        <w:rPr>
          <w:rFonts w:ascii="Arial" w:hAnsi="Arial" w:cs="Arial"/>
          <w:sz w:val="22"/>
          <w:szCs w:val="22"/>
        </w:rPr>
        <w:t>Masterplanned</w:t>
      </w:r>
      <w:proofErr w:type="spellEnd"/>
      <w:r w:rsidRPr="000E5F6C">
        <w:rPr>
          <w:rFonts w:ascii="Arial" w:hAnsi="Arial" w:cs="Arial"/>
          <w:sz w:val="22"/>
          <w:szCs w:val="22"/>
        </w:rPr>
        <w:t xml:space="preserve"> site </w:t>
      </w:r>
      <w:r>
        <w:rPr>
          <w:rFonts w:ascii="Arial" w:hAnsi="Arial" w:cs="Arial"/>
          <w:sz w:val="22"/>
          <w:szCs w:val="22"/>
        </w:rPr>
        <w:t xml:space="preserve">that would form part of the wider site at NW Bicester. </w:t>
      </w:r>
    </w:p>
    <w:p w:rsidR="008B68B4" w:rsidRDefault="008B68B4" w:rsidP="00AB1820">
      <w:pPr>
        <w:tabs>
          <w:tab w:val="left" w:pos="6480"/>
        </w:tabs>
        <w:ind w:left="567"/>
        <w:jc w:val="both"/>
        <w:rPr>
          <w:rFonts w:ascii="Arial" w:hAnsi="Arial" w:cs="Arial"/>
          <w:b/>
          <w:sz w:val="22"/>
          <w:szCs w:val="22"/>
        </w:rPr>
      </w:pPr>
    </w:p>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0463A3" w:rsidRPr="000B6612" w:rsidRDefault="000463A3" w:rsidP="000463A3">
      <w:pPr>
        <w:ind w:left="360" w:firstLine="360"/>
        <w:jc w:val="both"/>
        <w:rPr>
          <w:rFonts w:ascii="Arial" w:hAnsi="Arial" w:cs="Arial"/>
          <w:sz w:val="22"/>
          <w:szCs w:val="22"/>
        </w:rPr>
      </w:pPr>
      <w:r w:rsidRPr="000B6612">
        <w:rPr>
          <w:rFonts w:ascii="Arial" w:hAnsi="Arial" w:cs="Arial"/>
          <w:sz w:val="22"/>
          <w:szCs w:val="22"/>
        </w:rPr>
        <w:t>This application has not been publicised.</w:t>
      </w:r>
    </w:p>
    <w:p w:rsidR="000463A3" w:rsidRDefault="000463A3" w:rsidP="000463A3">
      <w:pPr>
        <w:tabs>
          <w:tab w:val="left" w:pos="6480"/>
        </w:tabs>
        <w:ind w:left="360"/>
        <w:jc w:val="both"/>
        <w:rPr>
          <w:rFonts w:ascii="Arial" w:hAnsi="Arial" w:cs="Arial"/>
          <w:b/>
          <w:sz w:val="22"/>
          <w:szCs w:val="22"/>
        </w:rPr>
      </w:pPr>
    </w:p>
    <w:p w:rsidR="00E34DE8" w:rsidRDefault="00E2356A" w:rsidP="00AD206D">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 xml:space="preserve">Response to </w:t>
      </w:r>
      <w:r w:rsidR="00E8522C" w:rsidRPr="00A64752">
        <w:rPr>
          <w:rFonts w:ascii="Arial" w:hAnsi="Arial" w:cs="Arial"/>
          <w:b/>
          <w:sz w:val="22"/>
          <w:szCs w:val="22"/>
        </w:rPr>
        <w:t>Consultation</w:t>
      </w:r>
    </w:p>
    <w:p w:rsidR="00A64752" w:rsidRPr="00A64752" w:rsidRDefault="00A64752" w:rsidP="00A64752">
      <w:pPr>
        <w:tabs>
          <w:tab w:val="left" w:pos="6480"/>
        </w:tabs>
        <w:jc w:val="both"/>
        <w:rPr>
          <w:rFonts w:ascii="Arial" w:hAnsi="Arial" w:cs="Arial"/>
          <w:b/>
          <w:sz w:val="22"/>
          <w:szCs w:val="22"/>
        </w:rPr>
      </w:pPr>
    </w:p>
    <w:p w:rsidR="002E35F7" w:rsidRPr="00AD206D" w:rsidRDefault="00E2356A" w:rsidP="002325EF">
      <w:pPr>
        <w:numPr>
          <w:ilvl w:val="1"/>
          <w:numId w:val="7"/>
        </w:numPr>
        <w:spacing w:after="240"/>
        <w:ind w:left="567" w:hanging="567"/>
        <w:jc w:val="both"/>
        <w:rPr>
          <w:rFonts w:ascii="Arial" w:hAnsi="Arial" w:cs="Arial"/>
          <w:b/>
          <w:sz w:val="22"/>
          <w:szCs w:val="22"/>
          <w:u w:val="single"/>
        </w:rPr>
      </w:pPr>
      <w:r w:rsidRPr="002E35F7">
        <w:rPr>
          <w:rFonts w:ascii="Arial" w:hAnsi="Arial" w:cs="Arial"/>
          <w:sz w:val="22"/>
          <w:szCs w:val="22"/>
          <w:u w:val="single"/>
        </w:rPr>
        <w:t>Oxfordshire County Council:</w:t>
      </w:r>
    </w:p>
    <w:p w:rsidR="00992101" w:rsidRPr="000463A3" w:rsidRDefault="000463A3" w:rsidP="00992101">
      <w:pPr>
        <w:pStyle w:val="ListParagraph"/>
        <w:rPr>
          <w:rFonts w:ascii="Arial" w:hAnsi="Arial" w:cs="Arial"/>
          <w:sz w:val="22"/>
          <w:szCs w:val="22"/>
        </w:rPr>
      </w:pPr>
      <w:r w:rsidRPr="000463A3">
        <w:rPr>
          <w:rFonts w:ascii="Arial" w:hAnsi="Arial" w:cs="Arial"/>
          <w:sz w:val="22"/>
          <w:szCs w:val="22"/>
          <w:u w:val="single"/>
        </w:rPr>
        <w:t>Highways Officer:</w:t>
      </w:r>
      <w:r>
        <w:rPr>
          <w:rFonts w:ascii="Arial" w:hAnsi="Arial" w:cs="Arial"/>
          <w:sz w:val="22"/>
          <w:szCs w:val="22"/>
        </w:rPr>
        <w:t xml:space="preserve">  No objections </w:t>
      </w:r>
    </w:p>
    <w:p w:rsidR="00992101" w:rsidRPr="002E35F7" w:rsidRDefault="00992101" w:rsidP="00992101">
      <w:pPr>
        <w:spacing w:after="240"/>
        <w:ind w:left="567"/>
        <w:jc w:val="both"/>
        <w:rPr>
          <w:rFonts w:ascii="Arial" w:hAnsi="Arial" w:cs="Arial"/>
          <w:b/>
          <w:sz w:val="22"/>
          <w:szCs w:val="22"/>
          <w:u w:val="single"/>
        </w:rPr>
      </w:pP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654DC6" w:rsidRPr="00E60290" w:rsidRDefault="00654DC6" w:rsidP="00654DC6">
      <w:pPr>
        <w:tabs>
          <w:tab w:val="left" w:pos="6480"/>
        </w:tabs>
        <w:jc w:val="both"/>
        <w:rPr>
          <w:rFonts w:ascii="Arial" w:hAnsi="Arial" w:cs="Arial"/>
          <w:sz w:val="22"/>
          <w:szCs w:val="22"/>
        </w:rPr>
      </w:pPr>
      <w:r w:rsidRPr="00E60290">
        <w:rPr>
          <w:rFonts w:ascii="Arial" w:hAnsi="Arial" w:cs="Arial"/>
          <w:sz w:val="22"/>
          <w:szCs w:val="22"/>
        </w:rPr>
        <w:tab/>
      </w:r>
    </w:p>
    <w:p w:rsidR="00E34DE8" w:rsidRDefault="00E60290" w:rsidP="00E60290">
      <w:pPr>
        <w:tabs>
          <w:tab w:val="left" w:pos="6480"/>
        </w:tabs>
        <w:ind w:left="426"/>
        <w:jc w:val="both"/>
        <w:rPr>
          <w:rFonts w:ascii="Arial" w:hAnsi="Arial" w:cs="Arial"/>
          <w:sz w:val="22"/>
          <w:szCs w:val="22"/>
        </w:rPr>
      </w:pPr>
      <w:r w:rsidRPr="00E60290">
        <w:rPr>
          <w:rFonts w:ascii="Arial" w:hAnsi="Arial" w:cs="Arial"/>
          <w:sz w:val="22"/>
          <w:szCs w:val="22"/>
        </w:rPr>
        <w:t xml:space="preserve">Condition </w:t>
      </w:r>
      <w:r>
        <w:rPr>
          <w:rFonts w:ascii="Arial" w:hAnsi="Arial" w:cs="Arial"/>
          <w:sz w:val="22"/>
          <w:szCs w:val="22"/>
        </w:rPr>
        <w:t xml:space="preserve">60 requires a revised plan of adoptable highways including vision splays </w:t>
      </w:r>
      <w:r w:rsidR="006C4760">
        <w:rPr>
          <w:rFonts w:ascii="Arial" w:hAnsi="Arial" w:cs="Arial"/>
          <w:sz w:val="22"/>
          <w:szCs w:val="22"/>
        </w:rPr>
        <w:t>within that phase, prior to commencement.</w:t>
      </w:r>
    </w:p>
    <w:p w:rsidR="006C4760" w:rsidRDefault="006C4760" w:rsidP="00E60290">
      <w:pPr>
        <w:tabs>
          <w:tab w:val="left" w:pos="6480"/>
        </w:tabs>
        <w:ind w:left="426"/>
        <w:jc w:val="both"/>
        <w:rPr>
          <w:rFonts w:ascii="Arial" w:hAnsi="Arial" w:cs="Arial"/>
          <w:sz w:val="22"/>
          <w:szCs w:val="22"/>
        </w:rPr>
      </w:pPr>
    </w:p>
    <w:p w:rsidR="006C4760" w:rsidRDefault="006C4760" w:rsidP="00E60290">
      <w:pPr>
        <w:tabs>
          <w:tab w:val="left" w:pos="6480"/>
        </w:tabs>
        <w:ind w:left="426"/>
        <w:jc w:val="both"/>
        <w:rPr>
          <w:rFonts w:ascii="Arial" w:hAnsi="Arial" w:cs="Arial"/>
          <w:sz w:val="22"/>
          <w:szCs w:val="22"/>
        </w:rPr>
      </w:pPr>
      <w:r w:rsidRPr="006C4760">
        <w:rPr>
          <w:rFonts w:ascii="Arial" w:hAnsi="Arial" w:cs="Arial"/>
          <w:sz w:val="22"/>
          <w:szCs w:val="22"/>
        </w:rPr>
        <w:t>This condition has previously been cleared, however details since have changed.</w:t>
      </w:r>
      <w:r w:rsidR="00816F13">
        <w:rPr>
          <w:rFonts w:ascii="Arial" w:hAnsi="Arial" w:cs="Arial"/>
          <w:sz w:val="22"/>
          <w:szCs w:val="22"/>
        </w:rPr>
        <w:t xml:space="preserve"> Details include the slight reduction in land that is to be dedicated as public highway to Oxfordshire County Council and the illustration of a 3m wide access strip from S278 entrance to the retaining wall as requested by Oxfordshire County Council.</w:t>
      </w:r>
    </w:p>
    <w:p w:rsidR="006C4760" w:rsidRDefault="006C4760" w:rsidP="00E60290">
      <w:pPr>
        <w:tabs>
          <w:tab w:val="left" w:pos="6480"/>
        </w:tabs>
        <w:ind w:left="426"/>
        <w:jc w:val="both"/>
        <w:rPr>
          <w:rFonts w:ascii="Arial" w:hAnsi="Arial" w:cs="Arial"/>
          <w:sz w:val="22"/>
          <w:szCs w:val="22"/>
        </w:rPr>
      </w:pPr>
    </w:p>
    <w:p w:rsidR="006C4760" w:rsidRPr="00E60290" w:rsidRDefault="006C4760" w:rsidP="006C4760">
      <w:pPr>
        <w:tabs>
          <w:tab w:val="left" w:pos="6480"/>
        </w:tabs>
        <w:ind w:left="426"/>
        <w:jc w:val="both"/>
        <w:rPr>
          <w:rFonts w:ascii="Arial" w:hAnsi="Arial" w:cs="Arial"/>
          <w:sz w:val="22"/>
          <w:szCs w:val="22"/>
        </w:rPr>
      </w:pPr>
      <w:r>
        <w:rPr>
          <w:rFonts w:ascii="Arial" w:hAnsi="Arial" w:cs="Arial"/>
          <w:sz w:val="22"/>
          <w:szCs w:val="22"/>
        </w:rPr>
        <w:t>The County Highway Officer confirmed on 05 February 2016 that there are no objections to the proposals submitted for the discharge of condition 60.</w:t>
      </w:r>
    </w:p>
    <w:p w:rsidR="00654DC6" w:rsidRDefault="00654DC6" w:rsidP="00467D08">
      <w:pPr>
        <w:tabs>
          <w:tab w:val="left" w:pos="6480"/>
        </w:tabs>
        <w:jc w:val="both"/>
        <w:rPr>
          <w:rFonts w:ascii="Arial" w:hAnsi="Arial" w:cs="Arial"/>
          <w:b/>
          <w:sz w:val="22"/>
          <w:szCs w:val="22"/>
        </w:rPr>
      </w:pPr>
      <w:r>
        <w:rPr>
          <w:rFonts w:ascii="Arial" w:hAnsi="Arial" w:cs="Arial"/>
          <w:b/>
          <w:sz w:val="22"/>
          <w:szCs w:val="22"/>
        </w:rPr>
        <w:tab/>
      </w:r>
    </w:p>
    <w:p w:rsidR="0032279D" w:rsidRPr="007534A2" w:rsidRDefault="0032279D" w:rsidP="006C4760">
      <w:pPr>
        <w:tabs>
          <w:tab w:val="left" w:pos="567"/>
        </w:tabs>
        <w:jc w:val="both"/>
        <w:rPr>
          <w:rFonts w:ascii="Arial" w:hAnsi="Arial" w:cs="Arial"/>
          <w:sz w:val="22"/>
          <w:szCs w:val="22"/>
        </w:rPr>
      </w:pPr>
    </w:p>
    <w:p w:rsidR="00E56EB3" w:rsidRPr="00A64752"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p>
    <w:p w:rsidR="0034682D" w:rsidRPr="00A64752" w:rsidRDefault="0034682D" w:rsidP="0034682D">
      <w:pPr>
        <w:widowControl w:val="0"/>
        <w:autoSpaceDE w:val="0"/>
        <w:autoSpaceDN w:val="0"/>
        <w:jc w:val="both"/>
        <w:rPr>
          <w:rFonts w:ascii="Arial" w:hAnsi="Arial" w:cs="Arial"/>
          <w:sz w:val="22"/>
          <w:szCs w:val="22"/>
        </w:rPr>
      </w:pPr>
    </w:p>
    <w:p w:rsidR="00E34DE8" w:rsidRDefault="006C4760" w:rsidP="006C4760">
      <w:pPr>
        <w:tabs>
          <w:tab w:val="center" w:pos="4680"/>
          <w:tab w:val="right" w:pos="9360"/>
        </w:tabs>
        <w:ind w:left="360"/>
        <w:jc w:val="both"/>
        <w:rPr>
          <w:rFonts w:ascii="Arial" w:hAnsi="Arial" w:cs="Arial"/>
          <w:bCs/>
          <w:sz w:val="22"/>
          <w:szCs w:val="22"/>
        </w:rPr>
      </w:pPr>
      <w:r w:rsidRPr="009B2D5F">
        <w:rPr>
          <w:rFonts w:ascii="Arial" w:hAnsi="Arial" w:cs="Arial"/>
          <w:bCs/>
          <w:sz w:val="22"/>
          <w:szCs w:val="22"/>
        </w:rPr>
        <w:t xml:space="preserve">The Local Planning Authority considers that the details submitted pursuant to Condition </w:t>
      </w:r>
      <w:r>
        <w:rPr>
          <w:rFonts w:ascii="Arial" w:hAnsi="Arial" w:cs="Arial"/>
          <w:bCs/>
          <w:sz w:val="22"/>
          <w:szCs w:val="22"/>
        </w:rPr>
        <w:t>60</w:t>
      </w:r>
      <w:r w:rsidRPr="009B2D5F">
        <w:rPr>
          <w:rFonts w:ascii="Arial" w:hAnsi="Arial" w:cs="Arial"/>
          <w:bCs/>
          <w:sz w:val="22"/>
          <w:szCs w:val="22"/>
        </w:rPr>
        <w:t xml:space="preserve"> of planning permission </w:t>
      </w:r>
      <w:r>
        <w:rPr>
          <w:rFonts w:ascii="Arial" w:hAnsi="Arial" w:cs="Arial"/>
          <w:bCs/>
          <w:sz w:val="22"/>
          <w:szCs w:val="22"/>
        </w:rPr>
        <w:t>10/01780/HYBRID</w:t>
      </w:r>
      <w:r w:rsidRPr="009B2D5F">
        <w:rPr>
          <w:rFonts w:ascii="Arial" w:hAnsi="Arial" w:cs="Arial"/>
          <w:bCs/>
          <w:sz w:val="22"/>
          <w:szCs w:val="22"/>
        </w:rPr>
        <w:t xml:space="preserve"> are acceptable, and as such it is recommended that the said Condition is</w:t>
      </w:r>
      <w:r>
        <w:rPr>
          <w:rFonts w:ascii="Arial" w:hAnsi="Arial" w:cs="Arial"/>
          <w:bCs/>
          <w:sz w:val="22"/>
          <w:szCs w:val="22"/>
        </w:rPr>
        <w:t xml:space="preserve"> </w:t>
      </w:r>
      <w:r w:rsidRPr="0071601C">
        <w:rPr>
          <w:rFonts w:ascii="Arial" w:hAnsi="Arial" w:cs="Arial"/>
          <w:bCs/>
          <w:sz w:val="22"/>
          <w:szCs w:val="22"/>
        </w:rPr>
        <w:t>partially</w:t>
      </w:r>
      <w:r>
        <w:rPr>
          <w:rFonts w:ascii="Arial" w:hAnsi="Arial" w:cs="Arial"/>
          <w:bCs/>
          <w:sz w:val="22"/>
          <w:szCs w:val="22"/>
        </w:rPr>
        <w:t xml:space="preserve"> </w:t>
      </w:r>
      <w:r w:rsidRPr="009B2D5F">
        <w:rPr>
          <w:rFonts w:ascii="Arial" w:hAnsi="Arial" w:cs="Arial"/>
          <w:bCs/>
          <w:sz w:val="22"/>
          <w:szCs w:val="22"/>
        </w:rPr>
        <w:t>discharged.</w:t>
      </w:r>
    </w:p>
    <w:p w:rsidR="006C4760" w:rsidRPr="00A64752" w:rsidRDefault="006C4760" w:rsidP="006C4760">
      <w:pPr>
        <w:tabs>
          <w:tab w:val="center" w:pos="4680"/>
          <w:tab w:val="right" w:pos="9360"/>
        </w:tabs>
        <w:ind w:left="360"/>
        <w:jc w:val="both"/>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Leanne Turner</w:t>
      </w:r>
      <w:r w:rsidR="0019459F" w:rsidRPr="00A64752">
        <w:rPr>
          <w:rFonts w:ascii="Arial" w:hAnsi="Arial" w:cs="Arial"/>
          <w:sz w:val="22"/>
          <w:szCs w:val="22"/>
        </w:rPr>
        <w:tab/>
      </w:r>
      <w:r w:rsidR="0019459F" w:rsidRPr="00A64752">
        <w:rPr>
          <w:rFonts w:ascii="Arial" w:hAnsi="Arial" w:cs="Arial"/>
          <w:sz w:val="22"/>
          <w:szCs w:val="22"/>
        </w:rPr>
        <w:tab/>
        <w:t xml:space="preserve">DATED: </w:t>
      </w:r>
      <w:r w:rsidR="00816F13">
        <w:rPr>
          <w:rFonts w:ascii="Arial" w:hAnsi="Arial" w:cs="Arial"/>
          <w:sz w:val="22"/>
          <w:szCs w:val="22"/>
        </w:rPr>
        <w:t>26</w:t>
      </w:r>
      <w:r w:rsidR="0019459F" w:rsidRPr="00A64752">
        <w:rPr>
          <w:rFonts w:ascii="Arial" w:hAnsi="Arial" w:cs="Arial"/>
          <w:sz w:val="22"/>
          <w:szCs w:val="22"/>
        </w:rPr>
        <w:t xml:space="preserve"> February 2016</w:t>
      </w:r>
    </w:p>
    <w:p w:rsidR="0017519D" w:rsidRDefault="0017519D" w:rsidP="0019459F">
      <w:pPr>
        <w:jc w:val="both"/>
        <w:rPr>
          <w:rFonts w:ascii="Arial" w:hAnsi="Arial" w:cs="Arial"/>
          <w:sz w:val="22"/>
          <w:szCs w:val="22"/>
        </w:rPr>
      </w:pPr>
    </w:p>
    <w:p w:rsidR="0017519D" w:rsidRPr="00A64752" w:rsidRDefault="0017519D" w:rsidP="0019459F">
      <w:pPr>
        <w:jc w:val="both"/>
        <w:rPr>
          <w:rFonts w:ascii="Arial" w:hAnsi="Arial" w:cs="Arial"/>
          <w:sz w:val="22"/>
          <w:szCs w:val="22"/>
        </w:rPr>
      </w:pPr>
      <w:bookmarkStart w:id="0" w:name="_GoBack"/>
      <w:bookmarkEnd w:id="0"/>
    </w:p>
    <w:sectPr w:rsidR="0017519D" w:rsidRPr="00A64752"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654DC6"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14:anchorId="352BEEDD" wp14:editId="7177710B">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Bicester Eco Town Exemplar Site</w:t>
          </w:r>
        </w:p>
        <w:p w:rsidR="008A6B7C" w:rsidRDefault="008A6B7C" w:rsidP="00001C4A">
          <w:pPr>
            <w:spacing w:after="0"/>
            <w:jc w:val="both"/>
            <w:rPr>
              <w:rFonts w:ascii="Arial" w:hAnsi="Arial" w:cs="Arial"/>
              <w:sz w:val="22"/>
              <w:szCs w:val="22"/>
            </w:rPr>
          </w:pPr>
          <w:r w:rsidRPr="00BB5D30">
            <w:rPr>
              <w:rFonts w:ascii="Arial" w:hAnsi="Arial" w:cs="Arial"/>
              <w:sz w:val="22"/>
              <w:szCs w:val="22"/>
            </w:rPr>
            <w:t>Banbury Road</w:t>
          </w:r>
          <w:r w:rsidR="0017519D">
            <w:rPr>
              <w:rFonts w:ascii="Arial" w:hAnsi="Arial" w:cs="Arial"/>
              <w:sz w:val="22"/>
              <w:szCs w:val="22"/>
            </w:rPr>
            <w:t xml:space="preserve">, </w:t>
          </w:r>
          <w:r w:rsidRPr="00BB5D30">
            <w:rPr>
              <w:rFonts w:ascii="Arial" w:hAnsi="Arial" w:cs="Arial"/>
              <w:sz w:val="22"/>
              <w:szCs w:val="22"/>
            </w:rPr>
            <w:t>Bicester</w:t>
          </w:r>
          <w:r w:rsidR="0017519D">
            <w:rPr>
              <w:rFonts w:ascii="Arial" w:hAnsi="Arial" w:cs="Arial"/>
              <w:sz w:val="22"/>
              <w:szCs w:val="22"/>
            </w:rPr>
            <w:t xml:space="preserve">, </w:t>
          </w:r>
          <w:r w:rsidRPr="00BB5D30">
            <w:rPr>
              <w:rFonts w:ascii="Arial" w:hAnsi="Arial" w:cs="Arial"/>
              <w:sz w:val="22"/>
              <w:szCs w:val="22"/>
            </w:rPr>
            <w:t>Oxfordshire</w:t>
          </w:r>
        </w:p>
        <w:p w:rsidR="008A6B7C" w:rsidRPr="00E34DE8" w:rsidRDefault="008A6B7C" w:rsidP="00001C4A">
          <w:pPr>
            <w:tabs>
              <w:tab w:val="left" w:pos="6480"/>
            </w:tabs>
            <w:spacing w:after="0"/>
            <w:rPr>
              <w:rFonts w:ascii="Arial" w:hAnsi="Arial" w:cs="Arial"/>
              <w:b/>
              <w:sz w:val="22"/>
              <w:szCs w:val="22"/>
            </w:rPr>
          </w:pP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15/00535/DISC</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Leanne Turner</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4A1E35">
      <w:trPr>
        <w:trHeight w:val="567"/>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A2 Dominion Group Ltd</w:t>
          </w:r>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Partial discharge of Condition 60 (adoptable highways) of 10/01780/HYBRID</w:t>
          </w:r>
        </w:p>
      </w:tc>
    </w:tr>
    <w:tr w:rsidR="008A6B7C" w:rsidTr="00B67EFD">
      <w:trPr>
        <w:trHeight w:val="567"/>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3">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5">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5AD7349B"/>
    <w:multiLevelType w:val="multilevel"/>
    <w:tmpl w:val="57081F16"/>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DC764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0"/>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9"/>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463A3"/>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19D"/>
    <w:rsid w:val="00175CAE"/>
    <w:rsid w:val="0018308A"/>
    <w:rsid w:val="0018664C"/>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2596"/>
    <w:rsid w:val="002D5911"/>
    <w:rsid w:val="002E35F7"/>
    <w:rsid w:val="002F2C57"/>
    <w:rsid w:val="00301E60"/>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31430"/>
    <w:rsid w:val="00531FEA"/>
    <w:rsid w:val="00541ED2"/>
    <w:rsid w:val="0056684C"/>
    <w:rsid w:val="00586288"/>
    <w:rsid w:val="005872BF"/>
    <w:rsid w:val="005B79C5"/>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4DC6"/>
    <w:rsid w:val="00657A35"/>
    <w:rsid w:val="00661314"/>
    <w:rsid w:val="00665479"/>
    <w:rsid w:val="00687F20"/>
    <w:rsid w:val="00691748"/>
    <w:rsid w:val="006A25DF"/>
    <w:rsid w:val="006A294B"/>
    <w:rsid w:val="006A3A26"/>
    <w:rsid w:val="006A48C5"/>
    <w:rsid w:val="006A6B28"/>
    <w:rsid w:val="006C4760"/>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6F13"/>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71164"/>
    <w:rsid w:val="00984781"/>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41752"/>
    <w:rsid w:val="00A4183C"/>
    <w:rsid w:val="00A43FB5"/>
    <w:rsid w:val="00A47884"/>
    <w:rsid w:val="00A51AAE"/>
    <w:rsid w:val="00A51D19"/>
    <w:rsid w:val="00A5293B"/>
    <w:rsid w:val="00A63B22"/>
    <w:rsid w:val="00A64752"/>
    <w:rsid w:val="00A74B28"/>
    <w:rsid w:val="00A76D1F"/>
    <w:rsid w:val="00A9003C"/>
    <w:rsid w:val="00A913FC"/>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71DB"/>
    <w:rsid w:val="00D3040C"/>
    <w:rsid w:val="00D41A65"/>
    <w:rsid w:val="00D4712E"/>
    <w:rsid w:val="00D51EA0"/>
    <w:rsid w:val="00D56DAE"/>
    <w:rsid w:val="00D649CF"/>
    <w:rsid w:val="00D65BB5"/>
    <w:rsid w:val="00D762EE"/>
    <w:rsid w:val="00D96E9D"/>
    <w:rsid w:val="00DA0A06"/>
    <w:rsid w:val="00DB1DAA"/>
    <w:rsid w:val="00DB7700"/>
    <w:rsid w:val="00DC5906"/>
    <w:rsid w:val="00DD0DA3"/>
    <w:rsid w:val="00DE1CB9"/>
    <w:rsid w:val="00DF74F7"/>
    <w:rsid w:val="00E109BB"/>
    <w:rsid w:val="00E2356A"/>
    <w:rsid w:val="00E24462"/>
    <w:rsid w:val="00E33344"/>
    <w:rsid w:val="00E34DE8"/>
    <w:rsid w:val="00E40337"/>
    <w:rsid w:val="00E51C4D"/>
    <w:rsid w:val="00E56EB3"/>
    <w:rsid w:val="00E60290"/>
    <w:rsid w:val="00E717B8"/>
    <w:rsid w:val="00E8399D"/>
    <w:rsid w:val="00E8522C"/>
    <w:rsid w:val="00E8654C"/>
    <w:rsid w:val="00E92B0A"/>
    <w:rsid w:val="00E93EDB"/>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5041">
      <w:marLeft w:val="0"/>
      <w:marRight w:val="0"/>
      <w:marTop w:val="0"/>
      <w:marBottom w:val="0"/>
      <w:divBdr>
        <w:top w:val="none" w:sz="0" w:space="0" w:color="auto"/>
        <w:left w:val="none" w:sz="0" w:space="0" w:color="auto"/>
        <w:bottom w:val="none" w:sz="0" w:space="0" w:color="auto"/>
        <w:right w:val="none" w:sz="0" w:space="0" w:color="auto"/>
      </w:divBdr>
    </w:div>
    <w:div w:id="1926575042">
      <w:marLeft w:val="0"/>
      <w:marRight w:val="0"/>
      <w:marTop w:val="0"/>
      <w:marBottom w:val="0"/>
      <w:divBdr>
        <w:top w:val="none" w:sz="0" w:space="0" w:color="auto"/>
        <w:left w:val="none" w:sz="0" w:space="0" w:color="auto"/>
        <w:bottom w:val="none" w:sz="0" w:space="0" w:color="auto"/>
        <w:right w:val="none" w:sz="0" w:space="0" w:color="auto"/>
      </w:divBdr>
    </w:div>
    <w:div w:id="1926575043">
      <w:marLeft w:val="0"/>
      <w:marRight w:val="0"/>
      <w:marTop w:val="0"/>
      <w:marBottom w:val="0"/>
      <w:divBdr>
        <w:top w:val="none" w:sz="0" w:space="0" w:color="auto"/>
        <w:left w:val="none" w:sz="0" w:space="0" w:color="auto"/>
        <w:bottom w:val="none" w:sz="0" w:space="0" w:color="auto"/>
        <w:right w:val="none" w:sz="0" w:space="0" w:color="auto"/>
      </w:divBdr>
    </w:div>
    <w:div w:id="1926575044">
      <w:marLeft w:val="0"/>
      <w:marRight w:val="0"/>
      <w:marTop w:val="0"/>
      <w:marBottom w:val="0"/>
      <w:divBdr>
        <w:top w:val="none" w:sz="0" w:space="0" w:color="auto"/>
        <w:left w:val="none" w:sz="0" w:space="0" w:color="auto"/>
        <w:bottom w:val="none" w:sz="0" w:space="0" w:color="auto"/>
        <w:right w:val="none" w:sz="0" w:space="0" w:color="auto"/>
      </w:divBdr>
    </w:div>
    <w:div w:id="1926575045">
      <w:marLeft w:val="0"/>
      <w:marRight w:val="0"/>
      <w:marTop w:val="0"/>
      <w:marBottom w:val="0"/>
      <w:divBdr>
        <w:top w:val="none" w:sz="0" w:space="0" w:color="auto"/>
        <w:left w:val="none" w:sz="0" w:space="0" w:color="auto"/>
        <w:bottom w:val="none" w:sz="0" w:space="0" w:color="auto"/>
        <w:right w:val="none" w:sz="0" w:space="0" w:color="auto"/>
      </w:divBdr>
    </w:div>
    <w:div w:id="1926575046">
      <w:marLeft w:val="0"/>
      <w:marRight w:val="0"/>
      <w:marTop w:val="0"/>
      <w:marBottom w:val="0"/>
      <w:divBdr>
        <w:top w:val="none" w:sz="0" w:space="0" w:color="auto"/>
        <w:left w:val="none" w:sz="0" w:space="0" w:color="auto"/>
        <w:bottom w:val="none" w:sz="0" w:space="0" w:color="auto"/>
        <w:right w:val="none" w:sz="0" w:space="0" w:color="auto"/>
      </w:divBdr>
    </w:div>
    <w:div w:id="1926575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Andrew Wynne</cp:lastModifiedBy>
  <cp:revision>2</cp:revision>
  <cp:lastPrinted>2012-07-19T10:56:00Z</cp:lastPrinted>
  <dcterms:created xsi:type="dcterms:W3CDTF">2016-03-07T12:25:00Z</dcterms:created>
  <dcterms:modified xsi:type="dcterms:W3CDTF">2016-03-07T12:25:00Z</dcterms:modified>
</cp:coreProperties>
</file>