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58" w:rsidRDefault="00267758" w:rsidP="0026775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Lewis Knight (Bioregional)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29 April 2016 09:05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Leanne Turner</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Caroline Ford; Nicole Lazarus; Douglas </w:t>
      </w:r>
      <w:proofErr w:type="spellStart"/>
      <w:r>
        <w:rPr>
          <w:rFonts w:ascii="Tahoma" w:hAnsi="Tahoma" w:cs="Tahoma"/>
          <w:sz w:val="20"/>
          <w:szCs w:val="20"/>
          <w:lang w:val="en-US" w:eastAsia="en-GB"/>
        </w:rPr>
        <w:t>Drewniak</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NW Bicester Exemplar, Phase 2: Condition 10: Overheating</w:t>
      </w:r>
    </w:p>
    <w:p w:rsidR="00267758" w:rsidRDefault="00267758" w:rsidP="00267758"/>
    <w:p w:rsidR="00267758" w:rsidRDefault="00267758" w:rsidP="00267758">
      <w:pPr>
        <w:rPr>
          <w:rFonts w:ascii="Verdana" w:hAnsi="Verdana"/>
          <w:sz w:val="20"/>
          <w:szCs w:val="20"/>
        </w:rPr>
      </w:pPr>
      <w:r>
        <w:rPr>
          <w:rFonts w:ascii="Verdana" w:hAnsi="Verdana"/>
          <w:sz w:val="20"/>
          <w:szCs w:val="20"/>
        </w:rPr>
        <w:t>Hi Leanne,</w:t>
      </w:r>
    </w:p>
    <w:p w:rsidR="00267758" w:rsidRDefault="00267758" w:rsidP="00267758">
      <w:pPr>
        <w:rPr>
          <w:rFonts w:ascii="Verdana" w:hAnsi="Verdana"/>
          <w:sz w:val="20"/>
          <w:szCs w:val="20"/>
        </w:rPr>
      </w:pPr>
    </w:p>
    <w:p w:rsidR="00267758" w:rsidRDefault="00267758" w:rsidP="00267758">
      <w:pPr>
        <w:rPr>
          <w:rFonts w:ascii="Verdana" w:hAnsi="Verdana"/>
          <w:sz w:val="20"/>
          <w:szCs w:val="20"/>
        </w:rPr>
      </w:pPr>
      <w:r>
        <w:rPr>
          <w:rFonts w:ascii="Verdana" w:hAnsi="Verdana"/>
          <w:color w:val="1F497D"/>
          <w:sz w:val="20"/>
          <w:szCs w:val="20"/>
        </w:rPr>
        <w:t>P</w:t>
      </w:r>
      <w:r>
        <w:rPr>
          <w:rFonts w:ascii="Verdana" w:hAnsi="Verdana"/>
          <w:sz w:val="20"/>
          <w:szCs w:val="20"/>
        </w:rPr>
        <w:t>lease find our comments on condition 10: Overheating (phase 2: Exemplar).</w:t>
      </w:r>
    </w:p>
    <w:p w:rsidR="00267758" w:rsidRDefault="00267758" w:rsidP="00267758">
      <w:pPr>
        <w:rPr>
          <w:rFonts w:ascii="Verdana" w:hAnsi="Verdana"/>
          <w:sz w:val="20"/>
          <w:szCs w:val="20"/>
        </w:rPr>
      </w:pPr>
    </w:p>
    <w:p w:rsidR="00267758" w:rsidRDefault="00267758" w:rsidP="00267758">
      <w:pPr>
        <w:pStyle w:val="ListParagraph"/>
        <w:ind w:hanging="360"/>
        <w:rPr>
          <w:rFonts w:ascii="Verdana" w:hAnsi="Verdana"/>
          <w:sz w:val="20"/>
          <w:szCs w:val="20"/>
        </w:rPr>
      </w:pPr>
      <w:r>
        <w:rPr>
          <w:rFonts w:ascii="Verdana" w:hAnsi="Verdana"/>
          <w:sz w:val="20"/>
          <w:szCs w:val="20"/>
        </w:rPr>
        <w:t>1.</w:t>
      </w:r>
      <w:r>
        <w:rPr>
          <w:rFonts w:ascii="Times New Roman" w:hAnsi="Times New Roman" w:cs="Times New Roman"/>
          <w:sz w:val="14"/>
          <w:szCs w:val="14"/>
        </w:rPr>
        <w:t xml:space="preserve">    </w:t>
      </w:r>
      <w:r>
        <w:rPr>
          <w:rFonts w:ascii="Verdana" w:hAnsi="Verdana"/>
          <w:sz w:val="20"/>
          <w:szCs w:val="20"/>
        </w:rPr>
        <w:t xml:space="preserve">Under section 2.5 Ventilation, what is meant by ‘95% of the window open while night time’? Is it realistic to expect residents to have to open their windows </w:t>
      </w:r>
      <w:r>
        <w:rPr>
          <w:rFonts w:ascii="Verdana" w:hAnsi="Verdana"/>
          <w:i/>
          <w:iCs/>
          <w:sz w:val="20"/>
          <w:szCs w:val="20"/>
        </w:rPr>
        <w:t>almost</w:t>
      </w:r>
      <w:r>
        <w:rPr>
          <w:rFonts w:ascii="Verdana" w:hAnsi="Verdana"/>
          <w:sz w:val="20"/>
          <w:szCs w:val="20"/>
        </w:rPr>
        <w:t xml:space="preserve"> as wide as they can go to achieve night-time cooling? Will residents perceive this as a security risk? </w:t>
      </w:r>
    </w:p>
    <w:p w:rsidR="00267758" w:rsidRDefault="00267758" w:rsidP="00267758">
      <w:pPr>
        <w:pStyle w:val="ListParagraph"/>
        <w:ind w:hanging="360"/>
        <w:rPr>
          <w:rFonts w:ascii="Verdana" w:hAnsi="Verdana"/>
          <w:sz w:val="20"/>
          <w:szCs w:val="20"/>
        </w:rPr>
      </w:pPr>
      <w:r>
        <w:rPr>
          <w:rFonts w:ascii="Verdana" w:hAnsi="Verdana"/>
          <w:sz w:val="20"/>
          <w:szCs w:val="20"/>
        </w:rPr>
        <w:t>2.</w:t>
      </w:r>
      <w:r>
        <w:rPr>
          <w:rFonts w:ascii="Times New Roman" w:hAnsi="Times New Roman" w:cs="Times New Roman"/>
          <w:sz w:val="14"/>
          <w:szCs w:val="14"/>
        </w:rPr>
        <w:t xml:space="preserve">    </w:t>
      </w:r>
      <w:r>
        <w:rPr>
          <w:rFonts w:ascii="Verdana" w:hAnsi="Verdana"/>
          <w:sz w:val="20"/>
          <w:szCs w:val="20"/>
        </w:rPr>
        <w:t xml:space="preserve">Under section 2.4 Internal </w:t>
      </w:r>
      <w:proofErr w:type="gramStart"/>
      <w:r>
        <w:rPr>
          <w:rFonts w:ascii="Verdana" w:hAnsi="Verdana"/>
          <w:sz w:val="20"/>
          <w:szCs w:val="20"/>
        </w:rPr>
        <w:t>Gains,</w:t>
      </w:r>
      <w:proofErr w:type="gramEnd"/>
      <w:r>
        <w:rPr>
          <w:rFonts w:ascii="Verdana" w:hAnsi="Verdana"/>
          <w:sz w:val="20"/>
          <w:szCs w:val="20"/>
        </w:rPr>
        <w:t xml:space="preserve"> there are differences between the figures and units used in Phase 1 overheating analysis and for phase 2. These are outlined below. What is the reasoning for this and what implications does this have on the modelling.  </w:t>
      </w:r>
    </w:p>
    <w:p w:rsidR="00267758" w:rsidRDefault="00267758" w:rsidP="00267758">
      <w:pPr>
        <w:pStyle w:val="ListParagraph"/>
        <w:ind w:left="1440" w:hanging="360"/>
        <w:rPr>
          <w:rFonts w:ascii="Verdana" w:hAnsi="Verdana"/>
          <w:sz w:val="20"/>
          <w:szCs w:val="20"/>
        </w:rPr>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Dining/Kitchen: Occupancy gains (W/person) Sensible</w:t>
      </w:r>
    </w:p>
    <w:p w:rsidR="00267758" w:rsidRDefault="00267758" w:rsidP="00267758">
      <w:pPr>
        <w:pStyle w:val="ListParagraph"/>
        <w:ind w:left="1440" w:hanging="360"/>
        <w:rPr>
          <w:rFonts w:ascii="Verdana" w:hAnsi="Verdana"/>
          <w:sz w:val="20"/>
          <w:szCs w:val="20"/>
        </w:rPr>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Dining/Kitchen: Occupancy gains (W/person) Latent</w:t>
      </w:r>
    </w:p>
    <w:p w:rsidR="00267758" w:rsidRDefault="00267758" w:rsidP="00267758">
      <w:pPr>
        <w:pStyle w:val="ListParagraph"/>
        <w:ind w:left="1440" w:hanging="360"/>
        <w:rPr>
          <w:rFonts w:ascii="Verdana" w:hAnsi="Verdana"/>
          <w:sz w:val="20"/>
          <w:szCs w:val="20"/>
        </w:rPr>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 xml:space="preserve">Bathroom: Occupancy gains (W/person) Sensible </w:t>
      </w:r>
    </w:p>
    <w:p w:rsidR="00267758" w:rsidRDefault="00267758" w:rsidP="00267758">
      <w:pPr>
        <w:pStyle w:val="ListParagraph"/>
        <w:ind w:left="1440" w:hanging="360"/>
        <w:rPr>
          <w:rFonts w:ascii="Verdana" w:hAnsi="Verdana"/>
          <w:sz w:val="20"/>
          <w:szCs w:val="20"/>
        </w:rPr>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Bathroom: Occupancy gains (W/person) Latent</w:t>
      </w:r>
    </w:p>
    <w:p w:rsidR="00267758" w:rsidRDefault="00267758" w:rsidP="00267758">
      <w:pPr>
        <w:pStyle w:val="ListParagraph"/>
        <w:ind w:left="1440" w:hanging="360"/>
        <w:rPr>
          <w:rFonts w:ascii="Verdana" w:hAnsi="Verdana"/>
          <w:sz w:val="20"/>
          <w:szCs w:val="20"/>
        </w:rPr>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Bathroom: Equipment gains (W/m3) Sensible</w:t>
      </w:r>
    </w:p>
    <w:p w:rsidR="00267758" w:rsidRDefault="00267758" w:rsidP="00267758">
      <w:pPr>
        <w:pStyle w:val="ListParagraph"/>
        <w:ind w:left="1440" w:hanging="360"/>
        <w:rPr>
          <w:rFonts w:ascii="Verdana" w:hAnsi="Verdana"/>
          <w:sz w:val="20"/>
          <w:szCs w:val="20"/>
        </w:rPr>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 Bathroom: Equipment gains (W/m3) Latent</w:t>
      </w:r>
    </w:p>
    <w:p w:rsidR="00267758" w:rsidRDefault="00267758" w:rsidP="00267758">
      <w:pPr>
        <w:pStyle w:val="ListParagraph"/>
        <w:ind w:left="1440" w:hanging="360"/>
        <w:rPr>
          <w:rFonts w:ascii="Verdana" w:hAnsi="Verdana"/>
          <w:sz w:val="20"/>
          <w:szCs w:val="20"/>
        </w:rPr>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Bedroom: Occupancy gains (W/person) Sensible</w:t>
      </w:r>
    </w:p>
    <w:p w:rsidR="00267758" w:rsidRDefault="00267758" w:rsidP="00267758">
      <w:pPr>
        <w:pStyle w:val="ListParagraph"/>
        <w:ind w:left="1440" w:hanging="360"/>
        <w:rPr>
          <w:rFonts w:ascii="Verdana" w:hAnsi="Verdana"/>
          <w:sz w:val="20"/>
          <w:szCs w:val="20"/>
        </w:rPr>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Bedroom: Occupancy gains (W/person) Latent</w:t>
      </w:r>
    </w:p>
    <w:p w:rsidR="00267758" w:rsidRDefault="00267758" w:rsidP="00267758">
      <w:pPr>
        <w:pStyle w:val="ListParagraph"/>
        <w:ind w:left="1440" w:hanging="360"/>
        <w:rPr>
          <w:rFonts w:ascii="Verdana" w:hAnsi="Verdana"/>
          <w:sz w:val="20"/>
          <w:szCs w:val="20"/>
        </w:rPr>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Bedroom: Equipment gains (W/m3) Sensible</w:t>
      </w:r>
    </w:p>
    <w:p w:rsidR="00267758" w:rsidRDefault="00267758" w:rsidP="00267758">
      <w:pPr>
        <w:pStyle w:val="ListParagraph"/>
        <w:ind w:left="1440" w:hanging="360"/>
        <w:rPr>
          <w:rFonts w:ascii="Verdana" w:hAnsi="Verdana"/>
          <w:sz w:val="20"/>
          <w:szCs w:val="20"/>
        </w:rPr>
      </w:pPr>
      <w:proofErr w:type="gramStart"/>
      <w:r>
        <w:rPr>
          <w:rFonts w:ascii="Courier New" w:hAnsi="Courier New" w:cs="Courier New"/>
          <w:sz w:val="20"/>
          <w:szCs w:val="20"/>
        </w:rPr>
        <w:t>o</w:t>
      </w:r>
      <w:proofErr w:type="gramEnd"/>
      <w:r>
        <w:rPr>
          <w:rFonts w:ascii="Times New Roman" w:hAnsi="Times New Roman" w:cs="Times New Roman"/>
          <w:sz w:val="14"/>
          <w:szCs w:val="14"/>
        </w:rPr>
        <w:t xml:space="preserve">    </w:t>
      </w:r>
      <w:r>
        <w:rPr>
          <w:rFonts w:ascii="Verdana" w:hAnsi="Verdana"/>
          <w:sz w:val="20"/>
          <w:szCs w:val="20"/>
        </w:rPr>
        <w:t> Bedroom: Equipment gains (W/m3) Latent</w:t>
      </w:r>
    </w:p>
    <w:p w:rsidR="00267758" w:rsidRDefault="00267758" w:rsidP="00267758">
      <w:pPr>
        <w:pStyle w:val="ListParagraph"/>
        <w:ind w:hanging="360"/>
        <w:rPr>
          <w:rFonts w:ascii="Verdana" w:hAnsi="Verdana"/>
          <w:sz w:val="20"/>
          <w:szCs w:val="20"/>
        </w:rPr>
      </w:pPr>
      <w:r>
        <w:rPr>
          <w:rFonts w:ascii="Verdana" w:hAnsi="Verdana"/>
          <w:sz w:val="20"/>
          <w:szCs w:val="20"/>
        </w:rPr>
        <w:t>3.</w:t>
      </w:r>
      <w:r>
        <w:rPr>
          <w:rFonts w:ascii="Times New Roman" w:hAnsi="Times New Roman" w:cs="Times New Roman"/>
          <w:sz w:val="14"/>
          <w:szCs w:val="14"/>
        </w:rPr>
        <w:t xml:space="preserve">    </w:t>
      </w:r>
      <w:r>
        <w:rPr>
          <w:rFonts w:ascii="Verdana" w:hAnsi="Verdana"/>
          <w:sz w:val="20"/>
          <w:szCs w:val="20"/>
        </w:rPr>
        <w:t xml:space="preserve">Has the introduction of the spandrel panel and the overhang been modelled within the phase 2 </w:t>
      </w:r>
      <w:proofErr w:type="spellStart"/>
      <w:r>
        <w:rPr>
          <w:rFonts w:ascii="Verdana" w:hAnsi="Verdana"/>
          <w:sz w:val="20"/>
          <w:szCs w:val="20"/>
        </w:rPr>
        <w:t>daylighting</w:t>
      </w:r>
      <w:proofErr w:type="spellEnd"/>
      <w:r>
        <w:rPr>
          <w:rFonts w:ascii="Verdana" w:hAnsi="Verdana"/>
          <w:sz w:val="20"/>
          <w:szCs w:val="20"/>
        </w:rPr>
        <w:t xml:space="preserve"> analysis (condition </w:t>
      </w:r>
      <w:proofErr w:type="gramStart"/>
      <w:r>
        <w:rPr>
          <w:rFonts w:ascii="Verdana" w:hAnsi="Verdana"/>
          <w:sz w:val="20"/>
          <w:szCs w:val="20"/>
        </w:rPr>
        <w:t>8</w:t>
      </w:r>
      <w:proofErr w:type="gramEnd"/>
      <w:r>
        <w:rPr>
          <w:rFonts w:ascii="Verdana" w:hAnsi="Verdana"/>
          <w:sz w:val="20"/>
          <w:szCs w:val="20"/>
        </w:rPr>
        <w:t>)</w:t>
      </w:r>
    </w:p>
    <w:p w:rsidR="00267758" w:rsidRDefault="00267758" w:rsidP="00267758">
      <w:pPr>
        <w:pStyle w:val="ListParagraph"/>
        <w:ind w:hanging="360"/>
        <w:rPr>
          <w:rFonts w:ascii="Verdana" w:hAnsi="Verdana"/>
          <w:sz w:val="20"/>
          <w:szCs w:val="20"/>
        </w:rPr>
      </w:pPr>
      <w:r>
        <w:rPr>
          <w:rFonts w:ascii="Verdana" w:hAnsi="Verdana"/>
          <w:sz w:val="20"/>
          <w:szCs w:val="20"/>
        </w:rPr>
        <w:t>4.</w:t>
      </w:r>
      <w:r>
        <w:rPr>
          <w:rFonts w:ascii="Times New Roman" w:hAnsi="Times New Roman" w:cs="Times New Roman"/>
          <w:sz w:val="14"/>
          <w:szCs w:val="14"/>
        </w:rPr>
        <w:t xml:space="preserve">    </w:t>
      </w:r>
      <w:r>
        <w:rPr>
          <w:rFonts w:ascii="Verdana" w:hAnsi="Verdana"/>
          <w:sz w:val="20"/>
          <w:szCs w:val="20"/>
        </w:rPr>
        <w:t xml:space="preserve">The analysis provides, and models two design alterations for Unit 281. </w:t>
      </w:r>
      <w:proofErr w:type="gramStart"/>
      <w:r>
        <w:rPr>
          <w:rFonts w:ascii="Verdana" w:hAnsi="Verdana"/>
          <w:sz w:val="20"/>
          <w:szCs w:val="20"/>
        </w:rPr>
        <w:t>The introduction of a spandrel and an Overhang.</w:t>
      </w:r>
      <w:proofErr w:type="gramEnd"/>
      <w:r>
        <w:rPr>
          <w:rFonts w:ascii="Verdana" w:hAnsi="Verdana"/>
          <w:sz w:val="20"/>
          <w:szCs w:val="20"/>
        </w:rPr>
        <w:t xml:space="preserve"> Which one is being proposed?</w:t>
      </w:r>
    </w:p>
    <w:p w:rsidR="00267758" w:rsidRDefault="00267758" w:rsidP="00267758">
      <w:pPr>
        <w:pStyle w:val="ListParagraph"/>
        <w:ind w:hanging="360"/>
        <w:rPr>
          <w:rFonts w:ascii="Verdana" w:hAnsi="Verdana"/>
          <w:sz w:val="20"/>
          <w:szCs w:val="20"/>
        </w:rPr>
      </w:pPr>
      <w:r>
        <w:rPr>
          <w:rFonts w:ascii="Verdana" w:hAnsi="Verdana"/>
          <w:sz w:val="20"/>
          <w:szCs w:val="20"/>
        </w:rPr>
        <w:t>5.</w:t>
      </w:r>
      <w:r>
        <w:rPr>
          <w:rFonts w:ascii="Times New Roman" w:hAnsi="Times New Roman" w:cs="Times New Roman"/>
          <w:sz w:val="14"/>
          <w:szCs w:val="14"/>
        </w:rPr>
        <w:t xml:space="preserve">    </w:t>
      </w:r>
      <w:r>
        <w:rPr>
          <w:rFonts w:ascii="Verdana" w:hAnsi="Verdana"/>
          <w:sz w:val="20"/>
          <w:szCs w:val="20"/>
        </w:rPr>
        <w:t xml:space="preserve">In some situations the risk levels are lower in the 2030 projection than compared to the 2005 projection. Why is this? This seems to be the opposite of what we would expect. </w:t>
      </w:r>
    </w:p>
    <w:p w:rsidR="00267758" w:rsidRDefault="00267758" w:rsidP="00267758">
      <w:pPr>
        <w:pStyle w:val="ListParagraph"/>
        <w:ind w:hanging="360"/>
        <w:rPr>
          <w:rFonts w:ascii="Verdana" w:hAnsi="Verdana"/>
          <w:sz w:val="20"/>
          <w:szCs w:val="20"/>
        </w:rPr>
      </w:pPr>
      <w:r>
        <w:rPr>
          <w:rFonts w:ascii="Verdana" w:hAnsi="Verdana"/>
          <w:sz w:val="20"/>
          <w:szCs w:val="20"/>
        </w:rPr>
        <w:t>6.</w:t>
      </w:r>
      <w:r>
        <w:rPr>
          <w:rFonts w:ascii="Times New Roman" w:hAnsi="Times New Roman" w:cs="Times New Roman"/>
          <w:sz w:val="14"/>
          <w:szCs w:val="14"/>
        </w:rPr>
        <w:t xml:space="preserve">    </w:t>
      </w:r>
      <w:r>
        <w:rPr>
          <w:rFonts w:ascii="Verdana" w:hAnsi="Verdana"/>
          <w:sz w:val="20"/>
          <w:szCs w:val="20"/>
        </w:rPr>
        <w:t>Although the 2040 projection has been removed from this updated analysis we would still seek clarification as to why an overheating risk was present on unit 281 even with the design alterations. Similarly to point 5, we would like to understand why this risk (in 2040 projection) is now not present in the 2050 projection. We would expect the risk levels to increase over time.</w:t>
      </w:r>
    </w:p>
    <w:p w:rsidR="00267758" w:rsidRDefault="00267758" w:rsidP="00267758">
      <w:pPr>
        <w:rPr>
          <w:rFonts w:ascii="Verdana" w:hAnsi="Verdana"/>
          <w:sz w:val="20"/>
          <w:szCs w:val="20"/>
        </w:rPr>
      </w:pPr>
    </w:p>
    <w:p w:rsidR="00267758" w:rsidRDefault="00267758" w:rsidP="00267758">
      <w:pPr>
        <w:rPr>
          <w:rFonts w:ascii="Verdana" w:hAnsi="Verdana"/>
          <w:sz w:val="20"/>
          <w:szCs w:val="20"/>
        </w:rPr>
      </w:pPr>
      <w:r>
        <w:rPr>
          <w:rFonts w:ascii="Verdana" w:hAnsi="Verdana"/>
          <w:sz w:val="20"/>
          <w:szCs w:val="20"/>
        </w:rPr>
        <w:t>Many Thanks</w:t>
      </w:r>
    </w:p>
    <w:p w:rsidR="00267758" w:rsidRDefault="00267758" w:rsidP="00267758">
      <w:pPr>
        <w:rPr>
          <w:rFonts w:ascii="Verdana" w:hAnsi="Verdana"/>
          <w:sz w:val="20"/>
          <w:szCs w:val="20"/>
        </w:rPr>
      </w:pPr>
    </w:p>
    <w:p w:rsidR="00267758" w:rsidRDefault="00267758" w:rsidP="00267758">
      <w:pPr>
        <w:rPr>
          <w:rFonts w:ascii="Verdana" w:hAnsi="Verdana"/>
          <w:sz w:val="20"/>
          <w:szCs w:val="20"/>
        </w:rPr>
      </w:pPr>
      <w:r>
        <w:rPr>
          <w:rFonts w:ascii="Verdana" w:hAnsi="Verdana"/>
          <w:sz w:val="20"/>
          <w:szCs w:val="20"/>
        </w:rPr>
        <w:t>Lewis</w:t>
      </w:r>
    </w:p>
    <w:p w:rsidR="00267758" w:rsidRDefault="00267758" w:rsidP="00267758">
      <w:pPr>
        <w:rPr>
          <w:rFonts w:ascii="Verdana" w:hAnsi="Verdana"/>
          <w:sz w:val="20"/>
          <w:szCs w:val="20"/>
        </w:rPr>
      </w:pPr>
    </w:p>
    <w:p w:rsidR="00267758" w:rsidRDefault="00267758" w:rsidP="00267758">
      <w:pPr>
        <w:rPr>
          <w:rFonts w:ascii="Verdana" w:hAnsi="Verdana"/>
          <w:color w:val="323232"/>
          <w:sz w:val="18"/>
          <w:szCs w:val="18"/>
          <w:lang w:eastAsia="en-GB"/>
        </w:rPr>
      </w:pPr>
      <w:r>
        <w:rPr>
          <w:rFonts w:ascii="Verdana" w:hAnsi="Verdana"/>
          <w:color w:val="323232"/>
          <w:sz w:val="18"/>
          <w:szCs w:val="18"/>
          <w:lang w:eastAsia="en-GB"/>
        </w:rPr>
        <w:t>Lewis Knight</w:t>
      </w:r>
    </w:p>
    <w:p w:rsidR="00267758" w:rsidRDefault="00267758" w:rsidP="00267758">
      <w:pPr>
        <w:rPr>
          <w:rFonts w:ascii="Verdana" w:hAnsi="Verdana"/>
          <w:color w:val="323232"/>
          <w:sz w:val="18"/>
          <w:szCs w:val="18"/>
          <w:lang w:val="en-US" w:eastAsia="en-GB"/>
        </w:rPr>
      </w:pPr>
      <w:r>
        <w:rPr>
          <w:rFonts w:ascii="Verdana" w:hAnsi="Verdana"/>
          <w:color w:val="323232"/>
          <w:sz w:val="18"/>
          <w:szCs w:val="18"/>
          <w:lang w:val="en-US" w:eastAsia="en-GB"/>
        </w:rPr>
        <w:t>Bicester Eco Town Project Manager</w:t>
      </w:r>
    </w:p>
    <w:p w:rsidR="00267758" w:rsidRDefault="00267758" w:rsidP="00267758">
      <w:pPr>
        <w:rPr>
          <w:rFonts w:ascii="Verdana" w:hAnsi="Verdana"/>
          <w:color w:val="323232"/>
          <w:sz w:val="18"/>
          <w:szCs w:val="18"/>
          <w:lang w:eastAsia="en-GB"/>
        </w:rPr>
      </w:pPr>
    </w:p>
    <w:p w:rsidR="00267758" w:rsidRDefault="00267758" w:rsidP="00267758">
      <w:pPr>
        <w:rPr>
          <w:rFonts w:ascii="Verdana" w:hAnsi="Verdana"/>
          <w:color w:val="323232"/>
          <w:sz w:val="18"/>
          <w:szCs w:val="18"/>
          <w:lang w:eastAsia="en-GB"/>
        </w:rPr>
      </w:pPr>
      <w:r>
        <w:rPr>
          <w:rFonts w:ascii="Verdana" w:hAnsi="Verdana"/>
          <w:color w:val="323232"/>
          <w:sz w:val="18"/>
          <w:szCs w:val="18"/>
          <w:lang w:eastAsia="en-GB"/>
        </w:rPr>
        <w:t>T: 07834196851</w:t>
      </w:r>
    </w:p>
    <w:p w:rsidR="00267758" w:rsidRDefault="00267758" w:rsidP="00267758">
      <w:pPr>
        <w:rPr>
          <w:rFonts w:ascii="Verdana" w:hAnsi="Verdana"/>
          <w:color w:val="323232"/>
          <w:sz w:val="18"/>
          <w:szCs w:val="18"/>
          <w:lang w:eastAsia="en-GB"/>
        </w:rPr>
      </w:pPr>
      <w:proofErr w:type="spellStart"/>
      <w:r>
        <w:rPr>
          <w:rFonts w:ascii="Verdana" w:hAnsi="Verdana"/>
          <w:color w:val="323232"/>
          <w:sz w:val="18"/>
          <w:szCs w:val="18"/>
          <w:lang w:eastAsia="en-GB"/>
        </w:rPr>
        <w:t>BedZED</w:t>
      </w:r>
      <w:proofErr w:type="spellEnd"/>
      <w:r>
        <w:rPr>
          <w:rFonts w:ascii="Verdana" w:hAnsi="Verdana"/>
          <w:color w:val="323232"/>
          <w:sz w:val="18"/>
          <w:szCs w:val="18"/>
          <w:lang w:eastAsia="en-GB"/>
        </w:rPr>
        <w:t> Centre, 24 Helios Road, Wallington, London, SM6 7BZ, UK</w:t>
      </w:r>
    </w:p>
    <w:p w:rsidR="00267758" w:rsidRDefault="00267758" w:rsidP="00267758">
      <w:pPr>
        <w:rPr>
          <w:rFonts w:ascii="Verdana" w:hAnsi="Verdana"/>
          <w:color w:val="323232"/>
          <w:sz w:val="18"/>
          <w:szCs w:val="18"/>
          <w:lang w:val="en-US" w:eastAsia="en-GB"/>
        </w:rPr>
      </w:pPr>
      <w:r>
        <w:rPr>
          <w:rFonts w:ascii="Verdana" w:hAnsi="Verdana"/>
          <w:color w:val="323232"/>
          <w:sz w:val="18"/>
          <w:szCs w:val="18"/>
          <w:lang w:val="en-US" w:eastAsia="en-GB"/>
        </w:rPr>
        <w:t>@</w:t>
      </w:r>
      <w:proofErr w:type="spellStart"/>
      <w:r>
        <w:rPr>
          <w:rFonts w:ascii="Verdana" w:hAnsi="Verdana"/>
          <w:color w:val="323232"/>
          <w:sz w:val="18"/>
          <w:szCs w:val="18"/>
          <w:lang w:val="en-US" w:eastAsia="en-GB"/>
        </w:rPr>
        <w:t>lewisknight</w:t>
      </w:r>
      <w:proofErr w:type="spellEnd"/>
      <w:r>
        <w:rPr>
          <w:rFonts w:ascii="Verdana" w:hAnsi="Verdana"/>
          <w:color w:val="323232"/>
          <w:sz w:val="18"/>
          <w:szCs w:val="18"/>
          <w:lang w:val="en-US" w:eastAsia="en-GB"/>
        </w:rPr>
        <w:t xml:space="preserve"> @</w:t>
      </w:r>
      <w:proofErr w:type="spellStart"/>
      <w:r>
        <w:rPr>
          <w:rFonts w:ascii="Verdana" w:hAnsi="Verdana"/>
          <w:color w:val="323232"/>
          <w:sz w:val="18"/>
          <w:szCs w:val="18"/>
          <w:lang w:val="en-US" w:eastAsia="en-GB"/>
        </w:rPr>
        <w:t>BioregionalOxon</w:t>
      </w:r>
      <w:proofErr w:type="spellEnd"/>
    </w:p>
    <w:p w:rsidR="00267758" w:rsidRDefault="00267758" w:rsidP="00267758">
      <w:pPr>
        <w:rPr>
          <w:rFonts w:ascii="Verdana" w:hAnsi="Verdana"/>
          <w:color w:val="323232"/>
          <w:sz w:val="18"/>
          <w:szCs w:val="18"/>
          <w:lang w:val="en-US" w:eastAsia="en-GB"/>
        </w:rPr>
      </w:pPr>
    </w:p>
    <w:p w:rsidR="00267758" w:rsidRDefault="00267758" w:rsidP="00267758">
      <w:pPr>
        <w:rPr>
          <w:rFonts w:ascii="Verdana" w:hAnsi="Verdana"/>
          <w:b/>
          <w:bCs/>
          <w:color w:val="323232"/>
          <w:sz w:val="18"/>
          <w:szCs w:val="18"/>
          <w:lang w:val="en-US" w:eastAsia="en-GB"/>
        </w:rPr>
      </w:pPr>
      <w:r>
        <w:rPr>
          <w:rFonts w:ascii="Verdana" w:hAnsi="Verdana"/>
          <w:b/>
          <w:bCs/>
          <w:color w:val="323232"/>
          <w:sz w:val="18"/>
          <w:szCs w:val="18"/>
          <w:lang w:val="en-US" w:eastAsia="en-GB"/>
        </w:rPr>
        <w:t xml:space="preserve">Bioregional </w:t>
      </w:r>
    </w:p>
    <w:p w:rsidR="00267758" w:rsidRDefault="00267758" w:rsidP="00267758">
      <w:pPr>
        <w:rPr>
          <w:rFonts w:ascii="Verdana" w:hAnsi="Verdana"/>
          <w:b/>
          <w:bCs/>
          <w:color w:val="323232"/>
          <w:sz w:val="18"/>
          <w:szCs w:val="18"/>
          <w:lang w:eastAsia="en-GB"/>
        </w:rPr>
      </w:pPr>
      <w:r>
        <w:rPr>
          <w:rFonts w:ascii="Verdana" w:hAnsi="Verdana"/>
          <w:color w:val="323232"/>
          <w:sz w:val="18"/>
          <w:szCs w:val="18"/>
          <w:lang w:eastAsia="en-GB"/>
        </w:rPr>
        <w:t>Championing a better way to live</w:t>
      </w:r>
    </w:p>
    <w:p w:rsidR="00267758" w:rsidRDefault="00267758" w:rsidP="00267758">
      <w:pPr>
        <w:rPr>
          <w:rFonts w:ascii="Verdana" w:hAnsi="Verdana"/>
          <w:color w:val="00A0E6"/>
          <w:sz w:val="18"/>
          <w:szCs w:val="18"/>
          <w:u w:val="single"/>
          <w:lang w:eastAsia="en-GB"/>
        </w:rPr>
      </w:pPr>
      <w:hyperlink r:id="rId5" w:history="1">
        <w:r>
          <w:rPr>
            <w:rStyle w:val="Hyperlink"/>
            <w:rFonts w:ascii="Verdana" w:hAnsi="Verdana"/>
            <w:color w:val="00A0E6"/>
            <w:sz w:val="18"/>
            <w:szCs w:val="18"/>
            <w:lang w:eastAsia="en-GB"/>
          </w:rPr>
          <w:t>www.bioregional.com</w:t>
        </w:r>
      </w:hyperlink>
    </w:p>
    <w:p w:rsidR="00267758" w:rsidRDefault="00267758" w:rsidP="00267758">
      <w:pPr>
        <w:rPr>
          <w:rFonts w:ascii="Verdana" w:hAnsi="Verdana"/>
          <w:color w:val="323232"/>
          <w:sz w:val="16"/>
          <w:szCs w:val="16"/>
          <w:lang w:eastAsia="en-GB"/>
        </w:rPr>
      </w:pPr>
    </w:p>
    <w:p w:rsidR="001F7540" w:rsidRDefault="001F7540">
      <w:bookmarkStart w:id="0" w:name="_GoBack"/>
      <w:bookmarkEnd w:id="0"/>
    </w:p>
    <w:sectPr w:rsidR="001F7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58"/>
    <w:rsid w:val="001F7540"/>
    <w:rsid w:val="0026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758"/>
    <w:rPr>
      <w:color w:val="0563C1"/>
      <w:u w:val="single"/>
    </w:rPr>
  </w:style>
  <w:style w:type="paragraph" w:styleId="ListParagraph">
    <w:name w:val="List Paragraph"/>
    <w:basedOn w:val="Normal"/>
    <w:uiPriority w:val="34"/>
    <w:qFormat/>
    <w:rsid w:val="002677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758"/>
    <w:rPr>
      <w:color w:val="0563C1"/>
      <w:u w:val="single"/>
    </w:rPr>
  </w:style>
  <w:style w:type="paragraph" w:styleId="ListParagraph">
    <w:name w:val="List Paragraph"/>
    <w:basedOn w:val="Normal"/>
    <w:uiPriority w:val="34"/>
    <w:qFormat/>
    <w:rsid w:val="002677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oregion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2091</Characters>
  <Application>Microsoft Office Word</Application>
  <DocSecurity>0</DocSecurity>
  <Lines>17</Lines>
  <Paragraphs>4</Paragraphs>
  <ScaleCrop>false</ScaleCrop>
  <Company>Cherwell District Council</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2016-05-09T10:22:00Z</dcterms:created>
  <dcterms:modified xsi:type="dcterms:W3CDTF">2016-05-09T10:23:00Z</dcterms:modified>
</cp:coreProperties>
</file>