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15D" w:rsidRDefault="00E5315D" w:rsidP="00E5315D">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Lewis Knight (Bioregional)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26 April 2016 16:13</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Leanne Turner</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Caroline Ford; Nicole Lazarus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NW Bicester Exemplar Phase 2 Condition 8: </w:t>
      </w:r>
      <w:proofErr w:type="spellStart"/>
      <w:r>
        <w:rPr>
          <w:rFonts w:ascii="Tahoma" w:hAnsi="Tahoma" w:cs="Tahoma"/>
          <w:sz w:val="20"/>
          <w:szCs w:val="20"/>
          <w:lang w:val="en-US" w:eastAsia="en-GB"/>
        </w:rPr>
        <w:t>Daylighting</w:t>
      </w:r>
      <w:proofErr w:type="spellEnd"/>
    </w:p>
    <w:p w:rsidR="00E5315D" w:rsidRDefault="00E5315D" w:rsidP="00E5315D"/>
    <w:p w:rsidR="00E5315D" w:rsidRDefault="00E5315D" w:rsidP="00E5315D">
      <w:pPr>
        <w:rPr>
          <w:rFonts w:ascii="Verdana" w:hAnsi="Verdana"/>
          <w:sz w:val="20"/>
          <w:szCs w:val="20"/>
        </w:rPr>
      </w:pPr>
      <w:r>
        <w:rPr>
          <w:rFonts w:ascii="Verdana" w:hAnsi="Verdana"/>
          <w:sz w:val="20"/>
          <w:szCs w:val="20"/>
        </w:rPr>
        <w:t>Hi Leanne,</w:t>
      </w:r>
    </w:p>
    <w:p w:rsidR="00E5315D" w:rsidRDefault="00E5315D" w:rsidP="00E5315D">
      <w:pPr>
        <w:rPr>
          <w:rFonts w:ascii="Verdana" w:hAnsi="Verdana"/>
          <w:sz w:val="20"/>
          <w:szCs w:val="20"/>
        </w:rPr>
      </w:pPr>
    </w:p>
    <w:p w:rsidR="00E5315D" w:rsidRDefault="00E5315D" w:rsidP="00E5315D">
      <w:pPr>
        <w:rPr>
          <w:rFonts w:ascii="Verdana" w:hAnsi="Verdana"/>
          <w:sz w:val="20"/>
          <w:szCs w:val="20"/>
        </w:rPr>
      </w:pPr>
      <w:r>
        <w:rPr>
          <w:rFonts w:ascii="Verdana" w:hAnsi="Verdana"/>
          <w:sz w:val="20"/>
          <w:szCs w:val="20"/>
        </w:rPr>
        <w:t xml:space="preserve">Please find comments on Condition 8 – </w:t>
      </w:r>
      <w:proofErr w:type="spellStart"/>
      <w:r>
        <w:rPr>
          <w:rFonts w:ascii="Verdana" w:hAnsi="Verdana"/>
          <w:sz w:val="20"/>
          <w:szCs w:val="20"/>
        </w:rPr>
        <w:t>Daylighting</w:t>
      </w:r>
      <w:proofErr w:type="spellEnd"/>
      <w:r>
        <w:rPr>
          <w:rFonts w:ascii="Verdana" w:hAnsi="Verdana"/>
          <w:sz w:val="20"/>
          <w:szCs w:val="20"/>
        </w:rPr>
        <w:t xml:space="preserve"> below:</w:t>
      </w:r>
    </w:p>
    <w:p w:rsidR="00E5315D" w:rsidRDefault="00E5315D" w:rsidP="00E5315D">
      <w:pPr>
        <w:rPr>
          <w:rFonts w:ascii="Verdana" w:hAnsi="Verdana"/>
          <w:sz w:val="20"/>
          <w:szCs w:val="20"/>
        </w:rPr>
      </w:pPr>
    </w:p>
    <w:p w:rsidR="00E5315D" w:rsidRDefault="00E5315D" w:rsidP="00E5315D">
      <w:pPr>
        <w:pStyle w:val="ListParagraph"/>
        <w:ind w:hanging="360"/>
        <w:rPr>
          <w:rFonts w:ascii="Verdana" w:hAnsi="Verdana"/>
          <w:sz w:val="20"/>
          <w:szCs w:val="20"/>
        </w:rPr>
      </w:pPr>
      <w:r>
        <w:rPr>
          <w:rFonts w:ascii="Verdana" w:hAnsi="Verdana"/>
          <w:sz w:val="20"/>
          <w:szCs w:val="20"/>
        </w:rPr>
        <w:t>1.</w:t>
      </w:r>
      <w:r>
        <w:rPr>
          <w:rFonts w:ascii="Times New Roman" w:hAnsi="Times New Roman" w:cs="Times New Roman"/>
          <w:sz w:val="14"/>
          <w:szCs w:val="14"/>
        </w:rPr>
        <w:t xml:space="preserve">    </w:t>
      </w:r>
      <w:r>
        <w:rPr>
          <w:rFonts w:ascii="Verdana" w:hAnsi="Verdana"/>
          <w:sz w:val="20"/>
          <w:szCs w:val="20"/>
        </w:rPr>
        <w:t>There is no reference to how the ADF values have been calculated i.e. what standard and software has been used. We would expect this as a minimum. The inclusion of a sample calculation or worked example as an appendix would also help</w:t>
      </w:r>
    </w:p>
    <w:p w:rsidR="00E5315D" w:rsidRDefault="00E5315D" w:rsidP="00E5315D">
      <w:pPr>
        <w:pStyle w:val="ListParagraph"/>
        <w:rPr>
          <w:rFonts w:ascii="Verdana" w:hAnsi="Verdana"/>
          <w:sz w:val="20"/>
          <w:szCs w:val="20"/>
        </w:rPr>
      </w:pPr>
    </w:p>
    <w:p w:rsidR="00E5315D" w:rsidRDefault="00E5315D" w:rsidP="00E5315D">
      <w:pPr>
        <w:pStyle w:val="ListParagraph"/>
        <w:ind w:hanging="360"/>
        <w:rPr>
          <w:rFonts w:ascii="Verdana" w:hAnsi="Verdana"/>
          <w:sz w:val="20"/>
          <w:szCs w:val="20"/>
        </w:rPr>
      </w:pPr>
      <w:r>
        <w:rPr>
          <w:rFonts w:ascii="Verdana" w:hAnsi="Verdana"/>
          <w:sz w:val="20"/>
          <w:szCs w:val="20"/>
        </w:rPr>
        <w:t>2.</w:t>
      </w:r>
      <w:r>
        <w:rPr>
          <w:rFonts w:ascii="Times New Roman" w:hAnsi="Times New Roman" w:cs="Times New Roman"/>
          <w:sz w:val="14"/>
          <w:szCs w:val="14"/>
        </w:rPr>
        <w:t xml:space="preserve">    </w:t>
      </w:r>
      <w:r>
        <w:rPr>
          <w:rFonts w:ascii="Verdana" w:hAnsi="Verdana"/>
          <w:sz w:val="20"/>
          <w:szCs w:val="20"/>
        </w:rPr>
        <w:t xml:space="preserve">The 71 dwellings on phase 2 have either been modelled themselves or relate to a house type that has been modelled. E.g. house 229 relates to house 230 for its </w:t>
      </w:r>
      <w:proofErr w:type="spellStart"/>
      <w:r>
        <w:rPr>
          <w:rFonts w:ascii="Verdana" w:hAnsi="Verdana"/>
          <w:sz w:val="20"/>
          <w:szCs w:val="20"/>
        </w:rPr>
        <w:t>daylighting</w:t>
      </w:r>
      <w:proofErr w:type="spellEnd"/>
      <w:r>
        <w:rPr>
          <w:rFonts w:ascii="Verdana" w:hAnsi="Verdana"/>
          <w:sz w:val="20"/>
          <w:szCs w:val="20"/>
        </w:rPr>
        <w:t xml:space="preserve"> modelling. In some instance these house types do not match. We are not sure how these change in house types could affect layout and therefore </w:t>
      </w:r>
      <w:proofErr w:type="spellStart"/>
      <w:r>
        <w:rPr>
          <w:rFonts w:ascii="Verdana" w:hAnsi="Verdana"/>
          <w:sz w:val="20"/>
          <w:szCs w:val="20"/>
        </w:rPr>
        <w:t>daylighting</w:t>
      </w:r>
      <w:proofErr w:type="spellEnd"/>
      <w:r>
        <w:rPr>
          <w:rFonts w:ascii="Verdana" w:hAnsi="Verdana"/>
          <w:sz w:val="20"/>
          <w:szCs w:val="20"/>
        </w:rPr>
        <w:t xml:space="preserve"> i.e. have windows been moved? We acknowledge the house type revisions could just be material.  </w:t>
      </w:r>
      <w:proofErr w:type="gramStart"/>
      <w:r>
        <w:rPr>
          <w:rFonts w:ascii="Verdana" w:hAnsi="Verdana"/>
          <w:sz w:val="20"/>
          <w:szCs w:val="20"/>
        </w:rPr>
        <w:t>A list of the specific houses are</w:t>
      </w:r>
      <w:proofErr w:type="gramEnd"/>
      <w:r>
        <w:rPr>
          <w:rFonts w:ascii="Verdana" w:hAnsi="Verdana"/>
          <w:sz w:val="20"/>
          <w:szCs w:val="20"/>
        </w:rPr>
        <w:t xml:space="preserve"> provided below:</w:t>
      </w:r>
    </w:p>
    <w:p w:rsidR="00E5315D" w:rsidRDefault="00E5315D" w:rsidP="00E5315D">
      <w:pPr>
        <w:pStyle w:val="ListParagraph"/>
        <w:ind w:left="1080" w:hanging="360"/>
        <w:rPr>
          <w:rFonts w:ascii="Verdana" w:hAnsi="Verdana"/>
          <w:sz w:val="20"/>
          <w:szCs w:val="20"/>
        </w:rPr>
      </w:pPr>
      <w:r>
        <w:rPr>
          <w:rFonts w:ascii="Verdana" w:hAnsi="Verdana"/>
          <w:sz w:val="20"/>
          <w:szCs w:val="20"/>
        </w:rPr>
        <w:t>-</w:t>
      </w:r>
      <w:r>
        <w:rPr>
          <w:rFonts w:ascii="Times New Roman" w:hAnsi="Times New Roman" w:cs="Times New Roman"/>
          <w:sz w:val="14"/>
          <w:szCs w:val="14"/>
        </w:rPr>
        <w:t xml:space="preserve">      </w:t>
      </w:r>
      <w:r>
        <w:rPr>
          <w:rFonts w:ascii="Verdana" w:hAnsi="Verdana"/>
          <w:sz w:val="20"/>
          <w:szCs w:val="20"/>
        </w:rPr>
        <w:t>Unit number 249 (house type T202) – modelled on unit number 237 (house type T200)</w:t>
      </w:r>
    </w:p>
    <w:p w:rsidR="00E5315D" w:rsidRDefault="00E5315D" w:rsidP="00E5315D">
      <w:pPr>
        <w:pStyle w:val="ListParagraph"/>
        <w:ind w:left="1080" w:hanging="360"/>
        <w:rPr>
          <w:rFonts w:ascii="Verdana" w:hAnsi="Verdana"/>
          <w:sz w:val="20"/>
          <w:szCs w:val="20"/>
        </w:rPr>
      </w:pPr>
      <w:r>
        <w:rPr>
          <w:rFonts w:ascii="Verdana" w:hAnsi="Verdana"/>
          <w:sz w:val="20"/>
          <w:szCs w:val="20"/>
        </w:rPr>
        <w:t>-</w:t>
      </w:r>
      <w:r>
        <w:rPr>
          <w:rFonts w:ascii="Times New Roman" w:hAnsi="Times New Roman" w:cs="Times New Roman"/>
          <w:sz w:val="14"/>
          <w:szCs w:val="14"/>
        </w:rPr>
        <w:t xml:space="preserve">      </w:t>
      </w:r>
      <w:r>
        <w:rPr>
          <w:rFonts w:ascii="Verdana" w:hAnsi="Verdana"/>
          <w:sz w:val="20"/>
          <w:szCs w:val="20"/>
        </w:rPr>
        <w:t>253 (house type T202-A) – modelled on 237 (house type T200)</w:t>
      </w:r>
    </w:p>
    <w:p w:rsidR="00E5315D" w:rsidRDefault="00E5315D" w:rsidP="00E5315D">
      <w:pPr>
        <w:pStyle w:val="ListParagraph"/>
        <w:ind w:left="1080" w:hanging="360"/>
        <w:rPr>
          <w:rFonts w:ascii="Verdana" w:hAnsi="Verdana"/>
          <w:sz w:val="20"/>
          <w:szCs w:val="20"/>
        </w:rPr>
      </w:pPr>
      <w:r>
        <w:rPr>
          <w:rFonts w:ascii="Verdana" w:hAnsi="Verdana"/>
          <w:sz w:val="20"/>
          <w:szCs w:val="20"/>
        </w:rPr>
        <w:t>-</w:t>
      </w:r>
      <w:r>
        <w:rPr>
          <w:rFonts w:ascii="Times New Roman" w:hAnsi="Times New Roman" w:cs="Times New Roman"/>
          <w:sz w:val="14"/>
          <w:szCs w:val="14"/>
        </w:rPr>
        <w:t xml:space="preserve">      </w:t>
      </w:r>
      <w:r>
        <w:rPr>
          <w:rFonts w:ascii="Verdana" w:hAnsi="Verdana"/>
          <w:sz w:val="20"/>
          <w:szCs w:val="20"/>
        </w:rPr>
        <w:t>259 (house type T202-B) – modelled on 237 (house type T200)</w:t>
      </w:r>
    </w:p>
    <w:p w:rsidR="00E5315D" w:rsidRDefault="00E5315D" w:rsidP="00E5315D">
      <w:pPr>
        <w:pStyle w:val="ListParagraph"/>
        <w:ind w:left="1080" w:hanging="360"/>
        <w:rPr>
          <w:rFonts w:ascii="Verdana" w:hAnsi="Verdana"/>
          <w:sz w:val="20"/>
          <w:szCs w:val="20"/>
        </w:rPr>
      </w:pPr>
      <w:r>
        <w:rPr>
          <w:rFonts w:ascii="Verdana" w:hAnsi="Verdana"/>
          <w:sz w:val="20"/>
          <w:szCs w:val="20"/>
        </w:rPr>
        <w:t>-</w:t>
      </w:r>
      <w:r>
        <w:rPr>
          <w:rFonts w:ascii="Times New Roman" w:hAnsi="Times New Roman" w:cs="Times New Roman"/>
          <w:sz w:val="14"/>
          <w:szCs w:val="14"/>
        </w:rPr>
        <w:t xml:space="preserve">      </w:t>
      </w:r>
      <w:r>
        <w:rPr>
          <w:rFonts w:ascii="Verdana" w:hAnsi="Verdana"/>
          <w:sz w:val="20"/>
          <w:szCs w:val="20"/>
        </w:rPr>
        <w:t>262 (house type T202) – modelled 237 (house type T200)</w:t>
      </w:r>
    </w:p>
    <w:p w:rsidR="00E5315D" w:rsidRDefault="00E5315D" w:rsidP="00E5315D">
      <w:pPr>
        <w:pStyle w:val="ListParagraph"/>
        <w:ind w:left="1080" w:hanging="360"/>
        <w:rPr>
          <w:rFonts w:ascii="Verdana" w:hAnsi="Verdana"/>
          <w:sz w:val="20"/>
          <w:szCs w:val="20"/>
        </w:rPr>
      </w:pPr>
      <w:r>
        <w:rPr>
          <w:rFonts w:ascii="Verdana" w:hAnsi="Verdana"/>
          <w:sz w:val="20"/>
          <w:szCs w:val="20"/>
        </w:rPr>
        <w:t>-</w:t>
      </w:r>
      <w:r>
        <w:rPr>
          <w:rFonts w:ascii="Times New Roman" w:hAnsi="Times New Roman" w:cs="Times New Roman"/>
          <w:sz w:val="14"/>
          <w:szCs w:val="14"/>
        </w:rPr>
        <w:t xml:space="preserve">      </w:t>
      </w:r>
      <w:r>
        <w:rPr>
          <w:rFonts w:ascii="Verdana" w:hAnsi="Verdana"/>
          <w:sz w:val="20"/>
          <w:szCs w:val="20"/>
        </w:rPr>
        <w:t>263 (house type T202) – modelled 237 (house type T200)</w:t>
      </w:r>
    </w:p>
    <w:p w:rsidR="00E5315D" w:rsidRDefault="00E5315D" w:rsidP="00E5315D">
      <w:pPr>
        <w:pStyle w:val="ListParagraph"/>
        <w:ind w:left="1080" w:hanging="360"/>
        <w:rPr>
          <w:rFonts w:ascii="Verdana" w:hAnsi="Verdana"/>
          <w:sz w:val="20"/>
          <w:szCs w:val="20"/>
        </w:rPr>
      </w:pPr>
      <w:r>
        <w:rPr>
          <w:rFonts w:ascii="Verdana" w:hAnsi="Verdana"/>
          <w:sz w:val="20"/>
          <w:szCs w:val="20"/>
        </w:rPr>
        <w:t>-</w:t>
      </w:r>
      <w:r>
        <w:rPr>
          <w:rFonts w:ascii="Times New Roman" w:hAnsi="Times New Roman" w:cs="Times New Roman"/>
          <w:sz w:val="14"/>
          <w:szCs w:val="14"/>
        </w:rPr>
        <w:t xml:space="preserve">      </w:t>
      </w:r>
      <w:r>
        <w:rPr>
          <w:rFonts w:ascii="Verdana" w:hAnsi="Verdana"/>
          <w:sz w:val="20"/>
          <w:szCs w:val="20"/>
        </w:rPr>
        <w:t>268 (house type T202-C) – modelled 237 (house type T200)</w:t>
      </w:r>
    </w:p>
    <w:p w:rsidR="00E5315D" w:rsidRDefault="00E5315D" w:rsidP="00E5315D">
      <w:pPr>
        <w:pStyle w:val="ListParagraph"/>
        <w:ind w:left="1080" w:hanging="360"/>
        <w:rPr>
          <w:rFonts w:ascii="Verdana" w:hAnsi="Verdana"/>
          <w:sz w:val="20"/>
          <w:szCs w:val="20"/>
        </w:rPr>
      </w:pPr>
      <w:r>
        <w:rPr>
          <w:rFonts w:ascii="Verdana" w:hAnsi="Verdana"/>
          <w:sz w:val="20"/>
          <w:szCs w:val="20"/>
        </w:rPr>
        <w:t>-</w:t>
      </w:r>
      <w:r>
        <w:rPr>
          <w:rFonts w:ascii="Times New Roman" w:hAnsi="Times New Roman" w:cs="Times New Roman"/>
          <w:sz w:val="14"/>
          <w:szCs w:val="14"/>
        </w:rPr>
        <w:t xml:space="preserve">      </w:t>
      </w:r>
      <w:r>
        <w:rPr>
          <w:rFonts w:ascii="Verdana" w:hAnsi="Verdana"/>
          <w:sz w:val="20"/>
          <w:szCs w:val="20"/>
        </w:rPr>
        <w:t>274 (house type T202-C) – modelled 237 (house type T200)</w:t>
      </w:r>
    </w:p>
    <w:p w:rsidR="00E5315D" w:rsidRDefault="00E5315D" w:rsidP="00E5315D">
      <w:pPr>
        <w:pStyle w:val="ListParagraph"/>
        <w:ind w:left="1080" w:hanging="360"/>
        <w:rPr>
          <w:rFonts w:ascii="Verdana" w:hAnsi="Verdana"/>
          <w:sz w:val="20"/>
          <w:szCs w:val="20"/>
        </w:rPr>
      </w:pPr>
      <w:r>
        <w:rPr>
          <w:rFonts w:ascii="Verdana" w:hAnsi="Verdana"/>
          <w:sz w:val="20"/>
          <w:szCs w:val="20"/>
        </w:rPr>
        <w:t>-</w:t>
      </w:r>
      <w:r>
        <w:rPr>
          <w:rFonts w:ascii="Times New Roman" w:hAnsi="Times New Roman" w:cs="Times New Roman"/>
          <w:sz w:val="14"/>
          <w:szCs w:val="14"/>
        </w:rPr>
        <w:t xml:space="preserve">      </w:t>
      </w:r>
      <w:r>
        <w:rPr>
          <w:rFonts w:ascii="Verdana" w:hAnsi="Verdana"/>
          <w:sz w:val="20"/>
          <w:szCs w:val="20"/>
        </w:rPr>
        <w:t>275 (house type T302) - modelled on 273 (house type T301-A)</w:t>
      </w:r>
    </w:p>
    <w:p w:rsidR="00E5315D" w:rsidRDefault="00E5315D" w:rsidP="00E5315D">
      <w:pPr>
        <w:pStyle w:val="ListParagraph"/>
        <w:ind w:left="1080" w:hanging="360"/>
        <w:rPr>
          <w:rFonts w:ascii="Verdana" w:hAnsi="Verdana"/>
          <w:sz w:val="20"/>
          <w:szCs w:val="20"/>
        </w:rPr>
      </w:pPr>
      <w:r>
        <w:rPr>
          <w:rFonts w:ascii="Verdana" w:hAnsi="Verdana"/>
          <w:sz w:val="20"/>
          <w:szCs w:val="20"/>
        </w:rPr>
        <w:t>-</w:t>
      </w:r>
      <w:r>
        <w:rPr>
          <w:rFonts w:ascii="Times New Roman" w:hAnsi="Times New Roman" w:cs="Times New Roman"/>
          <w:sz w:val="14"/>
          <w:szCs w:val="14"/>
        </w:rPr>
        <w:t xml:space="preserve">      </w:t>
      </w:r>
      <w:r>
        <w:rPr>
          <w:rFonts w:ascii="Verdana" w:hAnsi="Verdana"/>
          <w:sz w:val="20"/>
          <w:szCs w:val="20"/>
        </w:rPr>
        <w:t>285 (house type T202-C) – modelled 237 (house type T200)</w:t>
      </w:r>
    </w:p>
    <w:p w:rsidR="00E5315D" w:rsidRDefault="00E5315D" w:rsidP="00E5315D">
      <w:pPr>
        <w:pStyle w:val="ListParagraph"/>
        <w:ind w:left="1080" w:hanging="360"/>
        <w:rPr>
          <w:rFonts w:ascii="Verdana" w:hAnsi="Verdana"/>
          <w:sz w:val="20"/>
          <w:szCs w:val="20"/>
        </w:rPr>
      </w:pPr>
      <w:r>
        <w:rPr>
          <w:rFonts w:ascii="Verdana" w:hAnsi="Verdana"/>
          <w:sz w:val="20"/>
          <w:szCs w:val="20"/>
        </w:rPr>
        <w:t>-</w:t>
      </w:r>
      <w:r>
        <w:rPr>
          <w:rFonts w:ascii="Times New Roman" w:hAnsi="Times New Roman" w:cs="Times New Roman"/>
          <w:sz w:val="14"/>
          <w:szCs w:val="14"/>
        </w:rPr>
        <w:t xml:space="preserve">      </w:t>
      </w:r>
      <w:r>
        <w:rPr>
          <w:rFonts w:ascii="Verdana" w:hAnsi="Verdana"/>
          <w:sz w:val="20"/>
          <w:szCs w:val="20"/>
        </w:rPr>
        <w:t>291 (house type T202-E) – modelled 237 (house type T200)</w:t>
      </w:r>
    </w:p>
    <w:p w:rsidR="00E5315D" w:rsidRDefault="00E5315D" w:rsidP="00E5315D">
      <w:pPr>
        <w:pStyle w:val="ListParagraph"/>
        <w:ind w:left="1080" w:hanging="360"/>
        <w:rPr>
          <w:rFonts w:ascii="Verdana" w:hAnsi="Verdana"/>
          <w:sz w:val="20"/>
          <w:szCs w:val="20"/>
        </w:rPr>
      </w:pPr>
      <w:r>
        <w:rPr>
          <w:rFonts w:ascii="Verdana" w:hAnsi="Verdana"/>
          <w:sz w:val="20"/>
          <w:szCs w:val="20"/>
        </w:rPr>
        <w:t>-</w:t>
      </w:r>
      <w:r>
        <w:rPr>
          <w:rFonts w:ascii="Times New Roman" w:hAnsi="Times New Roman" w:cs="Times New Roman"/>
          <w:sz w:val="14"/>
          <w:szCs w:val="14"/>
        </w:rPr>
        <w:t xml:space="preserve">      </w:t>
      </w:r>
      <w:r>
        <w:rPr>
          <w:rFonts w:ascii="Verdana" w:hAnsi="Verdana"/>
          <w:sz w:val="20"/>
          <w:szCs w:val="20"/>
        </w:rPr>
        <w:t>293 (house type T202-F) – modelled 237 (house type T200)</w:t>
      </w:r>
    </w:p>
    <w:p w:rsidR="00E5315D" w:rsidRDefault="00E5315D" w:rsidP="00E5315D">
      <w:pPr>
        <w:pStyle w:val="ListParagraph"/>
        <w:ind w:left="1080" w:hanging="360"/>
        <w:rPr>
          <w:rFonts w:ascii="Verdana" w:hAnsi="Verdana"/>
          <w:sz w:val="20"/>
          <w:szCs w:val="20"/>
        </w:rPr>
      </w:pPr>
      <w:r>
        <w:rPr>
          <w:rFonts w:ascii="Verdana" w:hAnsi="Verdana"/>
          <w:sz w:val="20"/>
          <w:szCs w:val="20"/>
        </w:rPr>
        <w:t>-</w:t>
      </w:r>
      <w:r>
        <w:rPr>
          <w:rFonts w:ascii="Times New Roman" w:hAnsi="Times New Roman" w:cs="Times New Roman"/>
          <w:sz w:val="14"/>
          <w:szCs w:val="14"/>
        </w:rPr>
        <w:t xml:space="preserve">      </w:t>
      </w:r>
      <w:r>
        <w:rPr>
          <w:rFonts w:ascii="Verdana" w:hAnsi="Verdana"/>
          <w:sz w:val="20"/>
          <w:szCs w:val="20"/>
        </w:rPr>
        <w:t>294 (house type T300-D) – modelled 237 (house type T300)</w:t>
      </w:r>
    </w:p>
    <w:p w:rsidR="00E5315D" w:rsidRDefault="00E5315D" w:rsidP="00E5315D">
      <w:pPr>
        <w:rPr>
          <w:rFonts w:ascii="Verdana" w:hAnsi="Verdana"/>
          <w:sz w:val="20"/>
          <w:szCs w:val="20"/>
        </w:rPr>
      </w:pPr>
    </w:p>
    <w:p w:rsidR="00E5315D" w:rsidRDefault="00E5315D" w:rsidP="00E5315D">
      <w:pPr>
        <w:pStyle w:val="ListParagraph"/>
        <w:ind w:hanging="360"/>
        <w:rPr>
          <w:rFonts w:ascii="Verdana" w:hAnsi="Verdana"/>
          <w:sz w:val="20"/>
          <w:szCs w:val="20"/>
        </w:rPr>
      </w:pPr>
      <w:r>
        <w:rPr>
          <w:rFonts w:ascii="Verdana" w:hAnsi="Verdana"/>
          <w:sz w:val="20"/>
          <w:szCs w:val="20"/>
        </w:rPr>
        <w:t>3.</w:t>
      </w:r>
      <w:r>
        <w:rPr>
          <w:rFonts w:ascii="Times New Roman" w:hAnsi="Times New Roman" w:cs="Times New Roman"/>
          <w:sz w:val="14"/>
          <w:szCs w:val="14"/>
        </w:rPr>
        <w:t xml:space="preserve">    </w:t>
      </w:r>
      <w:r>
        <w:rPr>
          <w:rFonts w:ascii="Verdana" w:hAnsi="Verdana"/>
          <w:sz w:val="20"/>
          <w:szCs w:val="20"/>
        </w:rPr>
        <w:t xml:space="preserve">Similarly to point 2. The </w:t>
      </w:r>
      <w:proofErr w:type="spellStart"/>
      <w:r>
        <w:rPr>
          <w:rFonts w:ascii="Verdana" w:hAnsi="Verdana"/>
          <w:sz w:val="20"/>
          <w:szCs w:val="20"/>
        </w:rPr>
        <w:t>sqm</w:t>
      </w:r>
      <w:proofErr w:type="spellEnd"/>
      <w:r>
        <w:rPr>
          <w:rFonts w:ascii="Verdana" w:hAnsi="Verdana"/>
          <w:sz w:val="20"/>
          <w:szCs w:val="20"/>
        </w:rPr>
        <w:t xml:space="preserve"> of each home and the home modelled sometimes differs. Although only minor in most cases, this difference could have some impact if the difference is one room. This is especially relevant where some house types have only just made the accepted ADF (e.g. house 287). </w:t>
      </w:r>
      <w:proofErr w:type="gramStart"/>
      <w:r>
        <w:rPr>
          <w:rFonts w:ascii="Verdana" w:hAnsi="Verdana"/>
          <w:sz w:val="20"/>
          <w:szCs w:val="20"/>
        </w:rPr>
        <w:t>A list of the specific houses are</w:t>
      </w:r>
      <w:proofErr w:type="gramEnd"/>
      <w:r>
        <w:rPr>
          <w:rFonts w:ascii="Verdana" w:hAnsi="Verdana"/>
          <w:sz w:val="20"/>
          <w:szCs w:val="20"/>
        </w:rPr>
        <w:t xml:space="preserve"> outlined below. Three houses are in bold where the differences are considered more than negligible. </w:t>
      </w:r>
    </w:p>
    <w:p w:rsidR="00E5315D" w:rsidRDefault="00E5315D" w:rsidP="00E5315D">
      <w:pPr>
        <w:pStyle w:val="ListParagraph"/>
        <w:ind w:left="1080" w:hanging="360"/>
        <w:rPr>
          <w:rFonts w:ascii="Verdana" w:hAnsi="Verdana"/>
          <w:sz w:val="20"/>
          <w:szCs w:val="20"/>
        </w:rPr>
      </w:pPr>
      <w:r>
        <w:rPr>
          <w:rFonts w:ascii="Verdana" w:hAnsi="Verdana"/>
          <w:sz w:val="20"/>
          <w:szCs w:val="20"/>
        </w:rPr>
        <w:t>-</w:t>
      </w:r>
      <w:r>
        <w:rPr>
          <w:rFonts w:ascii="Times New Roman" w:hAnsi="Times New Roman" w:cs="Times New Roman"/>
          <w:sz w:val="14"/>
          <w:szCs w:val="14"/>
        </w:rPr>
        <w:t xml:space="preserve">      </w:t>
      </w:r>
      <w:r>
        <w:rPr>
          <w:rFonts w:ascii="Verdana" w:hAnsi="Verdana"/>
          <w:sz w:val="20"/>
          <w:szCs w:val="20"/>
        </w:rPr>
        <w:t>Unit number 239 (</w:t>
      </w:r>
      <w:proofErr w:type="spellStart"/>
      <w:r>
        <w:rPr>
          <w:rFonts w:ascii="Verdana" w:hAnsi="Verdana"/>
          <w:sz w:val="20"/>
          <w:szCs w:val="20"/>
        </w:rPr>
        <w:t>sqm</w:t>
      </w:r>
      <w:proofErr w:type="spellEnd"/>
      <w:r>
        <w:rPr>
          <w:rFonts w:ascii="Verdana" w:hAnsi="Verdana"/>
          <w:sz w:val="20"/>
          <w:szCs w:val="20"/>
        </w:rPr>
        <w:t xml:space="preserve"> 95.5) modelled on unit number 287 (</w:t>
      </w:r>
      <w:proofErr w:type="spellStart"/>
      <w:r>
        <w:rPr>
          <w:rFonts w:ascii="Verdana" w:hAnsi="Verdana"/>
          <w:sz w:val="20"/>
          <w:szCs w:val="20"/>
        </w:rPr>
        <w:t>sqm</w:t>
      </w:r>
      <w:proofErr w:type="spellEnd"/>
      <w:r>
        <w:rPr>
          <w:rFonts w:ascii="Verdana" w:hAnsi="Verdana"/>
          <w:sz w:val="20"/>
          <w:szCs w:val="20"/>
        </w:rPr>
        <w:t xml:space="preserve"> 92)</w:t>
      </w:r>
    </w:p>
    <w:p w:rsidR="00E5315D" w:rsidRDefault="00E5315D" w:rsidP="00E5315D">
      <w:pPr>
        <w:pStyle w:val="ListParagraph"/>
        <w:ind w:left="1080" w:hanging="360"/>
        <w:rPr>
          <w:rFonts w:ascii="Verdana" w:hAnsi="Verdana"/>
          <w:sz w:val="20"/>
          <w:szCs w:val="20"/>
        </w:rPr>
      </w:pPr>
      <w:r>
        <w:rPr>
          <w:rFonts w:ascii="Verdana" w:hAnsi="Verdana"/>
          <w:sz w:val="20"/>
          <w:szCs w:val="20"/>
        </w:rPr>
        <w:t>-</w:t>
      </w:r>
      <w:r>
        <w:rPr>
          <w:rFonts w:ascii="Times New Roman" w:hAnsi="Times New Roman" w:cs="Times New Roman"/>
          <w:sz w:val="14"/>
          <w:szCs w:val="14"/>
        </w:rPr>
        <w:t xml:space="preserve">      </w:t>
      </w:r>
      <w:r>
        <w:rPr>
          <w:rFonts w:ascii="Verdana" w:hAnsi="Verdana"/>
          <w:sz w:val="20"/>
          <w:szCs w:val="20"/>
        </w:rPr>
        <w:t>260 (</w:t>
      </w:r>
      <w:proofErr w:type="spellStart"/>
      <w:r>
        <w:rPr>
          <w:rFonts w:ascii="Verdana" w:hAnsi="Verdana"/>
          <w:sz w:val="20"/>
          <w:szCs w:val="20"/>
        </w:rPr>
        <w:t>sqm</w:t>
      </w:r>
      <w:proofErr w:type="spellEnd"/>
      <w:r>
        <w:rPr>
          <w:rFonts w:ascii="Verdana" w:hAnsi="Verdana"/>
          <w:sz w:val="20"/>
          <w:szCs w:val="20"/>
        </w:rPr>
        <w:t xml:space="preserve"> 95.5) - modelled on 287 (</w:t>
      </w:r>
      <w:proofErr w:type="spellStart"/>
      <w:r>
        <w:rPr>
          <w:rFonts w:ascii="Verdana" w:hAnsi="Verdana"/>
          <w:sz w:val="20"/>
          <w:szCs w:val="20"/>
        </w:rPr>
        <w:t>sqm</w:t>
      </w:r>
      <w:proofErr w:type="spellEnd"/>
      <w:r>
        <w:rPr>
          <w:rFonts w:ascii="Verdana" w:hAnsi="Verdana"/>
          <w:sz w:val="20"/>
          <w:szCs w:val="20"/>
        </w:rPr>
        <w:t xml:space="preserve"> 92)</w:t>
      </w:r>
    </w:p>
    <w:p w:rsidR="00E5315D" w:rsidRDefault="00E5315D" w:rsidP="00E5315D">
      <w:pPr>
        <w:pStyle w:val="ListParagraph"/>
        <w:ind w:left="1080" w:hanging="360"/>
        <w:rPr>
          <w:rFonts w:ascii="Verdana" w:hAnsi="Verdana"/>
          <w:sz w:val="20"/>
          <w:szCs w:val="20"/>
        </w:rPr>
      </w:pPr>
      <w:r>
        <w:rPr>
          <w:rFonts w:ascii="Verdana" w:hAnsi="Verdana"/>
          <w:sz w:val="20"/>
          <w:szCs w:val="20"/>
        </w:rPr>
        <w:t>-</w:t>
      </w:r>
      <w:r>
        <w:rPr>
          <w:rFonts w:ascii="Times New Roman" w:hAnsi="Times New Roman" w:cs="Times New Roman"/>
          <w:sz w:val="14"/>
          <w:szCs w:val="14"/>
        </w:rPr>
        <w:t xml:space="preserve">      </w:t>
      </w:r>
      <w:r>
        <w:rPr>
          <w:rFonts w:ascii="Verdana" w:hAnsi="Verdana"/>
          <w:sz w:val="20"/>
          <w:szCs w:val="20"/>
        </w:rPr>
        <w:t>261 (</w:t>
      </w:r>
      <w:proofErr w:type="spellStart"/>
      <w:r>
        <w:rPr>
          <w:rFonts w:ascii="Verdana" w:hAnsi="Verdana"/>
          <w:sz w:val="20"/>
          <w:szCs w:val="20"/>
        </w:rPr>
        <w:t>sqm</w:t>
      </w:r>
      <w:proofErr w:type="spellEnd"/>
      <w:r>
        <w:rPr>
          <w:rFonts w:ascii="Verdana" w:hAnsi="Verdana"/>
          <w:sz w:val="20"/>
          <w:szCs w:val="20"/>
        </w:rPr>
        <w:t xml:space="preserve"> 95.5) - modelled on 287 (</w:t>
      </w:r>
      <w:proofErr w:type="spellStart"/>
      <w:r>
        <w:rPr>
          <w:rFonts w:ascii="Verdana" w:hAnsi="Verdana"/>
          <w:sz w:val="20"/>
          <w:szCs w:val="20"/>
        </w:rPr>
        <w:t>sqm</w:t>
      </w:r>
      <w:proofErr w:type="spellEnd"/>
      <w:r>
        <w:rPr>
          <w:rFonts w:ascii="Verdana" w:hAnsi="Verdana"/>
          <w:sz w:val="20"/>
          <w:szCs w:val="20"/>
        </w:rPr>
        <w:t xml:space="preserve"> 92)</w:t>
      </w:r>
    </w:p>
    <w:p w:rsidR="00E5315D" w:rsidRDefault="00E5315D" w:rsidP="00E5315D">
      <w:pPr>
        <w:pStyle w:val="ListParagraph"/>
        <w:ind w:left="1080" w:hanging="360"/>
        <w:rPr>
          <w:rFonts w:ascii="Verdana" w:hAnsi="Verdana"/>
          <w:sz w:val="20"/>
          <w:szCs w:val="20"/>
        </w:rPr>
      </w:pPr>
      <w:r>
        <w:rPr>
          <w:rFonts w:ascii="Verdana" w:hAnsi="Verdana"/>
          <w:sz w:val="20"/>
          <w:szCs w:val="20"/>
        </w:rPr>
        <w:t>-</w:t>
      </w:r>
      <w:r>
        <w:rPr>
          <w:rFonts w:ascii="Times New Roman" w:hAnsi="Times New Roman" w:cs="Times New Roman"/>
          <w:sz w:val="14"/>
          <w:szCs w:val="14"/>
        </w:rPr>
        <w:t xml:space="preserve">      </w:t>
      </w:r>
      <w:r>
        <w:rPr>
          <w:rFonts w:ascii="Verdana" w:hAnsi="Verdana"/>
          <w:sz w:val="20"/>
          <w:szCs w:val="20"/>
        </w:rPr>
        <w:t>264 (</w:t>
      </w:r>
      <w:proofErr w:type="spellStart"/>
      <w:r>
        <w:rPr>
          <w:rFonts w:ascii="Verdana" w:hAnsi="Verdana"/>
          <w:sz w:val="20"/>
          <w:szCs w:val="20"/>
        </w:rPr>
        <w:t>sqm</w:t>
      </w:r>
      <w:proofErr w:type="spellEnd"/>
      <w:r>
        <w:rPr>
          <w:rFonts w:ascii="Verdana" w:hAnsi="Verdana"/>
          <w:sz w:val="20"/>
          <w:szCs w:val="20"/>
        </w:rPr>
        <w:t xml:space="preserve"> 95.5) – modelled on 287 (</w:t>
      </w:r>
      <w:proofErr w:type="spellStart"/>
      <w:r>
        <w:rPr>
          <w:rFonts w:ascii="Verdana" w:hAnsi="Verdana"/>
          <w:sz w:val="20"/>
          <w:szCs w:val="20"/>
        </w:rPr>
        <w:t>sqm</w:t>
      </w:r>
      <w:proofErr w:type="spellEnd"/>
      <w:r>
        <w:rPr>
          <w:rFonts w:ascii="Verdana" w:hAnsi="Verdana"/>
          <w:sz w:val="20"/>
          <w:szCs w:val="20"/>
        </w:rPr>
        <w:t xml:space="preserve"> 92)</w:t>
      </w:r>
    </w:p>
    <w:p w:rsidR="00E5315D" w:rsidRDefault="00E5315D" w:rsidP="00E5315D">
      <w:pPr>
        <w:pStyle w:val="ListParagraph"/>
        <w:ind w:left="1080" w:hanging="360"/>
        <w:rPr>
          <w:rFonts w:ascii="Verdana" w:hAnsi="Verdana"/>
          <w:b/>
          <w:bCs/>
          <w:sz w:val="20"/>
          <w:szCs w:val="20"/>
        </w:rPr>
      </w:pPr>
      <w:r>
        <w:rPr>
          <w:rFonts w:ascii="Verdana" w:hAnsi="Verdana"/>
          <w:sz w:val="20"/>
          <w:szCs w:val="20"/>
        </w:rPr>
        <w:t>-</w:t>
      </w:r>
      <w:r>
        <w:rPr>
          <w:rFonts w:ascii="Times New Roman" w:hAnsi="Times New Roman" w:cs="Times New Roman"/>
          <w:sz w:val="14"/>
          <w:szCs w:val="14"/>
        </w:rPr>
        <w:t xml:space="preserve">      </w:t>
      </w:r>
      <w:r>
        <w:rPr>
          <w:rFonts w:ascii="Verdana" w:hAnsi="Verdana"/>
          <w:b/>
          <w:bCs/>
          <w:sz w:val="20"/>
          <w:szCs w:val="20"/>
        </w:rPr>
        <w:t>266 (</w:t>
      </w:r>
      <w:proofErr w:type="spellStart"/>
      <w:r>
        <w:rPr>
          <w:rFonts w:ascii="Verdana" w:hAnsi="Verdana"/>
          <w:b/>
          <w:bCs/>
          <w:sz w:val="20"/>
          <w:szCs w:val="20"/>
        </w:rPr>
        <w:t>sqm</w:t>
      </w:r>
      <w:proofErr w:type="spellEnd"/>
      <w:r>
        <w:rPr>
          <w:rFonts w:ascii="Verdana" w:hAnsi="Verdana"/>
          <w:b/>
          <w:bCs/>
          <w:sz w:val="20"/>
          <w:szCs w:val="20"/>
        </w:rPr>
        <w:t xml:space="preserve"> 83) – modelled on 265 (</w:t>
      </w:r>
      <w:proofErr w:type="spellStart"/>
      <w:r>
        <w:rPr>
          <w:rFonts w:ascii="Verdana" w:hAnsi="Verdana"/>
          <w:b/>
          <w:bCs/>
          <w:sz w:val="20"/>
          <w:szCs w:val="20"/>
        </w:rPr>
        <w:t>sqm</w:t>
      </w:r>
      <w:proofErr w:type="spellEnd"/>
      <w:r>
        <w:rPr>
          <w:rFonts w:ascii="Verdana" w:hAnsi="Verdana"/>
          <w:b/>
          <w:bCs/>
          <w:sz w:val="20"/>
          <w:szCs w:val="20"/>
        </w:rPr>
        <w:t xml:space="preserve"> 118.9)</w:t>
      </w:r>
    </w:p>
    <w:p w:rsidR="00E5315D" w:rsidRDefault="00E5315D" w:rsidP="00E5315D">
      <w:pPr>
        <w:pStyle w:val="ListParagraph"/>
        <w:ind w:left="1080" w:hanging="360"/>
        <w:rPr>
          <w:rFonts w:ascii="Verdana" w:hAnsi="Verdana"/>
          <w:b/>
          <w:bCs/>
          <w:sz w:val="20"/>
          <w:szCs w:val="20"/>
        </w:rPr>
      </w:pPr>
      <w:r>
        <w:rPr>
          <w:rFonts w:ascii="Verdana" w:hAnsi="Verdana"/>
          <w:sz w:val="20"/>
          <w:szCs w:val="20"/>
        </w:rPr>
        <w:t>-</w:t>
      </w:r>
      <w:r>
        <w:rPr>
          <w:rFonts w:ascii="Times New Roman" w:hAnsi="Times New Roman" w:cs="Times New Roman"/>
          <w:sz w:val="14"/>
          <w:szCs w:val="14"/>
        </w:rPr>
        <w:t xml:space="preserve">      </w:t>
      </w:r>
      <w:r>
        <w:rPr>
          <w:rFonts w:ascii="Verdana" w:hAnsi="Verdana"/>
          <w:b/>
          <w:bCs/>
          <w:sz w:val="20"/>
          <w:szCs w:val="20"/>
        </w:rPr>
        <w:t>268 (</w:t>
      </w:r>
      <w:proofErr w:type="spellStart"/>
      <w:r>
        <w:rPr>
          <w:rFonts w:ascii="Verdana" w:hAnsi="Verdana"/>
          <w:b/>
          <w:bCs/>
          <w:sz w:val="20"/>
          <w:szCs w:val="20"/>
        </w:rPr>
        <w:t>sqm</w:t>
      </w:r>
      <w:proofErr w:type="spellEnd"/>
      <w:r>
        <w:rPr>
          <w:rFonts w:ascii="Verdana" w:hAnsi="Verdana"/>
          <w:b/>
          <w:bCs/>
          <w:sz w:val="20"/>
          <w:szCs w:val="20"/>
        </w:rPr>
        <w:t xml:space="preserve"> 92) – modelled on 237 (</w:t>
      </w:r>
      <w:proofErr w:type="spellStart"/>
      <w:r>
        <w:rPr>
          <w:rFonts w:ascii="Verdana" w:hAnsi="Verdana"/>
          <w:b/>
          <w:bCs/>
          <w:sz w:val="20"/>
          <w:szCs w:val="20"/>
        </w:rPr>
        <w:t>sqm</w:t>
      </w:r>
      <w:proofErr w:type="spellEnd"/>
      <w:r>
        <w:rPr>
          <w:rFonts w:ascii="Verdana" w:hAnsi="Verdana"/>
          <w:b/>
          <w:bCs/>
          <w:sz w:val="20"/>
          <w:szCs w:val="20"/>
        </w:rPr>
        <w:t xml:space="preserve"> 81.9)</w:t>
      </w:r>
    </w:p>
    <w:p w:rsidR="00E5315D" w:rsidRDefault="00E5315D" w:rsidP="00E5315D">
      <w:pPr>
        <w:pStyle w:val="ListParagraph"/>
        <w:ind w:left="1080" w:hanging="360"/>
        <w:rPr>
          <w:rFonts w:ascii="Verdana" w:hAnsi="Verdana"/>
          <w:b/>
          <w:bCs/>
          <w:sz w:val="20"/>
          <w:szCs w:val="20"/>
        </w:rPr>
      </w:pPr>
      <w:r>
        <w:rPr>
          <w:rFonts w:ascii="Verdana" w:hAnsi="Verdana"/>
          <w:sz w:val="20"/>
          <w:szCs w:val="20"/>
        </w:rPr>
        <w:t>-</w:t>
      </w:r>
      <w:r>
        <w:rPr>
          <w:rFonts w:ascii="Times New Roman" w:hAnsi="Times New Roman" w:cs="Times New Roman"/>
          <w:sz w:val="14"/>
          <w:szCs w:val="14"/>
        </w:rPr>
        <w:t xml:space="preserve">      </w:t>
      </w:r>
      <w:r>
        <w:rPr>
          <w:rFonts w:ascii="Verdana" w:hAnsi="Verdana"/>
          <w:b/>
          <w:bCs/>
          <w:sz w:val="20"/>
          <w:szCs w:val="20"/>
        </w:rPr>
        <w:t>274 (</w:t>
      </w:r>
      <w:proofErr w:type="spellStart"/>
      <w:r>
        <w:rPr>
          <w:rFonts w:ascii="Verdana" w:hAnsi="Verdana"/>
          <w:b/>
          <w:bCs/>
          <w:sz w:val="20"/>
          <w:szCs w:val="20"/>
        </w:rPr>
        <w:t>sqm</w:t>
      </w:r>
      <w:proofErr w:type="spellEnd"/>
      <w:r>
        <w:rPr>
          <w:rFonts w:ascii="Verdana" w:hAnsi="Verdana"/>
          <w:b/>
          <w:bCs/>
          <w:sz w:val="20"/>
          <w:szCs w:val="20"/>
        </w:rPr>
        <w:t xml:space="preserve"> 92) – modelled on 237 (</w:t>
      </w:r>
      <w:proofErr w:type="spellStart"/>
      <w:r>
        <w:rPr>
          <w:rFonts w:ascii="Verdana" w:hAnsi="Verdana"/>
          <w:b/>
          <w:bCs/>
          <w:sz w:val="20"/>
          <w:szCs w:val="20"/>
        </w:rPr>
        <w:t>sqm</w:t>
      </w:r>
      <w:proofErr w:type="spellEnd"/>
      <w:r>
        <w:rPr>
          <w:rFonts w:ascii="Verdana" w:hAnsi="Verdana"/>
          <w:b/>
          <w:bCs/>
          <w:sz w:val="20"/>
          <w:szCs w:val="20"/>
        </w:rPr>
        <w:t xml:space="preserve"> 81.9)</w:t>
      </w:r>
    </w:p>
    <w:p w:rsidR="00E5315D" w:rsidRDefault="00E5315D" w:rsidP="00E5315D">
      <w:pPr>
        <w:pStyle w:val="ListParagraph"/>
        <w:ind w:left="1080" w:hanging="360"/>
        <w:rPr>
          <w:rFonts w:ascii="Verdana" w:hAnsi="Verdana"/>
          <w:sz w:val="20"/>
          <w:szCs w:val="20"/>
        </w:rPr>
      </w:pPr>
      <w:r>
        <w:rPr>
          <w:rFonts w:ascii="Verdana" w:hAnsi="Verdana"/>
          <w:sz w:val="20"/>
          <w:szCs w:val="20"/>
        </w:rPr>
        <w:t>-</w:t>
      </w:r>
      <w:r>
        <w:rPr>
          <w:rFonts w:ascii="Times New Roman" w:hAnsi="Times New Roman" w:cs="Times New Roman"/>
          <w:sz w:val="14"/>
          <w:szCs w:val="14"/>
        </w:rPr>
        <w:t xml:space="preserve">      </w:t>
      </w:r>
      <w:r>
        <w:rPr>
          <w:rFonts w:ascii="Verdana" w:hAnsi="Verdana"/>
          <w:sz w:val="20"/>
          <w:szCs w:val="20"/>
        </w:rPr>
        <w:t>290 (</w:t>
      </w:r>
      <w:proofErr w:type="spellStart"/>
      <w:r>
        <w:rPr>
          <w:rFonts w:ascii="Verdana" w:hAnsi="Verdana"/>
          <w:sz w:val="20"/>
          <w:szCs w:val="20"/>
        </w:rPr>
        <w:t>sqm</w:t>
      </w:r>
      <w:proofErr w:type="spellEnd"/>
      <w:r>
        <w:rPr>
          <w:rFonts w:ascii="Verdana" w:hAnsi="Verdana"/>
          <w:sz w:val="20"/>
          <w:szCs w:val="20"/>
        </w:rPr>
        <w:t xml:space="preserve"> 81.9) – modelled on 287 (</w:t>
      </w:r>
      <w:proofErr w:type="spellStart"/>
      <w:r>
        <w:rPr>
          <w:rFonts w:ascii="Verdana" w:hAnsi="Verdana"/>
          <w:sz w:val="20"/>
          <w:szCs w:val="20"/>
        </w:rPr>
        <w:t>sqm</w:t>
      </w:r>
      <w:proofErr w:type="spellEnd"/>
      <w:r>
        <w:rPr>
          <w:rFonts w:ascii="Verdana" w:hAnsi="Verdana"/>
          <w:sz w:val="20"/>
          <w:szCs w:val="20"/>
        </w:rPr>
        <w:t xml:space="preserve"> 92)</w:t>
      </w:r>
    </w:p>
    <w:p w:rsidR="00E5315D" w:rsidRDefault="00E5315D" w:rsidP="00E5315D">
      <w:pPr>
        <w:pStyle w:val="ListParagraph"/>
        <w:ind w:left="1080" w:hanging="360"/>
        <w:rPr>
          <w:rFonts w:ascii="Verdana" w:hAnsi="Verdana"/>
          <w:sz w:val="20"/>
          <w:szCs w:val="20"/>
        </w:rPr>
      </w:pPr>
      <w:r>
        <w:rPr>
          <w:rFonts w:ascii="Verdana" w:hAnsi="Verdana"/>
          <w:sz w:val="20"/>
          <w:szCs w:val="20"/>
        </w:rPr>
        <w:t>-</w:t>
      </w:r>
      <w:r>
        <w:rPr>
          <w:rFonts w:ascii="Times New Roman" w:hAnsi="Times New Roman" w:cs="Times New Roman"/>
          <w:sz w:val="14"/>
          <w:szCs w:val="14"/>
        </w:rPr>
        <w:t xml:space="preserve">      </w:t>
      </w:r>
      <w:r>
        <w:rPr>
          <w:rFonts w:ascii="Verdana" w:hAnsi="Verdana"/>
          <w:sz w:val="20"/>
          <w:szCs w:val="20"/>
        </w:rPr>
        <w:t>293 (</w:t>
      </w:r>
      <w:proofErr w:type="spellStart"/>
      <w:r>
        <w:rPr>
          <w:rFonts w:ascii="Verdana" w:hAnsi="Verdana"/>
          <w:sz w:val="20"/>
          <w:szCs w:val="20"/>
        </w:rPr>
        <w:t>sqm</w:t>
      </w:r>
      <w:proofErr w:type="spellEnd"/>
      <w:r>
        <w:rPr>
          <w:rFonts w:ascii="Verdana" w:hAnsi="Verdana"/>
          <w:sz w:val="20"/>
          <w:szCs w:val="20"/>
        </w:rPr>
        <w:t xml:space="preserve"> 80.3) – modelled on 237 (</w:t>
      </w:r>
      <w:proofErr w:type="spellStart"/>
      <w:r>
        <w:rPr>
          <w:rFonts w:ascii="Verdana" w:hAnsi="Verdana"/>
          <w:sz w:val="20"/>
          <w:szCs w:val="20"/>
        </w:rPr>
        <w:t>sqm</w:t>
      </w:r>
      <w:proofErr w:type="spellEnd"/>
      <w:r>
        <w:rPr>
          <w:rFonts w:ascii="Verdana" w:hAnsi="Verdana"/>
          <w:sz w:val="20"/>
          <w:szCs w:val="20"/>
        </w:rPr>
        <w:t xml:space="preserve"> 81.9)</w:t>
      </w:r>
    </w:p>
    <w:p w:rsidR="00E5315D" w:rsidRDefault="00E5315D" w:rsidP="00E5315D">
      <w:pPr>
        <w:pStyle w:val="ListParagraph"/>
        <w:ind w:left="1080" w:hanging="360"/>
        <w:rPr>
          <w:rFonts w:ascii="Verdana" w:hAnsi="Verdana"/>
          <w:sz w:val="20"/>
          <w:szCs w:val="20"/>
        </w:rPr>
      </w:pPr>
      <w:r>
        <w:rPr>
          <w:rFonts w:ascii="Verdana" w:hAnsi="Verdana"/>
          <w:sz w:val="20"/>
          <w:szCs w:val="20"/>
        </w:rPr>
        <w:t>-</w:t>
      </w:r>
      <w:r>
        <w:rPr>
          <w:rFonts w:ascii="Times New Roman" w:hAnsi="Times New Roman" w:cs="Times New Roman"/>
          <w:sz w:val="14"/>
          <w:szCs w:val="14"/>
        </w:rPr>
        <w:t xml:space="preserve">      </w:t>
      </w:r>
      <w:r>
        <w:rPr>
          <w:rFonts w:ascii="Verdana" w:hAnsi="Verdana"/>
          <w:sz w:val="20"/>
          <w:szCs w:val="20"/>
        </w:rPr>
        <w:t>294 (</w:t>
      </w:r>
      <w:proofErr w:type="spellStart"/>
      <w:r>
        <w:rPr>
          <w:rFonts w:ascii="Verdana" w:hAnsi="Verdana"/>
          <w:sz w:val="20"/>
          <w:szCs w:val="20"/>
        </w:rPr>
        <w:t>sqm</w:t>
      </w:r>
      <w:proofErr w:type="spellEnd"/>
      <w:r>
        <w:rPr>
          <w:rFonts w:ascii="Verdana" w:hAnsi="Verdana"/>
          <w:sz w:val="20"/>
          <w:szCs w:val="20"/>
        </w:rPr>
        <w:t xml:space="preserve"> 95.5) – modelled on 238 (</w:t>
      </w:r>
      <w:proofErr w:type="spellStart"/>
      <w:r>
        <w:rPr>
          <w:rFonts w:ascii="Verdana" w:hAnsi="Verdana"/>
          <w:sz w:val="20"/>
          <w:szCs w:val="20"/>
        </w:rPr>
        <w:t>sqm</w:t>
      </w:r>
      <w:proofErr w:type="spellEnd"/>
      <w:r>
        <w:rPr>
          <w:rFonts w:ascii="Verdana" w:hAnsi="Verdana"/>
          <w:sz w:val="20"/>
          <w:szCs w:val="20"/>
        </w:rPr>
        <w:t xml:space="preserve"> 92) </w:t>
      </w:r>
    </w:p>
    <w:p w:rsidR="00E5315D" w:rsidRDefault="00E5315D" w:rsidP="00E5315D">
      <w:pPr>
        <w:pStyle w:val="ListParagraph"/>
        <w:ind w:left="1080" w:hanging="360"/>
        <w:rPr>
          <w:rFonts w:ascii="Verdana" w:hAnsi="Verdana"/>
          <w:sz w:val="20"/>
          <w:szCs w:val="20"/>
        </w:rPr>
      </w:pPr>
      <w:r>
        <w:rPr>
          <w:rFonts w:ascii="Verdana" w:hAnsi="Verdana"/>
          <w:sz w:val="20"/>
          <w:szCs w:val="20"/>
        </w:rPr>
        <w:t>-</w:t>
      </w:r>
      <w:r>
        <w:rPr>
          <w:rFonts w:ascii="Times New Roman" w:hAnsi="Times New Roman" w:cs="Times New Roman"/>
          <w:sz w:val="14"/>
          <w:szCs w:val="14"/>
        </w:rPr>
        <w:t xml:space="preserve">      </w:t>
      </w:r>
      <w:r>
        <w:rPr>
          <w:rFonts w:ascii="Verdana" w:hAnsi="Verdana"/>
          <w:sz w:val="20"/>
          <w:szCs w:val="20"/>
        </w:rPr>
        <w:t>295 (</w:t>
      </w:r>
      <w:proofErr w:type="spellStart"/>
      <w:r>
        <w:rPr>
          <w:rFonts w:ascii="Verdana" w:hAnsi="Verdana"/>
          <w:sz w:val="20"/>
          <w:szCs w:val="20"/>
        </w:rPr>
        <w:t>sqm</w:t>
      </w:r>
      <w:proofErr w:type="spellEnd"/>
      <w:r>
        <w:rPr>
          <w:rFonts w:ascii="Verdana" w:hAnsi="Verdana"/>
          <w:sz w:val="20"/>
          <w:szCs w:val="20"/>
        </w:rPr>
        <w:t xml:space="preserve"> 81.9) – modelled on 238 (</w:t>
      </w:r>
      <w:proofErr w:type="spellStart"/>
      <w:r>
        <w:rPr>
          <w:rFonts w:ascii="Verdana" w:hAnsi="Verdana"/>
          <w:sz w:val="20"/>
          <w:szCs w:val="20"/>
        </w:rPr>
        <w:t>sqm</w:t>
      </w:r>
      <w:proofErr w:type="spellEnd"/>
      <w:r>
        <w:rPr>
          <w:rFonts w:ascii="Verdana" w:hAnsi="Verdana"/>
          <w:sz w:val="20"/>
          <w:szCs w:val="20"/>
        </w:rPr>
        <w:t xml:space="preserve"> 92)</w:t>
      </w:r>
    </w:p>
    <w:p w:rsidR="00E5315D" w:rsidRDefault="00E5315D" w:rsidP="00E5315D">
      <w:pPr>
        <w:rPr>
          <w:rFonts w:ascii="Verdana" w:hAnsi="Verdana"/>
          <w:sz w:val="20"/>
          <w:szCs w:val="20"/>
        </w:rPr>
      </w:pPr>
    </w:p>
    <w:p w:rsidR="00E5315D" w:rsidRDefault="00E5315D" w:rsidP="00E5315D">
      <w:pPr>
        <w:pStyle w:val="ListParagraph"/>
        <w:ind w:hanging="360"/>
        <w:rPr>
          <w:rFonts w:ascii="Verdana" w:hAnsi="Verdana"/>
          <w:sz w:val="20"/>
          <w:szCs w:val="20"/>
        </w:rPr>
      </w:pPr>
      <w:r>
        <w:rPr>
          <w:rFonts w:ascii="Verdana" w:hAnsi="Verdana"/>
          <w:sz w:val="20"/>
          <w:szCs w:val="20"/>
        </w:rPr>
        <w:t>4.</w:t>
      </w:r>
      <w:r>
        <w:rPr>
          <w:rFonts w:ascii="Times New Roman" w:hAnsi="Times New Roman" w:cs="Times New Roman"/>
          <w:sz w:val="14"/>
          <w:szCs w:val="14"/>
        </w:rPr>
        <w:t xml:space="preserve">    </w:t>
      </w:r>
      <w:r>
        <w:rPr>
          <w:rFonts w:ascii="Verdana" w:hAnsi="Verdana"/>
          <w:sz w:val="20"/>
          <w:szCs w:val="20"/>
        </w:rPr>
        <w:t xml:space="preserve">In addition to these inconsistencies, you could have the same unit type but facing a different way, and presumably you’d get a very different result. We would like clarification on how this has been accounted for in the </w:t>
      </w:r>
      <w:proofErr w:type="spellStart"/>
      <w:r>
        <w:rPr>
          <w:rFonts w:ascii="Verdana" w:hAnsi="Verdana"/>
          <w:sz w:val="20"/>
          <w:szCs w:val="20"/>
        </w:rPr>
        <w:t>daylighting</w:t>
      </w:r>
      <w:proofErr w:type="spellEnd"/>
      <w:r>
        <w:rPr>
          <w:rFonts w:ascii="Verdana" w:hAnsi="Verdana"/>
          <w:sz w:val="20"/>
          <w:szCs w:val="20"/>
        </w:rPr>
        <w:t xml:space="preserve"> analysis.</w:t>
      </w:r>
    </w:p>
    <w:p w:rsidR="00E5315D" w:rsidRDefault="00E5315D" w:rsidP="00E5315D">
      <w:pPr>
        <w:rPr>
          <w:rFonts w:ascii="Verdana" w:hAnsi="Verdana"/>
          <w:sz w:val="20"/>
          <w:szCs w:val="20"/>
        </w:rPr>
      </w:pPr>
    </w:p>
    <w:p w:rsidR="00E5315D" w:rsidRDefault="00E5315D" w:rsidP="00E5315D">
      <w:pPr>
        <w:pStyle w:val="ListParagraph"/>
        <w:ind w:left="1080"/>
        <w:rPr>
          <w:rFonts w:ascii="Verdana" w:hAnsi="Verdana"/>
          <w:sz w:val="20"/>
          <w:szCs w:val="20"/>
        </w:rPr>
      </w:pPr>
    </w:p>
    <w:p w:rsidR="00E5315D" w:rsidRDefault="00E5315D" w:rsidP="00E5315D">
      <w:pPr>
        <w:pStyle w:val="ListParagraph"/>
        <w:ind w:hanging="360"/>
        <w:rPr>
          <w:rFonts w:ascii="Verdana" w:hAnsi="Verdana"/>
          <w:sz w:val="20"/>
          <w:szCs w:val="20"/>
        </w:rPr>
      </w:pPr>
      <w:r>
        <w:rPr>
          <w:rFonts w:ascii="Verdana" w:hAnsi="Verdana"/>
          <w:sz w:val="20"/>
          <w:szCs w:val="20"/>
        </w:rPr>
        <w:t>5.</w:t>
      </w:r>
      <w:r>
        <w:rPr>
          <w:rFonts w:ascii="Times New Roman" w:hAnsi="Times New Roman" w:cs="Times New Roman"/>
          <w:sz w:val="14"/>
          <w:szCs w:val="14"/>
        </w:rPr>
        <w:t xml:space="preserve">    </w:t>
      </w:r>
      <w:r>
        <w:rPr>
          <w:rFonts w:ascii="Verdana" w:hAnsi="Verdana"/>
          <w:sz w:val="20"/>
          <w:szCs w:val="20"/>
        </w:rPr>
        <w:t xml:space="preserve">In Table 1 (summary results) ADF ref. 7 is listed as 2-bed 3 people </w:t>
      </w:r>
      <w:proofErr w:type="gramStart"/>
      <w:r>
        <w:rPr>
          <w:rFonts w:ascii="Verdana" w:hAnsi="Verdana"/>
          <w:sz w:val="20"/>
          <w:szCs w:val="20"/>
        </w:rPr>
        <w:t>but  in</w:t>
      </w:r>
      <w:proofErr w:type="gramEnd"/>
      <w:r>
        <w:rPr>
          <w:rFonts w:ascii="Verdana" w:hAnsi="Verdana"/>
          <w:sz w:val="20"/>
          <w:szCs w:val="20"/>
        </w:rPr>
        <w:t xml:space="preserve"> Table 2 it is listed as 2-bed 4 people. The same is true of ADF ref. 15</w:t>
      </w:r>
    </w:p>
    <w:p w:rsidR="00E5315D" w:rsidRDefault="00E5315D" w:rsidP="00E5315D">
      <w:pPr>
        <w:pStyle w:val="ListParagraph"/>
        <w:rPr>
          <w:rFonts w:ascii="Verdana" w:hAnsi="Verdana"/>
          <w:sz w:val="20"/>
          <w:szCs w:val="20"/>
        </w:rPr>
      </w:pPr>
    </w:p>
    <w:p w:rsidR="00E5315D" w:rsidRDefault="00E5315D" w:rsidP="00E5315D">
      <w:pPr>
        <w:pStyle w:val="ListParagraph"/>
        <w:ind w:hanging="360"/>
        <w:rPr>
          <w:rFonts w:ascii="Verdana" w:hAnsi="Verdana"/>
          <w:sz w:val="20"/>
          <w:szCs w:val="20"/>
        </w:rPr>
      </w:pPr>
      <w:r>
        <w:rPr>
          <w:rFonts w:ascii="Verdana" w:hAnsi="Verdana"/>
          <w:sz w:val="20"/>
          <w:szCs w:val="20"/>
        </w:rPr>
        <w:t>6.</w:t>
      </w:r>
      <w:r>
        <w:rPr>
          <w:rFonts w:ascii="Times New Roman" w:hAnsi="Times New Roman" w:cs="Times New Roman"/>
          <w:sz w:val="14"/>
          <w:szCs w:val="14"/>
        </w:rPr>
        <w:t xml:space="preserve">    </w:t>
      </w:r>
      <w:r>
        <w:rPr>
          <w:rFonts w:ascii="Verdana" w:hAnsi="Verdana"/>
          <w:sz w:val="20"/>
          <w:szCs w:val="20"/>
        </w:rPr>
        <w:t xml:space="preserve">We would like clarification on whether the design alterations submitted within the Overheating Analysis (spandrels and overhang) for Unit 281 have been taken into consideration within the </w:t>
      </w:r>
      <w:proofErr w:type="spellStart"/>
      <w:r>
        <w:rPr>
          <w:rFonts w:ascii="Verdana" w:hAnsi="Verdana"/>
          <w:sz w:val="20"/>
          <w:szCs w:val="20"/>
        </w:rPr>
        <w:t>daylighting</w:t>
      </w:r>
      <w:proofErr w:type="spellEnd"/>
      <w:r>
        <w:rPr>
          <w:rFonts w:ascii="Verdana" w:hAnsi="Verdana"/>
          <w:sz w:val="20"/>
          <w:szCs w:val="20"/>
        </w:rPr>
        <w:t xml:space="preserve"> analysis.</w:t>
      </w:r>
    </w:p>
    <w:p w:rsidR="00E5315D" w:rsidRDefault="00E5315D" w:rsidP="00E5315D">
      <w:pPr>
        <w:pStyle w:val="ListParagraph"/>
        <w:rPr>
          <w:rFonts w:ascii="Verdana" w:hAnsi="Verdana"/>
          <w:sz w:val="20"/>
          <w:szCs w:val="20"/>
        </w:rPr>
      </w:pPr>
    </w:p>
    <w:p w:rsidR="00E5315D" w:rsidRDefault="00E5315D" w:rsidP="00E5315D">
      <w:pPr>
        <w:pStyle w:val="ListParagraph"/>
        <w:ind w:hanging="360"/>
        <w:rPr>
          <w:rFonts w:ascii="Verdana" w:hAnsi="Verdana"/>
          <w:sz w:val="20"/>
          <w:szCs w:val="20"/>
        </w:rPr>
      </w:pPr>
      <w:r>
        <w:rPr>
          <w:rFonts w:ascii="Verdana" w:hAnsi="Verdana"/>
          <w:sz w:val="20"/>
          <w:szCs w:val="20"/>
        </w:rPr>
        <w:t>7.</w:t>
      </w:r>
      <w:r>
        <w:rPr>
          <w:rFonts w:ascii="Times New Roman" w:hAnsi="Times New Roman" w:cs="Times New Roman"/>
          <w:sz w:val="14"/>
          <w:szCs w:val="14"/>
        </w:rPr>
        <w:t xml:space="preserve">    </w:t>
      </w:r>
      <w:r>
        <w:rPr>
          <w:rFonts w:ascii="Verdana" w:hAnsi="Verdana"/>
          <w:b/>
          <w:bCs/>
          <w:sz w:val="20"/>
          <w:szCs w:val="20"/>
          <w:u w:val="single"/>
        </w:rPr>
        <w:t>Of interest:</w:t>
      </w:r>
      <w:r>
        <w:rPr>
          <w:rFonts w:ascii="Verdana" w:hAnsi="Verdana"/>
          <w:sz w:val="20"/>
          <w:szCs w:val="20"/>
        </w:rPr>
        <w:t xml:space="preserve"> The </w:t>
      </w:r>
      <w:proofErr w:type="spellStart"/>
      <w:r>
        <w:rPr>
          <w:rFonts w:ascii="Verdana" w:hAnsi="Verdana"/>
          <w:sz w:val="20"/>
          <w:szCs w:val="20"/>
        </w:rPr>
        <w:t>daylighting</w:t>
      </w:r>
      <w:proofErr w:type="spellEnd"/>
      <w:r>
        <w:rPr>
          <w:rFonts w:ascii="Verdana" w:hAnsi="Verdana"/>
          <w:sz w:val="20"/>
          <w:szCs w:val="20"/>
        </w:rPr>
        <w:t xml:space="preserve"> calculation do show that all of the house types modelled have achieved the minimum 2 credits from HEA1 from the Code for Sustainable Homes (2010). However, the strategy on how this has been achieved differs from phase 1 of the Exemplar. On phase 1, </w:t>
      </w:r>
      <w:r>
        <w:rPr>
          <w:rFonts w:ascii="Verdana" w:hAnsi="Verdana"/>
          <w:b/>
          <w:bCs/>
          <w:sz w:val="20"/>
          <w:szCs w:val="20"/>
          <w:u w:val="single"/>
        </w:rPr>
        <w:t>all</w:t>
      </w:r>
      <w:r>
        <w:rPr>
          <w:rFonts w:ascii="Verdana" w:hAnsi="Verdana"/>
          <w:sz w:val="20"/>
          <w:szCs w:val="20"/>
        </w:rPr>
        <w:t xml:space="preserve"> of the homes achieved 1 credit for minimum 1.5% ADF in living room/office and 1 credit for the View of Sky analysis. 5 house types achieved the 3</w:t>
      </w:r>
      <w:r>
        <w:rPr>
          <w:rFonts w:ascii="Verdana" w:hAnsi="Verdana"/>
          <w:sz w:val="20"/>
          <w:szCs w:val="20"/>
          <w:vertAlign w:val="superscript"/>
        </w:rPr>
        <w:t>rd</w:t>
      </w:r>
      <w:r>
        <w:rPr>
          <w:rFonts w:ascii="Verdana" w:hAnsi="Verdana"/>
          <w:sz w:val="20"/>
          <w:szCs w:val="20"/>
        </w:rPr>
        <w:t xml:space="preserve"> credit for minimum 2% ADF for the Kitchen. </w:t>
      </w:r>
    </w:p>
    <w:p w:rsidR="00E5315D" w:rsidRDefault="00E5315D" w:rsidP="00E5315D">
      <w:pPr>
        <w:pStyle w:val="ListParagraph"/>
        <w:rPr>
          <w:rFonts w:ascii="Verdana" w:hAnsi="Verdana"/>
          <w:sz w:val="20"/>
          <w:szCs w:val="20"/>
        </w:rPr>
      </w:pPr>
    </w:p>
    <w:p w:rsidR="00E5315D" w:rsidRDefault="00E5315D" w:rsidP="00E5315D">
      <w:pPr>
        <w:pStyle w:val="ListParagraph"/>
        <w:rPr>
          <w:rFonts w:ascii="Verdana" w:hAnsi="Verdana"/>
          <w:sz w:val="20"/>
          <w:szCs w:val="20"/>
        </w:rPr>
      </w:pPr>
      <w:r>
        <w:rPr>
          <w:rFonts w:ascii="Verdana" w:hAnsi="Verdana"/>
          <w:sz w:val="20"/>
          <w:szCs w:val="20"/>
        </w:rPr>
        <w:t xml:space="preserve">On phase 2 the approach has been different. The majority of house types follow the same approach as in phase 1 (15 of 23 types modelled). However </w:t>
      </w:r>
      <w:r>
        <w:rPr>
          <w:rFonts w:ascii="Verdana" w:hAnsi="Verdana"/>
          <w:b/>
          <w:bCs/>
          <w:sz w:val="20"/>
          <w:szCs w:val="20"/>
          <w:u w:val="single"/>
        </w:rPr>
        <w:t>2</w:t>
      </w:r>
      <w:r>
        <w:rPr>
          <w:rFonts w:ascii="Verdana" w:hAnsi="Verdana"/>
          <w:sz w:val="20"/>
          <w:szCs w:val="20"/>
        </w:rPr>
        <w:t xml:space="preserve"> house types do not achieve 1 credit for 1.5% ADF in living room/office so therefore must achieve both View of Sky and 2% ADF credit for the Kitchen. </w:t>
      </w:r>
      <w:r>
        <w:rPr>
          <w:rFonts w:ascii="Verdana" w:hAnsi="Verdana"/>
          <w:b/>
          <w:bCs/>
          <w:sz w:val="20"/>
          <w:szCs w:val="20"/>
          <w:u w:val="single"/>
        </w:rPr>
        <w:t>4</w:t>
      </w:r>
      <w:r>
        <w:rPr>
          <w:rFonts w:ascii="Verdana" w:hAnsi="Verdana"/>
          <w:sz w:val="20"/>
          <w:szCs w:val="20"/>
        </w:rPr>
        <w:t xml:space="preserve"> house types do not achieve the 1 credit for view of the sky so therefore must achieve both credits for living room/office and kitchen. Only </w:t>
      </w:r>
      <w:r>
        <w:rPr>
          <w:rFonts w:ascii="Verdana" w:hAnsi="Verdana"/>
          <w:b/>
          <w:bCs/>
          <w:sz w:val="20"/>
          <w:szCs w:val="20"/>
        </w:rPr>
        <w:t>2</w:t>
      </w:r>
      <w:r>
        <w:rPr>
          <w:rFonts w:ascii="Verdana" w:hAnsi="Verdana"/>
          <w:sz w:val="20"/>
          <w:szCs w:val="20"/>
        </w:rPr>
        <w:t xml:space="preserve"> house types achieve all 3 credits for </w:t>
      </w:r>
      <w:proofErr w:type="spellStart"/>
      <w:r>
        <w:rPr>
          <w:rFonts w:ascii="Verdana" w:hAnsi="Verdana"/>
          <w:sz w:val="20"/>
          <w:szCs w:val="20"/>
        </w:rPr>
        <w:t>daylighting</w:t>
      </w:r>
      <w:proofErr w:type="spellEnd"/>
    </w:p>
    <w:p w:rsidR="00E5315D" w:rsidRDefault="00E5315D" w:rsidP="00E5315D">
      <w:pPr>
        <w:rPr>
          <w:rFonts w:ascii="Verdana" w:hAnsi="Verdana"/>
          <w:sz w:val="20"/>
          <w:szCs w:val="20"/>
        </w:rPr>
      </w:pPr>
    </w:p>
    <w:p w:rsidR="00E5315D" w:rsidRDefault="00E5315D" w:rsidP="00E5315D">
      <w:pPr>
        <w:rPr>
          <w:rFonts w:ascii="Verdana" w:hAnsi="Verdana"/>
          <w:sz w:val="20"/>
          <w:szCs w:val="20"/>
        </w:rPr>
      </w:pPr>
      <w:r>
        <w:rPr>
          <w:rFonts w:ascii="Verdana" w:hAnsi="Verdana"/>
          <w:sz w:val="20"/>
          <w:szCs w:val="20"/>
        </w:rPr>
        <w:t>Many Thanks</w:t>
      </w:r>
    </w:p>
    <w:p w:rsidR="00E5315D" w:rsidRDefault="00E5315D" w:rsidP="00E5315D">
      <w:pPr>
        <w:rPr>
          <w:rFonts w:ascii="Verdana" w:hAnsi="Verdana"/>
          <w:sz w:val="20"/>
          <w:szCs w:val="20"/>
        </w:rPr>
      </w:pPr>
    </w:p>
    <w:p w:rsidR="00E5315D" w:rsidRDefault="00E5315D" w:rsidP="00E5315D">
      <w:pPr>
        <w:rPr>
          <w:rFonts w:ascii="Verdana" w:hAnsi="Verdana"/>
          <w:sz w:val="20"/>
          <w:szCs w:val="20"/>
        </w:rPr>
      </w:pPr>
      <w:r>
        <w:rPr>
          <w:rFonts w:ascii="Verdana" w:hAnsi="Verdana"/>
          <w:sz w:val="20"/>
          <w:szCs w:val="20"/>
        </w:rPr>
        <w:t>Lewis</w:t>
      </w:r>
    </w:p>
    <w:p w:rsidR="00E5315D" w:rsidRDefault="00E5315D" w:rsidP="00E5315D">
      <w:pPr>
        <w:rPr>
          <w:rFonts w:ascii="Verdana" w:hAnsi="Verdana"/>
          <w:sz w:val="20"/>
          <w:szCs w:val="20"/>
        </w:rPr>
      </w:pPr>
    </w:p>
    <w:p w:rsidR="00E5315D" w:rsidRDefault="00E5315D" w:rsidP="00E5315D">
      <w:pPr>
        <w:rPr>
          <w:rFonts w:ascii="Verdana" w:hAnsi="Verdana"/>
          <w:sz w:val="20"/>
          <w:szCs w:val="20"/>
        </w:rPr>
      </w:pPr>
    </w:p>
    <w:p w:rsidR="00E5315D" w:rsidRDefault="00E5315D" w:rsidP="00E5315D">
      <w:pPr>
        <w:rPr>
          <w:rFonts w:ascii="Verdana" w:hAnsi="Verdana"/>
          <w:color w:val="323232"/>
          <w:sz w:val="18"/>
          <w:szCs w:val="18"/>
          <w:lang w:eastAsia="en-GB"/>
        </w:rPr>
      </w:pPr>
      <w:r>
        <w:rPr>
          <w:rFonts w:ascii="Verdana" w:hAnsi="Verdana"/>
          <w:color w:val="323232"/>
          <w:sz w:val="18"/>
          <w:szCs w:val="18"/>
          <w:lang w:eastAsia="en-GB"/>
        </w:rPr>
        <w:t>Lewis Knight</w:t>
      </w:r>
    </w:p>
    <w:p w:rsidR="00E5315D" w:rsidRDefault="00E5315D" w:rsidP="00E5315D">
      <w:pPr>
        <w:rPr>
          <w:rFonts w:ascii="Verdana" w:hAnsi="Verdana"/>
          <w:color w:val="323232"/>
          <w:sz w:val="18"/>
          <w:szCs w:val="18"/>
          <w:lang w:val="en-US" w:eastAsia="en-GB"/>
        </w:rPr>
      </w:pPr>
      <w:r>
        <w:rPr>
          <w:rFonts w:ascii="Verdana" w:hAnsi="Verdana"/>
          <w:color w:val="323232"/>
          <w:sz w:val="18"/>
          <w:szCs w:val="18"/>
          <w:lang w:val="en-US" w:eastAsia="en-GB"/>
        </w:rPr>
        <w:t>Bicester Eco Town Project Manager</w:t>
      </w:r>
    </w:p>
    <w:p w:rsidR="00E5315D" w:rsidRDefault="00E5315D" w:rsidP="00E5315D">
      <w:pPr>
        <w:rPr>
          <w:rFonts w:ascii="Verdana" w:hAnsi="Verdana"/>
          <w:color w:val="323232"/>
          <w:sz w:val="18"/>
          <w:szCs w:val="18"/>
          <w:lang w:eastAsia="en-GB"/>
        </w:rPr>
      </w:pPr>
    </w:p>
    <w:p w:rsidR="00E5315D" w:rsidRDefault="00E5315D" w:rsidP="00E5315D">
      <w:pPr>
        <w:rPr>
          <w:rFonts w:ascii="Verdana" w:hAnsi="Verdana"/>
          <w:color w:val="323232"/>
          <w:sz w:val="18"/>
          <w:szCs w:val="18"/>
          <w:lang w:eastAsia="en-GB"/>
        </w:rPr>
      </w:pPr>
      <w:r>
        <w:rPr>
          <w:rFonts w:ascii="Verdana" w:hAnsi="Verdana"/>
          <w:color w:val="323232"/>
          <w:sz w:val="18"/>
          <w:szCs w:val="18"/>
          <w:lang w:eastAsia="en-GB"/>
        </w:rPr>
        <w:t>T: 07834196851</w:t>
      </w:r>
    </w:p>
    <w:p w:rsidR="00E5315D" w:rsidRDefault="00E5315D" w:rsidP="00E5315D">
      <w:pPr>
        <w:rPr>
          <w:rFonts w:ascii="Verdana" w:hAnsi="Verdana"/>
          <w:color w:val="323232"/>
          <w:sz w:val="18"/>
          <w:szCs w:val="18"/>
          <w:lang w:eastAsia="en-GB"/>
        </w:rPr>
      </w:pPr>
      <w:proofErr w:type="spellStart"/>
      <w:r>
        <w:rPr>
          <w:rFonts w:ascii="Verdana" w:hAnsi="Verdana"/>
          <w:color w:val="323232"/>
          <w:sz w:val="18"/>
          <w:szCs w:val="18"/>
          <w:lang w:eastAsia="en-GB"/>
        </w:rPr>
        <w:t>BedZED</w:t>
      </w:r>
      <w:proofErr w:type="spellEnd"/>
      <w:r>
        <w:rPr>
          <w:rFonts w:ascii="Verdana" w:hAnsi="Verdana"/>
          <w:color w:val="323232"/>
          <w:sz w:val="18"/>
          <w:szCs w:val="18"/>
          <w:lang w:eastAsia="en-GB"/>
        </w:rPr>
        <w:t> Centre, 24 Helios Road, Wallington, London, SM6 7BZ, UK</w:t>
      </w:r>
    </w:p>
    <w:p w:rsidR="00E5315D" w:rsidRDefault="00E5315D" w:rsidP="00E5315D">
      <w:pPr>
        <w:rPr>
          <w:rFonts w:ascii="Verdana" w:hAnsi="Verdana"/>
          <w:color w:val="323232"/>
          <w:sz w:val="18"/>
          <w:szCs w:val="18"/>
          <w:lang w:val="en-US" w:eastAsia="en-GB"/>
        </w:rPr>
      </w:pPr>
      <w:r>
        <w:rPr>
          <w:rFonts w:ascii="Verdana" w:hAnsi="Verdana"/>
          <w:color w:val="323232"/>
          <w:sz w:val="18"/>
          <w:szCs w:val="18"/>
          <w:lang w:val="en-US" w:eastAsia="en-GB"/>
        </w:rPr>
        <w:t>@</w:t>
      </w:r>
      <w:proofErr w:type="spellStart"/>
      <w:r>
        <w:rPr>
          <w:rFonts w:ascii="Verdana" w:hAnsi="Verdana"/>
          <w:color w:val="323232"/>
          <w:sz w:val="18"/>
          <w:szCs w:val="18"/>
          <w:lang w:val="en-US" w:eastAsia="en-GB"/>
        </w:rPr>
        <w:t>lewisknight</w:t>
      </w:r>
      <w:proofErr w:type="spellEnd"/>
      <w:r>
        <w:rPr>
          <w:rFonts w:ascii="Verdana" w:hAnsi="Verdana"/>
          <w:color w:val="323232"/>
          <w:sz w:val="18"/>
          <w:szCs w:val="18"/>
          <w:lang w:val="en-US" w:eastAsia="en-GB"/>
        </w:rPr>
        <w:t xml:space="preserve"> @</w:t>
      </w:r>
      <w:proofErr w:type="spellStart"/>
      <w:r>
        <w:rPr>
          <w:rFonts w:ascii="Verdana" w:hAnsi="Verdana"/>
          <w:color w:val="323232"/>
          <w:sz w:val="18"/>
          <w:szCs w:val="18"/>
          <w:lang w:val="en-US" w:eastAsia="en-GB"/>
        </w:rPr>
        <w:t>BioregionalOxon</w:t>
      </w:r>
      <w:proofErr w:type="spellEnd"/>
    </w:p>
    <w:p w:rsidR="00E5315D" w:rsidRDefault="00E5315D" w:rsidP="00E5315D">
      <w:pPr>
        <w:rPr>
          <w:rFonts w:ascii="Verdana" w:hAnsi="Verdana"/>
          <w:color w:val="323232"/>
          <w:sz w:val="18"/>
          <w:szCs w:val="18"/>
          <w:lang w:val="en-US" w:eastAsia="en-GB"/>
        </w:rPr>
      </w:pPr>
    </w:p>
    <w:p w:rsidR="00E5315D" w:rsidRDefault="00E5315D" w:rsidP="00E5315D">
      <w:pPr>
        <w:rPr>
          <w:rFonts w:ascii="Verdana" w:hAnsi="Verdana"/>
          <w:b/>
          <w:bCs/>
          <w:color w:val="323232"/>
          <w:sz w:val="18"/>
          <w:szCs w:val="18"/>
          <w:lang w:val="en-US" w:eastAsia="en-GB"/>
        </w:rPr>
      </w:pPr>
      <w:r>
        <w:rPr>
          <w:rFonts w:ascii="Verdana" w:hAnsi="Verdana"/>
          <w:b/>
          <w:bCs/>
          <w:color w:val="323232"/>
          <w:sz w:val="18"/>
          <w:szCs w:val="18"/>
          <w:lang w:val="en-US" w:eastAsia="en-GB"/>
        </w:rPr>
        <w:t xml:space="preserve">Bioregional </w:t>
      </w:r>
    </w:p>
    <w:p w:rsidR="00E5315D" w:rsidRDefault="00E5315D" w:rsidP="00E5315D">
      <w:pPr>
        <w:rPr>
          <w:rFonts w:ascii="Verdana" w:hAnsi="Verdana"/>
          <w:b/>
          <w:bCs/>
          <w:color w:val="323232"/>
          <w:sz w:val="18"/>
          <w:szCs w:val="18"/>
          <w:lang w:eastAsia="en-GB"/>
        </w:rPr>
      </w:pPr>
      <w:r>
        <w:rPr>
          <w:rFonts w:ascii="Verdana" w:hAnsi="Verdana"/>
          <w:color w:val="323232"/>
          <w:sz w:val="18"/>
          <w:szCs w:val="18"/>
          <w:lang w:eastAsia="en-GB"/>
        </w:rPr>
        <w:t>Championing a better way to live</w:t>
      </w:r>
    </w:p>
    <w:p w:rsidR="00E5315D" w:rsidRDefault="00E5315D" w:rsidP="00E5315D">
      <w:pPr>
        <w:rPr>
          <w:rFonts w:ascii="Verdana" w:hAnsi="Verdana"/>
          <w:color w:val="00A0E6"/>
          <w:sz w:val="18"/>
          <w:szCs w:val="18"/>
          <w:u w:val="single"/>
          <w:lang w:eastAsia="en-GB"/>
        </w:rPr>
      </w:pPr>
      <w:hyperlink r:id="rId5" w:history="1">
        <w:r>
          <w:rPr>
            <w:rStyle w:val="Hyperlink"/>
            <w:rFonts w:ascii="Verdana" w:hAnsi="Verdana"/>
            <w:color w:val="00A0E6"/>
            <w:sz w:val="18"/>
            <w:szCs w:val="18"/>
            <w:lang w:eastAsia="en-GB"/>
          </w:rPr>
          <w:t>www.bioregional.com</w:t>
        </w:r>
      </w:hyperlink>
    </w:p>
    <w:p w:rsidR="001F7540" w:rsidRDefault="001F7540">
      <w:bookmarkStart w:id="0" w:name="_GoBack"/>
      <w:bookmarkEnd w:id="0"/>
    </w:p>
    <w:sectPr w:rsidR="001F75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15D"/>
    <w:rsid w:val="001F7540"/>
    <w:rsid w:val="00E53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15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315D"/>
    <w:rPr>
      <w:color w:val="0563C1"/>
      <w:u w:val="single"/>
    </w:rPr>
  </w:style>
  <w:style w:type="paragraph" w:styleId="ListParagraph">
    <w:name w:val="List Paragraph"/>
    <w:basedOn w:val="Normal"/>
    <w:uiPriority w:val="34"/>
    <w:qFormat/>
    <w:rsid w:val="00E5315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15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315D"/>
    <w:rPr>
      <w:color w:val="0563C1"/>
      <w:u w:val="single"/>
    </w:rPr>
  </w:style>
  <w:style w:type="paragraph" w:styleId="ListParagraph">
    <w:name w:val="List Paragraph"/>
    <w:basedOn w:val="Normal"/>
    <w:uiPriority w:val="34"/>
    <w:qFormat/>
    <w:rsid w:val="00E5315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75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oregion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3955</Characters>
  <Application>Microsoft Office Word</Application>
  <DocSecurity>0</DocSecurity>
  <Lines>32</Lines>
  <Paragraphs>9</Paragraphs>
  <ScaleCrop>false</ScaleCrop>
  <Company>Cherwell District Council</Company>
  <LinksUpToDate>false</LinksUpToDate>
  <CharactersWithSpaces>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2016-05-09T10:24:00Z</dcterms:created>
  <dcterms:modified xsi:type="dcterms:W3CDTF">2016-05-09T10:24:00Z</dcterms:modified>
</cp:coreProperties>
</file>