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6E06"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sidRPr="00B81B8A">
        <w:rPr>
          <w:b/>
          <w:bCs/>
        </w:rPr>
        <w:t xml:space="preserve">Application no: </w:t>
      </w:r>
      <w:r w:rsidRPr="00B81B8A">
        <w:rPr>
          <w:b/>
          <w:bCs/>
        </w:rPr>
        <w:fldChar w:fldCharType="begin"/>
      </w:r>
      <w:r w:rsidRPr="00B81B8A">
        <w:rPr>
          <w:b/>
          <w:bCs/>
        </w:rPr>
        <w:instrText xml:space="preserve"> MERGEFIELD «district_ref» \* </w:instrText>
      </w:r>
      <w:r w:rsidRPr="00B81B8A">
        <w:rPr>
          <w:b/>
          <w:bCs/>
        </w:rPr>
        <w:fldChar w:fldCharType="separate"/>
      </w:r>
      <w:r w:rsidRPr="00B81B8A">
        <w:rPr>
          <w:b/>
          <w:bCs/>
        </w:rPr>
        <w:t>22/00747/OUT</w:t>
      </w:r>
      <w:r w:rsidRPr="00B81B8A">
        <w:rPr>
          <w:b/>
          <w:bCs/>
        </w:rPr>
        <w:fldChar w:fldCharType="end"/>
      </w:r>
    </w:p>
    <w:p w14:paraId="4AF9B32C"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B81B8A">
        <w:rPr>
          <w:b/>
          <w:bCs/>
        </w:rPr>
        <w:t>Location:</w:t>
      </w:r>
      <w:r w:rsidRPr="00B81B8A">
        <w:t xml:space="preserve"> </w:t>
      </w:r>
      <w:r w:rsidR="004820E6">
        <w:fldChar w:fldCharType="begin"/>
      </w:r>
      <w:r w:rsidR="004820E6">
        <w:instrText xml:space="preserve"> MERGEFIELD «location» \* </w:instrText>
      </w:r>
      <w:r w:rsidR="004820E6">
        <w:fldChar w:fldCharType="separate"/>
      </w:r>
      <w:r w:rsidRPr="00B81B8A">
        <w:t>Land At Bicester Road</w:t>
      </w:r>
      <w:r w:rsidRPr="004820E6">
        <w:t xml:space="preserve"> Kidlington</w:t>
      </w:r>
      <w:r w:rsidR="004820E6">
        <w:rPr>
          <w:u w:val="words"/>
        </w:rPr>
        <w:fldChar w:fldCharType="end"/>
      </w:r>
    </w:p>
    <w:p w14:paraId="685B7467"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FF0000"/>
        </w:rPr>
      </w:pPr>
    </w:p>
    <w:p w14:paraId="178D6FF5" w14:textId="77777777" w:rsidR="00B81B8A" w:rsidRPr="00B81B8A" w:rsidRDefault="00B81B8A" w:rsidP="00B81B8A">
      <w:pPr>
        <w:pBdr>
          <w:top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280CC9FF" w14:textId="77777777" w:rsidR="00B81B8A" w:rsidRPr="00B81B8A" w:rsidRDefault="00B81B8A" w:rsidP="00B81B8A">
      <w:pPr>
        <w:tabs>
          <w:tab w:val="left" w:pos="33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center"/>
        <w:rPr>
          <w:color w:val="FF0000"/>
          <w:sz w:val="22"/>
          <w:szCs w:val="22"/>
        </w:rPr>
      </w:pPr>
      <w:r w:rsidRPr="00B81B8A">
        <w:rPr>
          <w:b/>
          <w:bCs/>
          <w:sz w:val="28"/>
          <w:szCs w:val="28"/>
          <w:u w:val="single"/>
        </w:rPr>
        <w:t xml:space="preserve">Education Schedule </w:t>
      </w:r>
    </w:p>
    <w:p w14:paraId="0DADF3C3"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u w:val="single"/>
        </w:rPr>
      </w:pPr>
    </w:p>
    <w:p w14:paraId="656D3530" w14:textId="4A8A9EBC"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u w:val="single"/>
        </w:rPr>
      </w:pPr>
      <w:r>
        <w:t xml:space="preserve">Response amended following </w:t>
      </w:r>
      <w:r w:rsidR="005A2B99">
        <w:t xml:space="preserve">the county council’s review of data relating to </w:t>
      </w:r>
      <w:r>
        <w:t xml:space="preserve">primary school capacity, following </w:t>
      </w:r>
      <w:r w:rsidR="005A2B99">
        <w:t>updat</w:t>
      </w:r>
      <w:r>
        <w:t>ed forecasts.</w:t>
      </w:r>
    </w:p>
    <w:p w14:paraId="299E58DE"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u w:val="single"/>
        </w:rPr>
      </w:pPr>
    </w:p>
    <w:p w14:paraId="3AC3FBBD" w14:textId="77777777" w:rsidR="00B81B8A" w:rsidRPr="00B81B8A" w:rsidRDefault="00B81B8A" w:rsidP="00B81B8A">
      <w:pPr>
        <w:autoSpaceDE w:val="0"/>
        <w:autoSpaceDN w:val="0"/>
        <w:adjustRightInd w:val="0"/>
      </w:pPr>
      <w:r w:rsidRPr="00B81B8A">
        <w:rPr>
          <w:b/>
          <w:bCs/>
        </w:rPr>
        <w:t xml:space="preserve">Recommendation: </w:t>
      </w:r>
    </w:p>
    <w:p w14:paraId="0B9D5941" w14:textId="77777777" w:rsidR="00B81B8A" w:rsidRPr="00B81B8A" w:rsidRDefault="00B81B8A" w:rsidP="00B81B8A">
      <w:pPr>
        <w:autoSpaceDE w:val="0"/>
        <w:autoSpaceDN w:val="0"/>
        <w:adjustRightInd w:val="0"/>
      </w:pPr>
    </w:p>
    <w:p w14:paraId="2E75D30E" w14:textId="77777777" w:rsidR="00B81B8A" w:rsidRPr="00B81B8A" w:rsidRDefault="00B81B8A" w:rsidP="00B81B8A">
      <w:pPr>
        <w:autoSpaceDE w:val="0"/>
        <w:autoSpaceDN w:val="0"/>
        <w:adjustRightInd w:val="0"/>
        <w:rPr>
          <w:b/>
          <w:bCs/>
        </w:rPr>
      </w:pPr>
      <w:r w:rsidRPr="00B81B8A">
        <w:rPr>
          <w:b/>
          <w:bCs/>
        </w:rPr>
        <w:t>No objection subject to:</w:t>
      </w:r>
    </w:p>
    <w:p w14:paraId="792E7BA7" w14:textId="77777777" w:rsidR="00B81B8A" w:rsidRPr="00B81B8A" w:rsidRDefault="00B81B8A" w:rsidP="00B81B8A">
      <w:pPr>
        <w:autoSpaceDE w:val="0"/>
        <w:autoSpaceDN w:val="0"/>
        <w:adjustRightInd w:val="0"/>
      </w:pPr>
    </w:p>
    <w:p w14:paraId="074A9F05" w14:textId="77777777" w:rsidR="00B81B8A" w:rsidRPr="00E76C9D" w:rsidRDefault="00B81B8A" w:rsidP="00E76C9D">
      <w:pPr>
        <w:pStyle w:val="ListParagraph"/>
        <w:numPr>
          <w:ilvl w:val="0"/>
          <w:numId w:val="2"/>
        </w:numPr>
        <w:tabs>
          <w:tab w:val="left" w:pos="720"/>
        </w:tabs>
      </w:pPr>
      <w:r w:rsidRPr="00E76C9D">
        <w:rPr>
          <w:b/>
          <w:bCs/>
        </w:rPr>
        <w:t xml:space="preserve">S106 Contributions </w:t>
      </w:r>
      <w:r w:rsidRPr="00E76C9D">
        <w:t>as summarised in the tables below and justified in this Schedule.</w:t>
      </w:r>
    </w:p>
    <w:p w14:paraId="54C34547"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tbl>
      <w:tblPr>
        <w:tblW w:w="0" w:type="auto"/>
        <w:tblInd w:w="113" w:type="dxa"/>
        <w:tblLayout w:type="fixed"/>
        <w:tblLook w:val="0000" w:firstRow="0" w:lastRow="0" w:firstColumn="0" w:lastColumn="0" w:noHBand="0" w:noVBand="0"/>
      </w:tblPr>
      <w:tblGrid>
        <w:gridCol w:w="1735"/>
        <w:gridCol w:w="1650"/>
        <w:gridCol w:w="1441"/>
        <w:gridCol w:w="1203"/>
        <w:gridCol w:w="2981"/>
      </w:tblGrid>
      <w:tr w:rsidR="00B81B8A" w:rsidRPr="00B81B8A" w14:paraId="302D6477" w14:textId="77777777">
        <w:tc>
          <w:tcPr>
            <w:tcW w:w="1735" w:type="dxa"/>
            <w:tcBorders>
              <w:top w:val="single" w:sz="4" w:space="0" w:color="auto"/>
              <w:left w:val="single" w:sz="4" w:space="0" w:color="auto"/>
              <w:bottom w:val="single" w:sz="4" w:space="0" w:color="auto"/>
              <w:right w:val="single" w:sz="4" w:space="0" w:color="auto"/>
            </w:tcBorders>
            <w:vAlign w:val="center"/>
          </w:tcPr>
          <w:p w14:paraId="6245930D" w14:textId="77777777" w:rsidR="00B81B8A" w:rsidRPr="00B81B8A" w:rsidRDefault="00B81B8A" w:rsidP="00B81B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rPr>
            </w:pPr>
            <w:r w:rsidRPr="00B81B8A">
              <w:rPr>
                <w:color w:val="000000"/>
              </w:rPr>
              <w:t xml:space="preserve">Contribution </w:t>
            </w:r>
          </w:p>
        </w:tc>
        <w:tc>
          <w:tcPr>
            <w:tcW w:w="1650" w:type="dxa"/>
            <w:tcBorders>
              <w:top w:val="single" w:sz="4" w:space="0" w:color="auto"/>
              <w:left w:val="single" w:sz="4" w:space="0" w:color="auto"/>
              <w:bottom w:val="single" w:sz="4" w:space="0" w:color="auto"/>
              <w:right w:val="single" w:sz="4" w:space="0" w:color="auto"/>
            </w:tcBorders>
            <w:vAlign w:val="center"/>
          </w:tcPr>
          <w:p w14:paraId="222746E5"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rPr>
            </w:pPr>
            <w:r w:rsidRPr="00B81B8A">
              <w:rPr>
                <w:color w:val="000000"/>
              </w:rPr>
              <w:t>Amount £</w:t>
            </w:r>
          </w:p>
        </w:tc>
        <w:tc>
          <w:tcPr>
            <w:tcW w:w="1441" w:type="dxa"/>
            <w:tcBorders>
              <w:top w:val="single" w:sz="4" w:space="0" w:color="auto"/>
              <w:left w:val="single" w:sz="4" w:space="0" w:color="auto"/>
              <w:bottom w:val="single" w:sz="4" w:space="0" w:color="auto"/>
              <w:right w:val="single" w:sz="4" w:space="0" w:color="auto"/>
            </w:tcBorders>
            <w:vAlign w:val="center"/>
          </w:tcPr>
          <w:p w14:paraId="57D78B9E"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rPr>
            </w:pPr>
            <w:r w:rsidRPr="00B81B8A">
              <w:rPr>
                <w:color w:val="000000"/>
              </w:rPr>
              <w:t>Price base</w:t>
            </w:r>
          </w:p>
        </w:tc>
        <w:tc>
          <w:tcPr>
            <w:tcW w:w="1203" w:type="dxa"/>
            <w:tcBorders>
              <w:top w:val="single" w:sz="4" w:space="0" w:color="auto"/>
              <w:left w:val="single" w:sz="4" w:space="0" w:color="auto"/>
              <w:bottom w:val="single" w:sz="4" w:space="0" w:color="auto"/>
              <w:right w:val="single" w:sz="4" w:space="0" w:color="auto"/>
            </w:tcBorders>
            <w:vAlign w:val="center"/>
          </w:tcPr>
          <w:p w14:paraId="031410BB"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rPr>
            </w:pPr>
            <w:r w:rsidRPr="00B81B8A">
              <w:rPr>
                <w:color w:val="000000"/>
              </w:rPr>
              <w:t>Index</w:t>
            </w:r>
          </w:p>
        </w:tc>
        <w:tc>
          <w:tcPr>
            <w:tcW w:w="2981" w:type="dxa"/>
            <w:tcBorders>
              <w:top w:val="single" w:sz="4" w:space="0" w:color="auto"/>
              <w:left w:val="single" w:sz="4" w:space="0" w:color="auto"/>
              <w:bottom w:val="single" w:sz="4" w:space="0" w:color="auto"/>
              <w:right w:val="single" w:sz="4" w:space="0" w:color="auto"/>
            </w:tcBorders>
            <w:vAlign w:val="center"/>
          </w:tcPr>
          <w:p w14:paraId="33D291BA" w14:textId="77777777" w:rsidR="00B81B8A" w:rsidRPr="00B81B8A" w:rsidRDefault="00B81B8A" w:rsidP="00B81B8A">
            <w:pPr>
              <w:tabs>
                <w:tab w:val="left" w:pos="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
              <w:rPr>
                <w:color w:val="000000"/>
              </w:rPr>
            </w:pPr>
            <w:r w:rsidRPr="00B81B8A">
              <w:rPr>
                <w:color w:val="000000"/>
              </w:rPr>
              <w:t>Towards (details)</w:t>
            </w:r>
          </w:p>
        </w:tc>
      </w:tr>
      <w:tr w:rsidR="00B81B8A" w:rsidRPr="00B81B8A" w14:paraId="0C5C52AC" w14:textId="77777777">
        <w:tc>
          <w:tcPr>
            <w:tcW w:w="1735" w:type="dxa"/>
            <w:tcBorders>
              <w:top w:val="single" w:sz="4" w:space="0" w:color="auto"/>
              <w:left w:val="single" w:sz="4" w:space="0" w:color="auto"/>
              <w:bottom w:val="single" w:sz="4" w:space="0" w:color="auto"/>
              <w:right w:val="single" w:sz="4" w:space="0" w:color="auto"/>
            </w:tcBorders>
          </w:tcPr>
          <w:p w14:paraId="6ECBF4AE" w14:textId="77777777" w:rsidR="00B81B8A" w:rsidRPr="00B81B8A" w:rsidRDefault="00B81B8A" w:rsidP="00B81B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000000"/>
              </w:rPr>
            </w:pPr>
            <w:r w:rsidRPr="00B81B8A">
              <w:rPr>
                <w:b/>
                <w:bCs/>
                <w:color w:val="000000"/>
              </w:rPr>
              <w:t>Secondary education</w:t>
            </w:r>
          </w:p>
          <w:p w14:paraId="217697CC" w14:textId="77777777" w:rsidR="00B81B8A" w:rsidRPr="00B81B8A" w:rsidRDefault="00B81B8A" w:rsidP="00B81B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000000"/>
              </w:rPr>
            </w:pPr>
          </w:p>
          <w:p w14:paraId="5DAA25D4" w14:textId="77777777" w:rsidR="00B81B8A" w:rsidRPr="00B81B8A" w:rsidRDefault="00B81B8A" w:rsidP="00B81B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000000"/>
              </w:rPr>
            </w:pPr>
          </w:p>
          <w:p w14:paraId="637A231C" w14:textId="77777777" w:rsidR="00B81B8A" w:rsidRPr="00B81B8A" w:rsidRDefault="00B81B8A" w:rsidP="00B81B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000000"/>
              </w:rPr>
            </w:pPr>
            <w:r w:rsidRPr="00B81B8A">
              <w:rPr>
                <w:b/>
                <w:bCs/>
                <w:color w:val="000000"/>
              </w:rPr>
              <w:t>Secondary education land</w:t>
            </w:r>
          </w:p>
          <w:p w14:paraId="5FA1D4FE" w14:textId="77777777" w:rsidR="00B81B8A" w:rsidRPr="00B81B8A" w:rsidRDefault="00B81B8A" w:rsidP="00B81B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000000"/>
              </w:rPr>
            </w:pPr>
          </w:p>
        </w:tc>
        <w:tc>
          <w:tcPr>
            <w:tcW w:w="1650" w:type="dxa"/>
            <w:tcBorders>
              <w:top w:val="single" w:sz="4" w:space="0" w:color="auto"/>
              <w:left w:val="single" w:sz="4" w:space="0" w:color="auto"/>
              <w:bottom w:val="single" w:sz="4" w:space="0" w:color="auto"/>
              <w:right w:val="single" w:sz="4" w:space="0" w:color="auto"/>
            </w:tcBorders>
          </w:tcPr>
          <w:p w14:paraId="5E74FCB9"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color w:val="000000"/>
              </w:rPr>
            </w:pPr>
            <w:r w:rsidRPr="00B81B8A">
              <w:rPr>
                <w:b/>
                <w:bCs/>
                <w:color w:val="000000"/>
              </w:rPr>
              <w:t>£ 2,670,150</w:t>
            </w:r>
          </w:p>
          <w:p w14:paraId="491026FD"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000000"/>
              </w:rPr>
            </w:pPr>
          </w:p>
          <w:p w14:paraId="0BB49354"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000000"/>
              </w:rPr>
            </w:pPr>
          </w:p>
          <w:p w14:paraId="2984A1B5"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000000"/>
              </w:rPr>
            </w:pPr>
          </w:p>
          <w:p w14:paraId="603C6C53"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color w:val="000000"/>
              </w:rPr>
            </w:pPr>
            <w:r w:rsidRPr="00B81B8A">
              <w:rPr>
                <w:b/>
                <w:bCs/>
              </w:rPr>
              <w:t>£ 233,023</w:t>
            </w:r>
          </w:p>
        </w:tc>
        <w:tc>
          <w:tcPr>
            <w:tcW w:w="1441" w:type="dxa"/>
            <w:tcBorders>
              <w:top w:val="single" w:sz="4" w:space="0" w:color="auto"/>
              <w:left w:val="single" w:sz="4" w:space="0" w:color="auto"/>
              <w:bottom w:val="single" w:sz="4" w:space="0" w:color="auto"/>
              <w:right w:val="single" w:sz="4" w:space="0" w:color="auto"/>
            </w:tcBorders>
          </w:tcPr>
          <w:p w14:paraId="0914A89D"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000000"/>
              </w:rPr>
            </w:pPr>
            <w:r w:rsidRPr="00B81B8A">
              <w:rPr>
                <w:b/>
                <w:bCs/>
                <w:color w:val="000000"/>
              </w:rPr>
              <w:t>327</w:t>
            </w:r>
          </w:p>
        </w:tc>
        <w:tc>
          <w:tcPr>
            <w:tcW w:w="1203" w:type="dxa"/>
            <w:tcBorders>
              <w:top w:val="single" w:sz="4" w:space="0" w:color="auto"/>
              <w:left w:val="single" w:sz="4" w:space="0" w:color="auto"/>
              <w:bottom w:val="single" w:sz="4" w:space="0" w:color="auto"/>
              <w:right w:val="single" w:sz="4" w:space="0" w:color="auto"/>
            </w:tcBorders>
          </w:tcPr>
          <w:p w14:paraId="78953732"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rPr>
            </w:pPr>
            <w:r w:rsidRPr="00B81B8A">
              <w:rPr>
                <w:color w:val="000000"/>
              </w:rPr>
              <w:t>BCIS All-In TPI</w:t>
            </w:r>
          </w:p>
          <w:p w14:paraId="0F7360CB"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rPr>
            </w:pPr>
          </w:p>
          <w:p w14:paraId="58550750"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51067169"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rPr>
            </w:pPr>
            <w:r w:rsidRPr="00B81B8A">
              <w:t>RPIX Nov-20</w:t>
            </w:r>
          </w:p>
        </w:tc>
        <w:tc>
          <w:tcPr>
            <w:tcW w:w="2981" w:type="dxa"/>
            <w:tcBorders>
              <w:top w:val="single" w:sz="4" w:space="0" w:color="auto"/>
              <w:left w:val="single" w:sz="4" w:space="0" w:color="auto"/>
              <w:bottom w:val="single" w:sz="4" w:space="0" w:color="auto"/>
              <w:right w:val="single" w:sz="4" w:space="0" w:color="auto"/>
            </w:tcBorders>
          </w:tcPr>
          <w:p w14:paraId="7F39B1D1" w14:textId="77777777" w:rsidR="00B81B8A" w:rsidRPr="00B81B8A" w:rsidRDefault="00B81B8A" w:rsidP="00B81B8A">
            <w:pPr>
              <w:tabs>
                <w:tab w:val="left" w:pos="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
              <w:rPr>
                <w:color w:val="000000"/>
              </w:rPr>
            </w:pPr>
            <w:r w:rsidRPr="00B81B8A">
              <w:rPr>
                <w:color w:val="000000"/>
              </w:rPr>
              <w:t>Secondary education capacity serving the development</w:t>
            </w:r>
          </w:p>
          <w:p w14:paraId="6367959C" w14:textId="77777777" w:rsidR="00B81B8A" w:rsidRPr="00B81B8A" w:rsidRDefault="00B81B8A" w:rsidP="00B81B8A">
            <w:pPr>
              <w:tabs>
                <w:tab w:val="left" w:pos="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
              <w:rPr>
                <w:b/>
                <w:bCs/>
                <w:color w:val="000000"/>
              </w:rPr>
            </w:pPr>
          </w:p>
          <w:p w14:paraId="17E37716" w14:textId="77777777" w:rsidR="00B81B8A" w:rsidRPr="00B81B8A" w:rsidRDefault="00B81B8A" w:rsidP="00B81B8A">
            <w:pPr>
              <w:tabs>
                <w:tab w:val="left" w:pos="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
              <w:rPr>
                <w:b/>
                <w:bCs/>
                <w:color w:val="000000"/>
              </w:rPr>
            </w:pPr>
            <w:r w:rsidRPr="00B81B8A">
              <w:rPr>
                <w:color w:val="000000"/>
              </w:rPr>
              <w:t>Cost of land acquisition for a new secondary school</w:t>
            </w:r>
          </w:p>
        </w:tc>
      </w:tr>
      <w:tr w:rsidR="00B81B8A" w:rsidRPr="00B81B8A" w14:paraId="1BDCAFEE" w14:textId="77777777">
        <w:trPr>
          <w:trHeight w:val="85"/>
        </w:trPr>
        <w:tc>
          <w:tcPr>
            <w:tcW w:w="1735" w:type="dxa"/>
            <w:tcBorders>
              <w:top w:val="single" w:sz="4" w:space="0" w:color="auto"/>
              <w:left w:val="single" w:sz="4" w:space="0" w:color="auto"/>
              <w:bottom w:val="single" w:sz="4" w:space="0" w:color="auto"/>
              <w:right w:val="single" w:sz="4" w:space="0" w:color="auto"/>
            </w:tcBorders>
          </w:tcPr>
          <w:p w14:paraId="4CDC557E" w14:textId="77777777" w:rsidR="00B81B8A" w:rsidRPr="00B81B8A" w:rsidRDefault="00B81B8A" w:rsidP="00B81B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000000"/>
              </w:rPr>
            </w:pPr>
            <w:r w:rsidRPr="00B81B8A">
              <w:rPr>
                <w:b/>
                <w:bCs/>
                <w:color w:val="000000"/>
              </w:rPr>
              <w:t>Special education</w:t>
            </w:r>
          </w:p>
        </w:tc>
        <w:tc>
          <w:tcPr>
            <w:tcW w:w="1650" w:type="dxa"/>
            <w:tcBorders>
              <w:top w:val="single" w:sz="4" w:space="0" w:color="auto"/>
              <w:left w:val="single" w:sz="4" w:space="0" w:color="auto"/>
              <w:bottom w:val="single" w:sz="4" w:space="0" w:color="auto"/>
              <w:right w:val="single" w:sz="4" w:space="0" w:color="auto"/>
            </w:tcBorders>
          </w:tcPr>
          <w:p w14:paraId="3BC8A7C7"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color w:val="000000"/>
              </w:rPr>
            </w:pPr>
            <w:r w:rsidRPr="00B81B8A">
              <w:rPr>
                <w:b/>
                <w:bCs/>
                <w:color w:val="000000"/>
              </w:rPr>
              <w:t>£ 260,248</w:t>
            </w:r>
          </w:p>
        </w:tc>
        <w:tc>
          <w:tcPr>
            <w:tcW w:w="1441" w:type="dxa"/>
            <w:tcBorders>
              <w:top w:val="single" w:sz="4" w:space="0" w:color="auto"/>
              <w:left w:val="single" w:sz="4" w:space="0" w:color="auto"/>
              <w:bottom w:val="single" w:sz="4" w:space="0" w:color="auto"/>
              <w:right w:val="single" w:sz="4" w:space="0" w:color="auto"/>
            </w:tcBorders>
          </w:tcPr>
          <w:p w14:paraId="1BD95171"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000000"/>
              </w:rPr>
            </w:pPr>
            <w:r w:rsidRPr="00B81B8A">
              <w:rPr>
                <w:b/>
                <w:bCs/>
                <w:color w:val="000000"/>
              </w:rPr>
              <w:t>327</w:t>
            </w:r>
          </w:p>
        </w:tc>
        <w:tc>
          <w:tcPr>
            <w:tcW w:w="1203" w:type="dxa"/>
            <w:tcBorders>
              <w:top w:val="single" w:sz="4" w:space="0" w:color="auto"/>
              <w:left w:val="single" w:sz="4" w:space="0" w:color="auto"/>
              <w:bottom w:val="single" w:sz="4" w:space="0" w:color="auto"/>
              <w:right w:val="single" w:sz="4" w:space="0" w:color="auto"/>
            </w:tcBorders>
          </w:tcPr>
          <w:p w14:paraId="7B160ED9"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rPr>
            </w:pPr>
            <w:r w:rsidRPr="00B81B8A">
              <w:rPr>
                <w:color w:val="000000"/>
              </w:rPr>
              <w:t>BCIS All-In TPI</w:t>
            </w:r>
          </w:p>
        </w:tc>
        <w:tc>
          <w:tcPr>
            <w:tcW w:w="2981" w:type="dxa"/>
            <w:tcBorders>
              <w:top w:val="single" w:sz="4" w:space="0" w:color="auto"/>
              <w:left w:val="single" w:sz="4" w:space="0" w:color="auto"/>
              <w:bottom w:val="single" w:sz="4" w:space="0" w:color="auto"/>
              <w:right w:val="single" w:sz="4" w:space="0" w:color="auto"/>
            </w:tcBorders>
          </w:tcPr>
          <w:p w14:paraId="1844A0E2" w14:textId="77777777" w:rsidR="00B81B8A" w:rsidRPr="00B81B8A" w:rsidRDefault="00B81B8A" w:rsidP="00B81B8A">
            <w:pPr>
              <w:tabs>
                <w:tab w:val="left" w:pos="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
              <w:rPr>
                <w:b/>
                <w:bCs/>
                <w:color w:val="000000"/>
              </w:rPr>
            </w:pPr>
            <w:r w:rsidRPr="00B81B8A">
              <w:rPr>
                <w:color w:val="000000"/>
              </w:rPr>
              <w:t>Special school education capacity serving the development</w:t>
            </w:r>
          </w:p>
        </w:tc>
      </w:tr>
      <w:tr w:rsidR="00B81B8A" w:rsidRPr="00B81B8A" w14:paraId="56106C94" w14:textId="77777777">
        <w:tc>
          <w:tcPr>
            <w:tcW w:w="1735" w:type="dxa"/>
            <w:tcBorders>
              <w:top w:val="single" w:sz="4" w:space="0" w:color="auto"/>
              <w:left w:val="single" w:sz="4" w:space="0" w:color="auto"/>
              <w:bottom w:val="single" w:sz="4" w:space="0" w:color="auto"/>
              <w:right w:val="single" w:sz="4" w:space="0" w:color="auto"/>
            </w:tcBorders>
          </w:tcPr>
          <w:p w14:paraId="7C560F47" w14:textId="77777777" w:rsidR="00B81B8A" w:rsidRPr="00B81B8A" w:rsidRDefault="00B81B8A" w:rsidP="00B81B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000000"/>
              </w:rPr>
            </w:pPr>
            <w:r w:rsidRPr="00B81B8A">
              <w:rPr>
                <w:b/>
                <w:bCs/>
                <w:color w:val="000000"/>
              </w:rPr>
              <w:t>Total</w:t>
            </w:r>
          </w:p>
        </w:tc>
        <w:tc>
          <w:tcPr>
            <w:tcW w:w="1650" w:type="dxa"/>
            <w:tcBorders>
              <w:top w:val="single" w:sz="4" w:space="0" w:color="auto"/>
              <w:left w:val="single" w:sz="4" w:space="0" w:color="auto"/>
              <w:bottom w:val="single" w:sz="4" w:space="0" w:color="auto"/>
              <w:right w:val="single" w:sz="4" w:space="0" w:color="auto"/>
            </w:tcBorders>
          </w:tcPr>
          <w:p w14:paraId="0C95247C" w14:textId="75D97B19"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color w:val="000000"/>
              </w:rPr>
            </w:pPr>
            <w:r w:rsidRPr="00B81B8A">
              <w:rPr>
                <w:b/>
                <w:bCs/>
                <w:color w:val="000000"/>
              </w:rPr>
              <w:t>£</w:t>
            </w:r>
            <w:r w:rsidR="00BF7DB1">
              <w:rPr>
                <w:b/>
                <w:bCs/>
                <w:color w:val="000000"/>
              </w:rPr>
              <w:t xml:space="preserve"> 3,163,421</w:t>
            </w:r>
            <w:r w:rsidRPr="00B81B8A">
              <w:rPr>
                <w:b/>
                <w:bCs/>
                <w:color w:val="000000"/>
              </w:rPr>
              <w:t xml:space="preserve"> </w:t>
            </w:r>
          </w:p>
        </w:tc>
        <w:tc>
          <w:tcPr>
            <w:tcW w:w="1441" w:type="dxa"/>
            <w:tcBorders>
              <w:top w:val="single" w:sz="4" w:space="0" w:color="auto"/>
              <w:left w:val="single" w:sz="4" w:space="0" w:color="auto"/>
              <w:bottom w:val="single" w:sz="4" w:space="0" w:color="auto"/>
              <w:right w:val="single" w:sz="4" w:space="0" w:color="auto"/>
            </w:tcBorders>
          </w:tcPr>
          <w:p w14:paraId="50A56F1B"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olor w:val="000000"/>
              </w:rPr>
            </w:pPr>
          </w:p>
        </w:tc>
        <w:tc>
          <w:tcPr>
            <w:tcW w:w="1203" w:type="dxa"/>
            <w:tcBorders>
              <w:top w:val="single" w:sz="4" w:space="0" w:color="auto"/>
              <w:left w:val="single" w:sz="4" w:space="0" w:color="auto"/>
              <w:bottom w:val="single" w:sz="4" w:space="0" w:color="auto"/>
              <w:right w:val="single" w:sz="4" w:space="0" w:color="auto"/>
            </w:tcBorders>
          </w:tcPr>
          <w:p w14:paraId="75A43247"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rPr>
            </w:pPr>
          </w:p>
        </w:tc>
        <w:tc>
          <w:tcPr>
            <w:tcW w:w="2981" w:type="dxa"/>
            <w:tcBorders>
              <w:top w:val="single" w:sz="4" w:space="0" w:color="auto"/>
              <w:left w:val="single" w:sz="4" w:space="0" w:color="auto"/>
              <w:bottom w:val="single" w:sz="4" w:space="0" w:color="auto"/>
              <w:right w:val="single" w:sz="4" w:space="0" w:color="auto"/>
            </w:tcBorders>
          </w:tcPr>
          <w:p w14:paraId="3729B4F8" w14:textId="77777777" w:rsidR="00B81B8A" w:rsidRPr="00B81B8A" w:rsidRDefault="00B81B8A" w:rsidP="00B81B8A">
            <w:pPr>
              <w:tabs>
                <w:tab w:val="left" w:pos="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
              <w:rPr>
                <w:b/>
                <w:bCs/>
                <w:color w:val="000000"/>
              </w:rPr>
            </w:pPr>
          </w:p>
        </w:tc>
      </w:tr>
    </w:tbl>
    <w:p w14:paraId="4F22457A"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70D03FBF"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002A67D8"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u w:val="single"/>
        </w:rPr>
      </w:pPr>
      <w:r w:rsidRPr="00B81B8A">
        <w:rPr>
          <w:b/>
          <w:bCs/>
          <w:u w:val="single"/>
        </w:rPr>
        <w:t>S106 obligations and their compliance with Regulation 122(2) Community Infrastructure Levy Regulations 2010 (as amended):</w:t>
      </w:r>
    </w:p>
    <w:p w14:paraId="4D5E7E36" w14:textId="77777777" w:rsidR="00B81B8A" w:rsidRPr="00B81B8A" w:rsidRDefault="00B81B8A" w:rsidP="00B81B8A">
      <w:pPr>
        <w:autoSpaceDE w:val="0"/>
        <w:autoSpaceDN w:val="0"/>
        <w:adjustRightInd w:val="0"/>
      </w:pPr>
    </w:p>
    <w:p w14:paraId="3D1CCE4F"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p>
    <w:p w14:paraId="15238DBC" w14:textId="77777777" w:rsidR="00B81B8A" w:rsidRPr="00B81B8A" w:rsidRDefault="00B81B8A" w:rsidP="00B81B8A">
      <w:pPr>
        <w:autoSpaceDE w:val="0"/>
        <w:autoSpaceDN w:val="0"/>
        <w:adjustRightInd w:val="0"/>
      </w:pPr>
      <w:r w:rsidRPr="00B81B8A">
        <w:rPr>
          <w:b/>
          <w:bCs/>
          <w:color w:val="000000"/>
        </w:rPr>
        <w:t>£ 2,670,150</w:t>
      </w:r>
      <w:r w:rsidRPr="00B81B8A">
        <w:rPr>
          <w:b/>
          <w:bCs/>
        </w:rPr>
        <w:t xml:space="preserve"> Secondary School Contribution indexed from TPI = 327</w:t>
      </w:r>
    </w:p>
    <w:p w14:paraId="10012165" w14:textId="77777777" w:rsidR="00B81B8A" w:rsidRPr="00B81B8A" w:rsidRDefault="00B81B8A" w:rsidP="00B81B8A">
      <w:pPr>
        <w:autoSpaceDE w:val="0"/>
        <w:autoSpaceDN w:val="0"/>
        <w:adjustRightInd w:val="0"/>
      </w:pPr>
    </w:p>
    <w:p w14:paraId="166AC6BB" w14:textId="77777777" w:rsidR="00B81B8A" w:rsidRPr="00B81B8A" w:rsidRDefault="00B81B8A" w:rsidP="00B81B8A">
      <w:pPr>
        <w:autoSpaceDE w:val="0"/>
        <w:autoSpaceDN w:val="0"/>
        <w:adjustRightInd w:val="0"/>
        <w:rPr>
          <w:b/>
          <w:bCs/>
        </w:rPr>
      </w:pPr>
      <w:r w:rsidRPr="00B81B8A">
        <w:rPr>
          <w:b/>
          <w:bCs/>
        </w:rPr>
        <w:t xml:space="preserve">Justification: </w:t>
      </w:r>
    </w:p>
    <w:p w14:paraId="1956BFC4" w14:textId="77777777" w:rsidR="00B81B8A" w:rsidRPr="00B81B8A" w:rsidRDefault="00B81B8A" w:rsidP="00B81B8A">
      <w:pPr>
        <w:autoSpaceDE w:val="0"/>
        <w:autoSpaceDN w:val="0"/>
        <w:adjustRightInd w:val="0"/>
        <w:rPr>
          <w:b/>
          <w:bCs/>
        </w:rPr>
      </w:pPr>
    </w:p>
    <w:p w14:paraId="30076EC9" w14:textId="4FD206F4"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B81B8A">
        <w:t xml:space="preserve">All the CDC Local Plan Partial Review (PR) sites are required to contribute in a proportionate manner towards the additional secondary education capacity required. </w:t>
      </w:r>
    </w:p>
    <w:p w14:paraId="2831F1C8"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1F155A8D"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22"/>
          <w:szCs w:val="22"/>
        </w:rPr>
      </w:pPr>
      <w:r w:rsidRPr="00B81B8A">
        <w:t xml:space="preserve">To address the complexity of planning secondary school provision equitably across all the PR sites, </w:t>
      </w:r>
      <w:r w:rsidRPr="00B81B8A">
        <w:rPr>
          <w:color w:val="000000"/>
        </w:rPr>
        <w:t xml:space="preserve">the approach taken is that credit for any existing surplus places in the Woodstock-Begbroke-Kidlington area should be distributed across the PR sites in proportion to the number of dwellings allocated in the Local Plan. When the individual </w:t>
      </w:r>
      <w:r w:rsidRPr="00B81B8A">
        <w:rPr>
          <w:color w:val="000000"/>
        </w:rPr>
        <w:lastRenderedPageBreak/>
        <w:t xml:space="preserve">planning applications are assessed, the site’s share of the surplus places will not be subject to secondary education contributions. A per-pupil cost rate will be applied to the remaining pupil generation. This cost will be based on the cost of building a new school in Begbroke of the scale needed to meet expected population growth, currently assumed to be 900-places. </w:t>
      </w:r>
    </w:p>
    <w:p w14:paraId="113FA559" w14:textId="77777777" w:rsidR="00B81B8A" w:rsidRPr="00B81B8A" w:rsidRDefault="00B81B8A" w:rsidP="00B81B8A">
      <w:pPr>
        <w:autoSpaceDE w:val="0"/>
        <w:autoSpaceDN w:val="0"/>
        <w:adjustRightInd w:val="0"/>
      </w:pPr>
    </w:p>
    <w:p w14:paraId="51B6FDCE" w14:textId="30119AE4" w:rsidR="00B81B8A" w:rsidRPr="00B81B8A" w:rsidRDefault="00B81B8A" w:rsidP="00B81B8A">
      <w:pPr>
        <w:autoSpaceDE w:val="0"/>
        <w:autoSpaceDN w:val="0"/>
        <w:adjustRightInd w:val="0"/>
      </w:pPr>
      <w:r w:rsidRPr="00B81B8A">
        <w:t xml:space="preserve">The scale of surplus capacity </w:t>
      </w:r>
      <w:r w:rsidR="005A2B99">
        <w:t xml:space="preserve">to be distributed across the PR sites </w:t>
      </w:r>
      <w:r w:rsidRPr="00B81B8A">
        <w:t xml:space="preserve">has been assessed as a total of 200 places. </w:t>
      </w:r>
    </w:p>
    <w:p w14:paraId="7433A3B2" w14:textId="77777777" w:rsidR="00B81B8A" w:rsidRPr="00B81B8A" w:rsidRDefault="00B81B8A" w:rsidP="00B81B8A">
      <w:pPr>
        <w:autoSpaceDE w:val="0"/>
        <w:autoSpaceDN w:val="0"/>
        <w:adjustRightInd w:val="0"/>
      </w:pPr>
    </w:p>
    <w:p w14:paraId="7C1BD806" w14:textId="77777777" w:rsidR="00B81B8A" w:rsidRPr="00B81B8A" w:rsidRDefault="00B81B8A" w:rsidP="00B81B8A">
      <w:pPr>
        <w:autoSpaceDE w:val="0"/>
        <w:autoSpaceDN w:val="0"/>
        <w:adjustRightInd w:val="0"/>
      </w:pPr>
      <w:r w:rsidRPr="00B81B8A">
        <w:t>PR7a has an allocation of 430 dwellings in the Local Plan, which is 10% of the total allocated dwellings. It therefore benefits from 20 of the surplus places.</w:t>
      </w:r>
    </w:p>
    <w:p w14:paraId="533B61D4" w14:textId="77777777" w:rsidR="00B81B8A" w:rsidRPr="00B81B8A" w:rsidRDefault="00B81B8A" w:rsidP="00B81B8A">
      <w:pPr>
        <w:autoSpaceDE w:val="0"/>
        <w:autoSpaceDN w:val="0"/>
        <w:adjustRightInd w:val="0"/>
      </w:pPr>
    </w:p>
    <w:p w14:paraId="2824E167" w14:textId="77777777" w:rsidR="00B81B8A" w:rsidRPr="00B81B8A" w:rsidRDefault="00B81B8A" w:rsidP="00B81B8A">
      <w:pPr>
        <w:autoSpaceDE w:val="0"/>
        <w:autoSpaceDN w:val="0"/>
        <w:adjustRightInd w:val="0"/>
      </w:pPr>
      <w:proofErr w:type="gramStart"/>
      <w:r w:rsidRPr="00B81B8A">
        <w:t>However</w:t>
      </w:r>
      <w:proofErr w:type="gramEnd"/>
      <w:r w:rsidRPr="00B81B8A">
        <w:t xml:space="preserve"> the current application is for only part of PR7a, and proposes only 370 dwellings, or 86% of the allocation. It therefore benefits from 86% of the 20 surplus places allocated to PR7a, equivalent to 17 places. The other 3 surplus places will be allocated to any future application within the PR7a boundary. </w:t>
      </w:r>
    </w:p>
    <w:p w14:paraId="29E7E8A9" w14:textId="77777777" w:rsidR="00B81B8A" w:rsidRPr="00B81B8A" w:rsidRDefault="00B81B8A" w:rsidP="00B81B8A">
      <w:pPr>
        <w:autoSpaceDE w:val="0"/>
        <w:autoSpaceDN w:val="0"/>
        <w:adjustRightInd w:val="0"/>
      </w:pPr>
    </w:p>
    <w:p w14:paraId="40D576BB" w14:textId="77777777" w:rsidR="00B81B8A" w:rsidRPr="00B81B8A" w:rsidRDefault="00B81B8A" w:rsidP="00B81B8A">
      <w:pPr>
        <w:autoSpaceDE w:val="0"/>
        <w:autoSpaceDN w:val="0"/>
        <w:adjustRightInd w:val="0"/>
      </w:pPr>
      <w:r w:rsidRPr="00B81B8A">
        <w:t>The estimated gross secondary pupil generation from the current application is 92. Deducting the 17 surplus places, the estimated net secondary pupil generation from the current application is 75.</w:t>
      </w:r>
    </w:p>
    <w:p w14:paraId="5838CDE2" w14:textId="77777777" w:rsidR="00B81B8A" w:rsidRPr="00B81B8A" w:rsidRDefault="00B81B8A" w:rsidP="00B81B8A">
      <w:pPr>
        <w:autoSpaceDE w:val="0"/>
        <w:autoSpaceDN w:val="0"/>
        <w:adjustRightInd w:val="0"/>
      </w:pPr>
    </w:p>
    <w:p w14:paraId="163F2ACD"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22"/>
          <w:szCs w:val="22"/>
        </w:rPr>
      </w:pPr>
      <w:r w:rsidRPr="00B81B8A">
        <w:rPr>
          <w:color w:val="000000"/>
        </w:rPr>
        <w:t xml:space="preserve">The net pupil generation is charged at the per pupil cost of building a 900-place school on the Begbroke site, which is £35,602 excluding land </w:t>
      </w:r>
      <w:r w:rsidRPr="00B81B8A">
        <w:t>(at BCIS TPI=327).</w:t>
      </w:r>
    </w:p>
    <w:p w14:paraId="1059A9D5" w14:textId="77777777" w:rsidR="00B81B8A" w:rsidRPr="00B81B8A" w:rsidRDefault="00B81B8A" w:rsidP="00B81B8A">
      <w:pPr>
        <w:autoSpaceDE w:val="0"/>
        <w:autoSpaceDN w:val="0"/>
        <w:adjustRightInd w:val="0"/>
      </w:pPr>
    </w:p>
    <w:p w14:paraId="5AD4FC10" w14:textId="77777777" w:rsidR="00B81B8A" w:rsidRPr="00B81B8A" w:rsidRDefault="00B81B8A" w:rsidP="00B81B8A">
      <w:pPr>
        <w:autoSpaceDE w:val="0"/>
        <w:autoSpaceDN w:val="0"/>
        <w:adjustRightInd w:val="0"/>
        <w:rPr>
          <w:b/>
          <w:bCs/>
        </w:rPr>
      </w:pPr>
      <w:r w:rsidRPr="00B81B8A">
        <w:rPr>
          <w:b/>
          <w:bCs/>
        </w:rPr>
        <w:t>Calculation:</w:t>
      </w:r>
    </w:p>
    <w:p w14:paraId="37D6C7AE"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p>
    <w:tbl>
      <w:tblPr>
        <w:tblW w:w="0" w:type="auto"/>
        <w:tblInd w:w="113" w:type="dxa"/>
        <w:tblLayout w:type="fixed"/>
        <w:tblLook w:val="0000" w:firstRow="0" w:lastRow="0" w:firstColumn="0" w:lastColumn="0" w:noHBand="0" w:noVBand="0"/>
      </w:tblPr>
      <w:tblGrid>
        <w:gridCol w:w="7240"/>
        <w:gridCol w:w="1776"/>
      </w:tblGrid>
      <w:tr w:rsidR="00B81B8A" w:rsidRPr="00B81B8A" w14:paraId="33B42C7B" w14:textId="77777777">
        <w:tc>
          <w:tcPr>
            <w:tcW w:w="7240" w:type="dxa"/>
            <w:tcBorders>
              <w:top w:val="single" w:sz="4" w:space="0" w:color="auto"/>
              <w:left w:val="single" w:sz="4" w:space="0" w:color="auto"/>
              <w:bottom w:val="single" w:sz="4" w:space="0" w:color="auto"/>
              <w:right w:val="single" w:sz="4" w:space="0" w:color="auto"/>
            </w:tcBorders>
          </w:tcPr>
          <w:p w14:paraId="21D9D1CB" w14:textId="2016C4F7" w:rsidR="00B81B8A" w:rsidRPr="005A2B99" w:rsidRDefault="005A2B99" w:rsidP="00B81B8A">
            <w:pPr>
              <w:tabs>
                <w:tab w:val="left" w:pos="7920"/>
                <w:tab w:val="left" w:pos="8640"/>
                <w:tab w:val="left" w:pos="9360"/>
                <w:tab w:val="left" w:pos="10080"/>
              </w:tabs>
              <w:autoSpaceDE w:val="0"/>
              <w:autoSpaceDN w:val="0"/>
              <w:adjustRightInd w:val="0"/>
              <w:rPr>
                <w:color w:val="000000"/>
              </w:rPr>
            </w:pPr>
            <w:r w:rsidRPr="005A2B99">
              <w:rPr>
                <w:color w:val="000000"/>
              </w:rPr>
              <w:t xml:space="preserve">Total number of secondary pupils expected to be generated </w:t>
            </w:r>
          </w:p>
        </w:tc>
        <w:tc>
          <w:tcPr>
            <w:tcW w:w="1776" w:type="dxa"/>
            <w:tcBorders>
              <w:top w:val="single" w:sz="4" w:space="0" w:color="auto"/>
              <w:left w:val="single" w:sz="4" w:space="0" w:color="auto"/>
              <w:bottom w:val="single" w:sz="4" w:space="0" w:color="auto"/>
              <w:right w:val="single" w:sz="4" w:space="0" w:color="auto"/>
            </w:tcBorders>
          </w:tcPr>
          <w:p w14:paraId="3C52131E" w14:textId="1BE4AAC7" w:rsidR="00B81B8A" w:rsidRPr="00B81B8A" w:rsidRDefault="005A2B99"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color w:val="000000"/>
              </w:rPr>
            </w:pPr>
            <w:r>
              <w:rPr>
                <w:color w:val="000000"/>
              </w:rPr>
              <w:t>92</w:t>
            </w:r>
          </w:p>
        </w:tc>
      </w:tr>
      <w:tr w:rsidR="005A2B99" w:rsidRPr="00B81B8A" w14:paraId="582D3008" w14:textId="77777777">
        <w:tc>
          <w:tcPr>
            <w:tcW w:w="7240" w:type="dxa"/>
            <w:tcBorders>
              <w:top w:val="single" w:sz="4" w:space="0" w:color="auto"/>
              <w:left w:val="single" w:sz="4" w:space="0" w:color="auto"/>
              <w:bottom w:val="single" w:sz="4" w:space="0" w:color="auto"/>
              <w:right w:val="single" w:sz="4" w:space="0" w:color="auto"/>
            </w:tcBorders>
          </w:tcPr>
          <w:p w14:paraId="2A52B537" w14:textId="153B3F05" w:rsidR="005A2B99" w:rsidRPr="005A2B99" w:rsidRDefault="005A2B99" w:rsidP="005A2B99">
            <w:pPr>
              <w:tabs>
                <w:tab w:val="left" w:pos="7920"/>
                <w:tab w:val="left" w:pos="8640"/>
                <w:tab w:val="left" w:pos="9360"/>
                <w:tab w:val="left" w:pos="10080"/>
              </w:tabs>
              <w:autoSpaceDE w:val="0"/>
              <w:autoSpaceDN w:val="0"/>
              <w:adjustRightInd w:val="0"/>
              <w:rPr>
                <w:color w:val="000000"/>
              </w:rPr>
            </w:pPr>
            <w:r w:rsidRPr="005A2B99">
              <w:rPr>
                <w:color w:val="000000"/>
              </w:rPr>
              <w:t xml:space="preserve">Number of secondary pupils expected to be generated net of </w:t>
            </w:r>
            <w:r>
              <w:rPr>
                <w:color w:val="000000"/>
              </w:rPr>
              <w:t xml:space="preserve">17 </w:t>
            </w:r>
            <w:r w:rsidRPr="005A2B99">
              <w:rPr>
                <w:color w:val="000000"/>
              </w:rPr>
              <w:t>surplus places</w:t>
            </w:r>
          </w:p>
          <w:p w14:paraId="02C17000" w14:textId="77777777" w:rsidR="005A2B99" w:rsidRPr="005A2B99" w:rsidRDefault="005A2B99" w:rsidP="005A2B99">
            <w:pPr>
              <w:tabs>
                <w:tab w:val="left" w:pos="7920"/>
                <w:tab w:val="left" w:pos="8640"/>
                <w:tab w:val="left" w:pos="9360"/>
                <w:tab w:val="left" w:pos="10080"/>
              </w:tabs>
              <w:autoSpaceDE w:val="0"/>
              <w:autoSpaceDN w:val="0"/>
              <w:adjustRightInd w:val="0"/>
              <w:rPr>
                <w:color w:val="000000"/>
              </w:rPr>
            </w:pPr>
          </w:p>
        </w:tc>
        <w:tc>
          <w:tcPr>
            <w:tcW w:w="1776" w:type="dxa"/>
            <w:tcBorders>
              <w:top w:val="single" w:sz="4" w:space="0" w:color="auto"/>
              <w:left w:val="single" w:sz="4" w:space="0" w:color="auto"/>
              <w:bottom w:val="single" w:sz="4" w:space="0" w:color="auto"/>
              <w:right w:val="single" w:sz="4" w:space="0" w:color="auto"/>
            </w:tcBorders>
          </w:tcPr>
          <w:p w14:paraId="51F2517E" w14:textId="41FEC02B" w:rsidR="005A2B99" w:rsidRPr="00B81B8A" w:rsidRDefault="005A2B99" w:rsidP="005A2B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color w:val="000000"/>
              </w:rPr>
            </w:pPr>
            <w:r w:rsidRPr="00B81B8A">
              <w:rPr>
                <w:color w:val="000000"/>
              </w:rPr>
              <w:t>75</w:t>
            </w:r>
          </w:p>
        </w:tc>
      </w:tr>
      <w:tr w:rsidR="005A2B99" w:rsidRPr="00B81B8A" w14:paraId="42C92D2B" w14:textId="77777777">
        <w:tc>
          <w:tcPr>
            <w:tcW w:w="7240" w:type="dxa"/>
            <w:tcBorders>
              <w:top w:val="single" w:sz="4" w:space="0" w:color="auto"/>
              <w:left w:val="single" w:sz="4" w:space="0" w:color="auto"/>
              <w:bottom w:val="single" w:sz="4" w:space="0" w:color="auto"/>
              <w:right w:val="single" w:sz="4" w:space="0" w:color="auto"/>
            </w:tcBorders>
          </w:tcPr>
          <w:p w14:paraId="221B4892" w14:textId="77777777" w:rsidR="005A2B99" w:rsidRPr="00B81B8A" w:rsidRDefault="005A2B99" w:rsidP="005A2B99">
            <w:pPr>
              <w:tabs>
                <w:tab w:val="left" w:pos="7920"/>
                <w:tab w:val="left" w:pos="8640"/>
                <w:tab w:val="left" w:pos="9360"/>
                <w:tab w:val="left" w:pos="10080"/>
              </w:tabs>
              <w:autoSpaceDE w:val="0"/>
              <w:autoSpaceDN w:val="0"/>
              <w:adjustRightInd w:val="0"/>
              <w:rPr>
                <w:color w:val="000000"/>
              </w:rPr>
            </w:pPr>
            <w:r w:rsidRPr="00B81B8A">
              <w:rPr>
                <w:color w:val="000000"/>
              </w:rPr>
              <w:t>Estimated per pupil cost of building a new 900 place secondary school</w:t>
            </w:r>
          </w:p>
          <w:p w14:paraId="0BBBD35F" w14:textId="77777777" w:rsidR="005A2B99" w:rsidRPr="00B81B8A" w:rsidRDefault="005A2B99" w:rsidP="005A2B99">
            <w:pPr>
              <w:tabs>
                <w:tab w:val="left" w:pos="7920"/>
                <w:tab w:val="left" w:pos="8640"/>
                <w:tab w:val="left" w:pos="9360"/>
                <w:tab w:val="left" w:pos="10080"/>
              </w:tabs>
              <w:autoSpaceDE w:val="0"/>
              <w:autoSpaceDN w:val="0"/>
              <w:adjustRightInd w:val="0"/>
              <w:rPr>
                <w:b/>
                <w:bCs/>
                <w:color w:val="000000"/>
              </w:rPr>
            </w:pPr>
          </w:p>
        </w:tc>
        <w:tc>
          <w:tcPr>
            <w:tcW w:w="1776" w:type="dxa"/>
            <w:tcBorders>
              <w:top w:val="single" w:sz="4" w:space="0" w:color="auto"/>
              <w:left w:val="single" w:sz="4" w:space="0" w:color="auto"/>
              <w:bottom w:val="single" w:sz="4" w:space="0" w:color="auto"/>
              <w:right w:val="single" w:sz="4" w:space="0" w:color="auto"/>
            </w:tcBorders>
          </w:tcPr>
          <w:p w14:paraId="3FA89E2E" w14:textId="77777777" w:rsidR="005A2B99" w:rsidRPr="00B81B8A" w:rsidRDefault="005A2B99" w:rsidP="005A2B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color w:val="000000"/>
              </w:rPr>
            </w:pPr>
            <w:r w:rsidRPr="00B81B8A">
              <w:rPr>
                <w:color w:val="000000"/>
              </w:rPr>
              <w:t>£35,602</w:t>
            </w:r>
          </w:p>
        </w:tc>
      </w:tr>
      <w:tr w:rsidR="005A2B99" w:rsidRPr="00B81B8A" w14:paraId="1EA0A03F" w14:textId="77777777">
        <w:tc>
          <w:tcPr>
            <w:tcW w:w="7240" w:type="dxa"/>
            <w:tcBorders>
              <w:top w:val="single" w:sz="4" w:space="0" w:color="auto"/>
              <w:left w:val="single" w:sz="4" w:space="0" w:color="auto"/>
              <w:bottom w:val="single" w:sz="4" w:space="0" w:color="auto"/>
              <w:right w:val="single" w:sz="4" w:space="0" w:color="auto"/>
            </w:tcBorders>
          </w:tcPr>
          <w:p w14:paraId="3AD69806" w14:textId="215F321D" w:rsidR="005A2B99" w:rsidRPr="00B81B8A" w:rsidRDefault="005A2B99" w:rsidP="005A2B99">
            <w:pPr>
              <w:tabs>
                <w:tab w:val="left" w:pos="7920"/>
                <w:tab w:val="left" w:pos="8640"/>
                <w:tab w:val="left" w:pos="9360"/>
                <w:tab w:val="left" w:pos="10080"/>
              </w:tabs>
              <w:autoSpaceDE w:val="0"/>
              <w:autoSpaceDN w:val="0"/>
              <w:adjustRightInd w:val="0"/>
              <w:rPr>
                <w:color w:val="000000"/>
              </w:rPr>
            </w:pPr>
            <w:r>
              <w:rPr>
                <w:color w:val="000000"/>
              </w:rPr>
              <w:t>75 net p</w:t>
            </w:r>
            <w:r w:rsidRPr="00B81B8A">
              <w:rPr>
                <w:color w:val="000000"/>
              </w:rPr>
              <w:t xml:space="preserve">upils * cost = </w:t>
            </w:r>
          </w:p>
          <w:p w14:paraId="5592EA02" w14:textId="77777777" w:rsidR="005A2B99" w:rsidRPr="00B81B8A" w:rsidRDefault="005A2B99" w:rsidP="005A2B99">
            <w:pPr>
              <w:tabs>
                <w:tab w:val="left" w:pos="7920"/>
                <w:tab w:val="left" w:pos="8640"/>
                <w:tab w:val="left" w:pos="9360"/>
                <w:tab w:val="left" w:pos="10080"/>
              </w:tabs>
              <w:autoSpaceDE w:val="0"/>
              <w:autoSpaceDN w:val="0"/>
              <w:adjustRightInd w:val="0"/>
              <w:rPr>
                <w:color w:val="000000"/>
              </w:rPr>
            </w:pPr>
          </w:p>
        </w:tc>
        <w:tc>
          <w:tcPr>
            <w:tcW w:w="1776" w:type="dxa"/>
            <w:tcBorders>
              <w:top w:val="single" w:sz="4" w:space="0" w:color="auto"/>
              <w:left w:val="single" w:sz="4" w:space="0" w:color="auto"/>
              <w:bottom w:val="single" w:sz="4" w:space="0" w:color="auto"/>
              <w:right w:val="single" w:sz="4" w:space="0" w:color="auto"/>
            </w:tcBorders>
          </w:tcPr>
          <w:p w14:paraId="002821AD" w14:textId="77777777" w:rsidR="005A2B99" w:rsidRPr="00B81B8A" w:rsidRDefault="005A2B99" w:rsidP="005A2B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color w:val="000000"/>
              </w:rPr>
            </w:pPr>
            <w:r w:rsidRPr="00B81B8A">
              <w:rPr>
                <w:b/>
                <w:bCs/>
                <w:color w:val="000000"/>
              </w:rPr>
              <w:t xml:space="preserve">£ 2,670,150  </w:t>
            </w:r>
          </w:p>
        </w:tc>
      </w:tr>
    </w:tbl>
    <w:p w14:paraId="133065C9" w14:textId="77777777" w:rsidR="00B81B8A" w:rsidRPr="00B81B8A" w:rsidRDefault="00B81B8A" w:rsidP="00B81B8A">
      <w:pPr>
        <w:autoSpaceDE w:val="0"/>
        <w:autoSpaceDN w:val="0"/>
        <w:adjustRightInd w:val="0"/>
      </w:pPr>
    </w:p>
    <w:p w14:paraId="42BD8A2A" w14:textId="77777777" w:rsidR="00B81B8A" w:rsidRPr="00B81B8A" w:rsidRDefault="00B81B8A" w:rsidP="00B81B8A">
      <w:pPr>
        <w:autoSpaceDE w:val="0"/>
        <w:autoSpaceDN w:val="0"/>
        <w:adjustRightInd w:val="0"/>
        <w:rPr>
          <w:b/>
          <w:bCs/>
        </w:rPr>
      </w:pPr>
    </w:p>
    <w:p w14:paraId="7C6A454C" w14:textId="77777777" w:rsidR="00B81B8A" w:rsidRPr="00B81B8A" w:rsidRDefault="00B81B8A" w:rsidP="00B81B8A">
      <w:pPr>
        <w:autoSpaceDE w:val="0"/>
        <w:autoSpaceDN w:val="0"/>
        <w:adjustRightInd w:val="0"/>
      </w:pPr>
      <w:r w:rsidRPr="00B81B8A">
        <w:rPr>
          <w:b/>
          <w:bCs/>
        </w:rPr>
        <w:t>£233,023 Secondary School Land Contribution (RPIX Nov-20)</w:t>
      </w:r>
    </w:p>
    <w:p w14:paraId="13F15EDC" w14:textId="77777777" w:rsidR="00B81B8A" w:rsidRPr="00B81B8A" w:rsidRDefault="00B81B8A" w:rsidP="00B81B8A">
      <w:pPr>
        <w:autoSpaceDE w:val="0"/>
        <w:autoSpaceDN w:val="0"/>
        <w:adjustRightInd w:val="0"/>
      </w:pPr>
    </w:p>
    <w:p w14:paraId="2DD0E747" w14:textId="77777777" w:rsidR="00B81B8A" w:rsidRPr="00B81B8A" w:rsidRDefault="00B81B8A" w:rsidP="00B81B8A">
      <w:pPr>
        <w:autoSpaceDE w:val="0"/>
        <w:autoSpaceDN w:val="0"/>
        <w:adjustRightInd w:val="0"/>
        <w:rPr>
          <w:b/>
          <w:bCs/>
        </w:rPr>
      </w:pPr>
      <w:r w:rsidRPr="00B81B8A">
        <w:rPr>
          <w:b/>
          <w:bCs/>
        </w:rPr>
        <w:t xml:space="preserve">Justification: </w:t>
      </w:r>
    </w:p>
    <w:p w14:paraId="424561F7" w14:textId="77777777" w:rsidR="00B81B8A" w:rsidRPr="00B81B8A" w:rsidRDefault="00B81B8A" w:rsidP="00B81B8A">
      <w:pPr>
        <w:autoSpaceDE w:val="0"/>
        <w:autoSpaceDN w:val="0"/>
        <w:adjustRightInd w:val="0"/>
      </w:pPr>
    </w:p>
    <w:p w14:paraId="7ACC0C08"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rPr>
      </w:pPr>
      <w:r w:rsidRPr="00B81B8A">
        <w:rPr>
          <w:color w:val="000000"/>
        </w:rPr>
        <w:t xml:space="preserve">A contribution is also required towards secondary school site acquisition land costs, proportionate to Local Plan allocated dwelling numbers. </w:t>
      </w:r>
    </w:p>
    <w:p w14:paraId="00F67DCE"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rPr>
      </w:pPr>
    </w:p>
    <w:p w14:paraId="0B44F4B9"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sidRPr="00B81B8A">
        <w:rPr>
          <w:b/>
          <w:bCs/>
        </w:rPr>
        <w:t>Calculation:</w:t>
      </w:r>
    </w:p>
    <w:p w14:paraId="6F6D091D"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rPr>
      </w:pPr>
    </w:p>
    <w:p w14:paraId="450393CF"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B81B8A">
        <w:lastRenderedPageBreak/>
        <w:t xml:space="preserve">The required site area for a 900-place secondary school is 6.77ha. Based on an educational land value </w:t>
      </w:r>
      <w:proofErr w:type="gramStart"/>
      <w:r w:rsidRPr="00B81B8A">
        <w:t>of  £</w:t>
      </w:r>
      <w:proofErr w:type="gramEnd"/>
      <w:r w:rsidRPr="00B81B8A">
        <w:t>409,761/ha @ TPI=327 this gives a total cost of £2,774,082.</w:t>
      </w:r>
    </w:p>
    <w:p w14:paraId="354A4E95"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7EB5708F"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22"/>
          <w:szCs w:val="22"/>
        </w:rPr>
      </w:pPr>
      <w:r w:rsidRPr="00B81B8A">
        <w:t xml:space="preserve">This application accounts for 370 of the total PR allocation of 4,400 dwellings, or 8.4%. It should therefore contribute 8.4% of the land value, which is £233,023. </w:t>
      </w:r>
    </w:p>
    <w:p w14:paraId="11AC1444" w14:textId="77777777" w:rsidR="00B81B8A" w:rsidRPr="00B81B8A" w:rsidRDefault="00B81B8A" w:rsidP="00B81B8A">
      <w:pPr>
        <w:autoSpaceDE w:val="0"/>
        <w:autoSpaceDN w:val="0"/>
        <w:adjustRightInd w:val="0"/>
      </w:pPr>
    </w:p>
    <w:p w14:paraId="119220FD" w14:textId="77777777" w:rsidR="00B81B8A" w:rsidRPr="00B81B8A" w:rsidRDefault="00B81B8A" w:rsidP="00B81B8A">
      <w:pPr>
        <w:autoSpaceDE w:val="0"/>
        <w:autoSpaceDN w:val="0"/>
        <w:adjustRightInd w:val="0"/>
      </w:pPr>
    </w:p>
    <w:p w14:paraId="2E084ACD" w14:textId="77777777" w:rsidR="00B81B8A" w:rsidRPr="00B81B8A" w:rsidRDefault="00B81B8A" w:rsidP="00B81B8A">
      <w:pPr>
        <w:autoSpaceDE w:val="0"/>
        <w:autoSpaceDN w:val="0"/>
        <w:adjustRightInd w:val="0"/>
      </w:pPr>
      <w:r w:rsidRPr="00B81B8A">
        <w:rPr>
          <w:b/>
          <w:bCs/>
        </w:rPr>
        <w:t>£</w:t>
      </w:r>
      <w:r w:rsidRPr="00B81B8A">
        <w:rPr>
          <w:b/>
          <w:bCs/>
          <w:color w:val="000000"/>
        </w:rPr>
        <w:t>260,248</w:t>
      </w:r>
      <w:r w:rsidRPr="00B81B8A">
        <w:rPr>
          <w:b/>
          <w:bCs/>
        </w:rPr>
        <w:t xml:space="preserve"> Special School Contribution indexed from TPI = 327</w:t>
      </w:r>
    </w:p>
    <w:p w14:paraId="0F2A597E" w14:textId="77777777" w:rsidR="00B81B8A" w:rsidRPr="00B81B8A" w:rsidRDefault="00B81B8A" w:rsidP="00B81B8A">
      <w:pPr>
        <w:autoSpaceDE w:val="0"/>
        <w:autoSpaceDN w:val="0"/>
        <w:adjustRightInd w:val="0"/>
      </w:pPr>
    </w:p>
    <w:p w14:paraId="66B7E108" w14:textId="77777777" w:rsidR="00B81B8A" w:rsidRPr="00B81B8A" w:rsidRDefault="00B81B8A" w:rsidP="00B81B8A">
      <w:pPr>
        <w:autoSpaceDE w:val="0"/>
        <w:autoSpaceDN w:val="0"/>
        <w:adjustRightInd w:val="0"/>
      </w:pPr>
      <w:r w:rsidRPr="00B81B8A">
        <w:rPr>
          <w:b/>
          <w:bCs/>
        </w:rPr>
        <w:t>Justification:</w:t>
      </w:r>
      <w:r w:rsidRPr="00B81B8A">
        <w:t xml:space="preserve"> </w:t>
      </w:r>
    </w:p>
    <w:p w14:paraId="3740DAD4" w14:textId="77777777" w:rsidR="00B81B8A" w:rsidRPr="00B81B8A" w:rsidRDefault="00B81B8A" w:rsidP="00B81B8A">
      <w:pPr>
        <w:autoSpaceDE w:val="0"/>
        <w:autoSpaceDN w:val="0"/>
        <w:adjustRightInd w:val="0"/>
      </w:pPr>
      <w:r w:rsidRPr="00B81B8A">
        <w:t xml:space="preserve">Government guidance is that local authorities should secure developer contributions for expansion to special education provision commensurate with the need arising from the development. </w:t>
      </w:r>
    </w:p>
    <w:p w14:paraId="4E17D892"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03DC45EA"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shd w:val="clear" w:color="auto" w:fill="FFFFFF"/>
        </w:rPr>
      </w:pPr>
      <w:r w:rsidRPr="00B81B8A">
        <w:rPr>
          <w:color w:val="000000"/>
          <w:shd w:val="clear" w:color="auto" w:fill="FFFFFF"/>
        </w:rPr>
        <w:t>Approximately half of pupils with Education Needs &amp; Disabilities (SEND) are educated in mainstream schools, in some cases supported by specialist resource bases, and approximately half attend special schools, some of which are run by the local authority and some of which are independent. Based on current pupil data, approximately 0.9% of primary pupils attend special school, 2.1% of secondary pupils and 1.5% of sixth form pupils. These percentages are deducted from the mainstream pupil contributions referred to above and generate the number of pupils expected to require education at a special school. </w:t>
      </w:r>
    </w:p>
    <w:p w14:paraId="3472D290"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3404ACC3"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B81B8A">
        <w:t xml:space="preserve">The county council’s Special Educational Needs &amp; Disability Sufficiency of Places Strategy is available at </w:t>
      </w:r>
      <w:r w:rsidRPr="00B81B8A">
        <w:rPr>
          <w:color w:val="0070C0"/>
        </w:rPr>
        <w:t xml:space="preserve">https://www.oxfordshire.gov.uk/residents/schools/our-work-schools/planning-enough-school-places </w:t>
      </w:r>
      <w:r w:rsidRPr="00B81B8A">
        <w:t xml:space="preserve">and sets out how Oxfordshire already needs more special school places. This is being achieved through a mixture of new schools and expansions of existing schools. </w:t>
      </w:r>
    </w:p>
    <w:p w14:paraId="32649580"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57C80F1D"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B81B8A">
        <w:t xml:space="preserve">The proposed development is expected to further increase demand for places at SEN schools in the area, and a contribution towards expansion of SEN school capacity is therefore sought based on the percentage of the pupil generation who would be expected to require places at a special school, based on pupil census data. (This </w:t>
      </w:r>
      <w:proofErr w:type="gramStart"/>
      <w:r w:rsidRPr="00B81B8A">
        <w:t>amount</w:t>
      </w:r>
      <w:proofErr w:type="gramEnd"/>
      <w:r w:rsidRPr="00B81B8A">
        <w:t xml:space="preserve"> of pupils has been deducted from the primary and secondary pupil generation quoted above.)</w:t>
      </w:r>
    </w:p>
    <w:p w14:paraId="30F8AD8B"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4F267773"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sidRPr="00B81B8A">
        <w:rPr>
          <w:b/>
          <w:bCs/>
        </w:rPr>
        <w:t>Calculation:</w:t>
      </w:r>
    </w:p>
    <w:p w14:paraId="11C15B56"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p>
    <w:tbl>
      <w:tblPr>
        <w:tblW w:w="0" w:type="auto"/>
        <w:tblInd w:w="113" w:type="dxa"/>
        <w:tblLayout w:type="fixed"/>
        <w:tblLook w:val="0000" w:firstRow="0" w:lastRow="0" w:firstColumn="0" w:lastColumn="0" w:noHBand="0" w:noVBand="0"/>
      </w:tblPr>
      <w:tblGrid>
        <w:gridCol w:w="7525"/>
        <w:gridCol w:w="1491"/>
      </w:tblGrid>
      <w:tr w:rsidR="00B81B8A" w:rsidRPr="00B81B8A" w14:paraId="4D2EFF75" w14:textId="77777777">
        <w:tc>
          <w:tcPr>
            <w:tcW w:w="7525" w:type="dxa"/>
            <w:tcBorders>
              <w:top w:val="single" w:sz="4" w:space="0" w:color="auto"/>
              <w:left w:val="single" w:sz="4" w:space="0" w:color="auto"/>
              <w:bottom w:val="single" w:sz="4" w:space="0" w:color="auto"/>
              <w:right w:val="single" w:sz="4" w:space="0" w:color="auto"/>
            </w:tcBorders>
          </w:tcPr>
          <w:p w14:paraId="41D99C94" w14:textId="77777777" w:rsidR="00B81B8A" w:rsidRPr="00B81B8A" w:rsidRDefault="00B81B8A" w:rsidP="00B81B8A">
            <w:pPr>
              <w:tabs>
                <w:tab w:val="left" w:pos="7920"/>
                <w:tab w:val="left" w:pos="8640"/>
                <w:tab w:val="left" w:pos="9360"/>
                <w:tab w:val="left" w:pos="10080"/>
              </w:tabs>
              <w:autoSpaceDE w:val="0"/>
              <w:autoSpaceDN w:val="0"/>
              <w:adjustRightInd w:val="0"/>
              <w:rPr>
                <w:color w:val="000000"/>
              </w:rPr>
            </w:pPr>
            <w:r w:rsidRPr="00B81B8A">
              <w:rPr>
                <w:color w:val="000000"/>
              </w:rPr>
              <w:t>Number of pupils requiring education at a special school expected to be generated</w:t>
            </w:r>
          </w:p>
          <w:p w14:paraId="5458A54B" w14:textId="77777777" w:rsidR="00B81B8A" w:rsidRPr="00B81B8A" w:rsidRDefault="00B81B8A" w:rsidP="00B81B8A">
            <w:pPr>
              <w:tabs>
                <w:tab w:val="left" w:pos="7920"/>
                <w:tab w:val="left" w:pos="8640"/>
                <w:tab w:val="left" w:pos="9360"/>
                <w:tab w:val="left" w:pos="10080"/>
              </w:tabs>
              <w:autoSpaceDE w:val="0"/>
              <w:autoSpaceDN w:val="0"/>
              <w:adjustRightInd w:val="0"/>
              <w:rPr>
                <w:b/>
                <w:bCs/>
                <w:color w:val="000000"/>
              </w:rPr>
            </w:pPr>
          </w:p>
        </w:tc>
        <w:tc>
          <w:tcPr>
            <w:tcW w:w="1491" w:type="dxa"/>
            <w:tcBorders>
              <w:top w:val="single" w:sz="4" w:space="0" w:color="auto"/>
              <w:left w:val="single" w:sz="4" w:space="0" w:color="auto"/>
              <w:bottom w:val="single" w:sz="4" w:space="0" w:color="auto"/>
              <w:right w:val="single" w:sz="4" w:space="0" w:color="auto"/>
            </w:tcBorders>
          </w:tcPr>
          <w:p w14:paraId="67CA0BAE"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color w:val="000000"/>
              </w:rPr>
            </w:pPr>
            <w:r w:rsidRPr="00B81B8A">
              <w:rPr>
                <w:color w:val="000000"/>
              </w:rPr>
              <w:t>2.9</w:t>
            </w:r>
          </w:p>
        </w:tc>
      </w:tr>
      <w:tr w:rsidR="00B81B8A" w:rsidRPr="00B81B8A" w14:paraId="797624E1" w14:textId="77777777">
        <w:tc>
          <w:tcPr>
            <w:tcW w:w="7525" w:type="dxa"/>
            <w:tcBorders>
              <w:top w:val="single" w:sz="4" w:space="0" w:color="auto"/>
              <w:left w:val="single" w:sz="4" w:space="0" w:color="auto"/>
              <w:bottom w:val="single" w:sz="4" w:space="0" w:color="auto"/>
              <w:right w:val="single" w:sz="4" w:space="0" w:color="auto"/>
            </w:tcBorders>
          </w:tcPr>
          <w:p w14:paraId="1F0AFEE7" w14:textId="77777777" w:rsidR="00B81B8A" w:rsidRPr="00B81B8A" w:rsidRDefault="00B81B8A" w:rsidP="00B81B8A">
            <w:pPr>
              <w:tabs>
                <w:tab w:val="left" w:pos="7920"/>
                <w:tab w:val="left" w:pos="8640"/>
                <w:tab w:val="left" w:pos="9360"/>
                <w:tab w:val="left" w:pos="10080"/>
              </w:tabs>
              <w:autoSpaceDE w:val="0"/>
              <w:autoSpaceDN w:val="0"/>
              <w:adjustRightInd w:val="0"/>
              <w:rPr>
                <w:color w:val="000000"/>
              </w:rPr>
            </w:pPr>
            <w:r w:rsidRPr="00B81B8A">
              <w:rPr>
                <w:color w:val="000000"/>
              </w:rPr>
              <w:t>Estimated per pupil cost of special school expansion</w:t>
            </w:r>
          </w:p>
          <w:p w14:paraId="03E19DC4" w14:textId="77777777" w:rsidR="00B81B8A" w:rsidRPr="00B81B8A" w:rsidRDefault="00B81B8A" w:rsidP="00B81B8A">
            <w:pPr>
              <w:tabs>
                <w:tab w:val="left" w:pos="7920"/>
                <w:tab w:val="left" w:pos="8640"/>
                <w:tab w:val="left" w:pos="9360"/>
                <w:tab w:val="left" w:pos="10080"/>
              </w:tabs>
              <w:autoSpaceDE w:val="0"/>
              <w:autoSpaceDN w:val="0"/>
              <w:adjustRightInd w:val="0"/>
              <w:rPr>
                <w:b/>
                <w:bCs/>
                <w:color w:val="000000"/>
              </w:rPr>
            </w:pPr>
          </w:p>
        </w:tc>
        <w:tc>
          <w:tcPr>
            <w:tcW w:w="1491" w:type="dxa"/>
            <w:tcBorders>
              <w:top w:val="single" w:sz="4" w:space="0" w:color="auto"/>
              <w:left w:val="single" w:sz="4" w:space="0" w:color="auto"/>
              <w:bottom w:val="single" w:sz="4" w:space="0" w:color="auto"/>
              <w:right w:val="single" w:sz="4" w:space="0" w:color="auto"/>
            </w:tcBorders>
          </w:tcPr>
          <w:p w14:paraId="016E2460"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color w:val="000000"/>
              </w:rPr>
            </w:pPr>
            <w:r w:rsidRPr="00B81B8A">
              <w:rPr>
                <w:color w:val="000000"/>
              </w:rPr>
              <w:t>£89,741</w:t>
            </w:r>
          </w:p>
        </w:tc>
      </w:tr>
      <w:tr w:rsidR="00B81B8A" w:rsidRPr="00B81B8A" w14:paraId="37BB0C83" w14:textId="77777777">
        <w:tc>
          <w:tcPr>
            <w:tcW w:w="7525" w:type="dxa"/>
            <w:tcBorders>
              <w:top w:val="single" w:sz="4" w:space="0" w:color="auto"/>
              <w:left w:val="single" w:sz="4" w:space="0" w:color="auto"/>
              <w:bottom w:val="single" w:sz="4" w:space="0" w:color="auto"/>
              <w:right w:val="single" w:sz="4" w:space="0" w:color="auto"/>
            </w:tcBorders>
          </w:tcPr>
          <w:p w14:paraId="4471B9CF" w14:textId="77777777" w:rsidR="00B81B8A" w:rsidRPr="00B81B8A" w:rsidRDefault="00B81B8A" w:rsidP="00B81B8A">
            <w:pPr>
              <w:tabs>
                <w:tab w:val="left" w:pos="7920"/>
                <w:tab w:val="left" w:pos="8640"/>
                <w:tab w:val="left" w:pos="9360"/>
                <w:tab w:val="left" w:pos="10080"/>
              </w:tabs>
              <w:autoSpaceDE w:val="0"/>
              <w:autoSpaceDN w:val="0"/>
              <w:adjustRightInd w:val="0"/>
              <w:rPr>
                <w:color w:val="000000"/>
              </w:rPr>
            </w:pPr>
            <w:r w:rsidRPr="00B81B8A">
              <w:rPr>
                <w:color w:val="000000"/>
              </w:rPr>
              <w:t xml:space="preserve">Pupils * cost = </w:t>
            </w:r>
          </w:p>
        </w:tc>
        <w:tc>
          <w:tcPr>
            <w:tcW w:w="1491" w:type="dxa"/>
            <w:tcBorders>
              <w:top w:val="single" w:sz="4" w:space="0" w:color="auto"/>
              <w:left w:val="single" w:sz="4" w:space="0" w:color="auto"/>
              <w:bottom w:val="single" w:sz="4" w:space="0" w:color="auto"/>
              <w:right w:val="single" w:sz="4" w:space="0" w:color="auto"/>
            </w:tcBorders>
          </w:tcPr>
          <w:p w14:paraId="59F21922" w14:textId="77777777" w:rsidR="00B81B8A" w:rsidRPr="00B81B8A" w:rsidRDefault="00B81B8A" w:rsidP="00B81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color w:val="000000"/>
              </w:rPr>
            </w:pPr>
            <w:r w:rsidRPr="00B81B8A">
              <w:rPr>
                <w:b/>
                <w:bCs/>
                <w:color w:val="000000"/>
              </w:rPr>
              <w:t>£   260,248</w:t>
            </w:r>
          </w:p>
        </w:tc>
      </w:tr>
    </w:tbl>
    <w:p w14:paraId="1DDBCB4B" w14:textId="77777777" w:rsidR="00B81B8A" w:rsidRPr="00B81B8A" w:rsidRDefault="00B81B8A" w:rsidP="00B81B8A">
      <w:pPr>
        <w:autoSpaceDE w:val="0"/>
        <w:autoSpaceDN w:val="0"/>
        <w:adjustRightInd w:val="0"/>
      </w:pPr>
    </w:p>
    <w:p w14:paraId="1412BD96" w14:textId="77777777" w:rsidR="00B81B8A" w:rsidRPr="00B81B8A" w:rsidRDefault="00B81B8A" w:rsidP="00B81B8A">
      <w:pPr>
        <w:autoSpaceDE w:val="0"/>
        <w:autoSpaceDN w:val="0"/>
        <w:adjustRightInd w:val="0"/>
      </w:pPr>
    </w:p>
    <w:p w14:paraId="2DFFE5F4" w14:textId="77777777" w:rsidR="00B81B8A" w:rsidRPr="00B81B8A" w:rsidRDefault="00B81B8A" w:rsidP="00B81B8A">
      <w:pPr>
        <w:autoSpaceDE w:val="0"/>
        <w:autoSpaceDN w:val="0"/>
        <w:adjustRightInd w:val="0"/>
      </w:pPr>
      <w:r w:rsidRPr="00B81B8A">
        <w:lastRenderedPageBreak/>
        <w:t>The above contributions are based on a unit mix of:</w:t>
      </w:r>
    </w:p>
    <w:p w14:paraId="4D259FE6" w14:textId="77777777" w:rsidR="00B81B8A" w:rsidRPr="00B81B8A" w:rsidRDefault="00B81B8A" w:rsidP="00B81B8A">
      <w:pPr>
        <w:autoSpaceDE w:val="0"/>
        <w:autoSpaceDN w:val="0"/>
        <w:adjustRightInd w:val="0"/>
      </w:pPr>
      <w:r w:rsidRPr="00B81B8A">
        <w:t xml:space="preserve"> </w:t>
      </w:r>
    </w:p>
    <w:p w14:paraId="377427BA" w14:textId="77777777" w:rsidR="00B81B8A" w:rsidRPr="00B81B8A" w:rsidRDefault="00B81B8A" w:rsidP="00B81B8A">
      <w:pPr>
        <w:autoSpaceDE w:val="0"/>
        <w:autoSpaceDN w:val="0"/>
        <w:adjustRightInd w:val="0"/>
      </w:pPr>
      <w:r w:rsidRPr="00B81B8A">
        <w:t>60 x 1 bed dwellings</w:t>
      </w:r>
    </w:p>
    <w:p w14:paraId="7E24D6FE" w14:textId="77777777" w:rsidR="00B81B8A" w:rsidRPr="00B81B8A" w:rsidRDefault="00B81B8A" w:rsidP="00B81B8A">
      <w:pPr>
        <w:autoSpaceDE w:val="0"/>
        <w:autoSpaceDN w:val="0"/>
        <w:adjustRightInd w:val="0"/>
      </w:pPr>
      <w:r w:rsidRPr="00B81B8A">
        <w:t>106 x 2 bed dwellings</w:t>
      </w:r>
    </w:p>
    <w:p w14:paraId="6658D8F7" w14:textId="77777777" w:rsidR="00B81B8A" w:rsidRPr="00B81B8A" w:rsidRDefault="00B81B8A" w:rsidP="00B81B8A">
      <w:pPr>
        <w:autoSpaceDE w:val="0"/>
        <w:autoSpaceDN w:val="0"/>
        <w:adjustRightInd w:val="0"/>
      </w:pPr>
      <w:r w:rsidRPr="00B81B8A">
        <w:t>143 x 3 bed dwellings</w:t>
      </w:r>
    </w:p>
    <w:p w14:paraId="79885DF5" w14:textId="77777777" w:rsidR="00B81B8A" w:rsidRPr="00B81B8A" w:rsidRDefault="00B81B8A" w:rsidP="00B81B8A">
      <w:pPr>
        <w:autoSpaceDE w:val="0"/>
        <w:autoSpaceDN w:val="0"/>
        <w:adjustRightInd w:val="0"/>
      </w:pPr>
      <w:r w:rsidRPr="00B81B8A">
        <w:t>60 x 4 bed dwellings</w:t>
      </w:r>
    </w:p>
    <w:p w14:paraId="7F898539" w14:textId="77777777" w:rsidR="00B81B8A" w:rsidRPr="00B81B8A" w:rsidRDefault="00B81B8A" w:rsidP="00B81B8A">
      <w:pPr>
        <w:autoSpaceDE w:val="0"/>
        <w:autoSpaceDN w:val="0"/>
        <w:adjustRightInd w:val="0"/>
      </w:pPr>
    </w:p>
    <w:p w14:paraId="59C8DA69"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B81B8A">
        <w:t xml:space="preserve">It is noted that the application is outline and therefore the above level of contributions would be subject to amendment, should the final unit mix result in an increase in pupil generation. </w:t>
      </w:r>
    </w:p>
    <w:p w14:paraId="096FCDFB"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p>
    <w:p w14:paraId="213DD5E0" w14:textId="77777777" w:rsidR="00B81B8A" w:rsidRPr="00B81B8A" w:rsidRDefault="00B81B8A" w:rsidP="00B81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FF0000"/>
        </w:rPr>
      </w:pPr>
      <w:r w:rsidRPr="00B81B8A">
        <w:rPr>
          <w:b/>
          <w:bCs/>
        </w:rPr>
        <w:t xml:space="preserve">Officer’s Name: </w:t>
      </w:r>
      <w:r w:rsidRPr="00B81B8A">
        <w:rPr>
          <w:b/>
          <w:bCs/>
        </w:rPr>
        <w:fldChar w:fldCharType="begin"/>
      </w:r>
      <w:r w:rsidRPr="00B81B8A">
        <w:rPr>
          <w:b/>
          <w:bCs/>
        </w:rPr>
        <w:instrText xml:space="preserve"> MERGEFIELD «engineers_name» \* </w:instrText>
      </w:r>
      <w:r w:rsidRPr="00B81B8A">
        <w:rPr>
          <w:b/>
          <w:bCs/>
        </w:rPr>
        <w:fldChar w:fldCharType="separate"/>
      </w:r>
      <w:r w:rsidRPr="00B81B8A">
        <w:rPr>
          <w:b/>
          <w:bCs/>
        </w:rPr>
        <w:t>Louise Heavey</w:t>
      </w:r>
      <w:r w:rsidRPr="00B81B8A">
        <w:rPr>
          <w:b/>
          <w:bCs/>
        </w:rPr>
        <w:fldChar w:fldCharType="end"/>
      </w:r>
    </w:p>
    <w:p w14:paraId="5C42B4FC" w14:textId="77777777" w:rsidR="00B81B8A" w:rsidRPr="00B81B8A" w:rsidRDefault="00B81B8A" w:rsidP="00B81B8A">
      <w:pPr>
        <w:widowControl w:val="0"/>
        <w:autoSpaceDE w:val="0"/>
        <w:autoSpaceDN w:val="0"/>
        <w:adjustRightInd w:val="0"/>
        <w:rPr>
          <w:b/>
          <w:bCs/>
        </w:rPr>
      </w:pPr>
      <w:r w:rsidRPr="00B81B8A">
        <w:rPr>
          <w:b/>
          <w:bCs/>
        </w:rPr>
        <w:t xml:space="preserve">Officer’s Title: </w:t>
      </w:r>
      <w:r w:rsidRPr="00B81B8A">
        <w:rPr>
          <w:b/>
          <w:bCs/>
        </w:rPr>
        <w:fldChar w:fldCharType="begin"/>
      </w:r>
      <w:r w:rsidRPr="00B81B8A">
        <w:rPr>
          <w:b/>
          <w:bCs/>
        </w:rPr>
        <w:instrText xml:space="preserve"> MERGEFIELD «engineers_job_title» \* </w:instrText>
      </w:r>
      <w:r w:rsidRPr="00B81B8A">
        <w:rPr>
          <w:b/>
          <w:bCs/>
        </w:rPr>
        <w:fldChar w:fldCharType="separate"/>
      </w:r>
      <w:r w:rsidRPr="00B81B8A">
        <w:rPr>
          <w:b/>
          <w:bCs/>
        </w:rPr>
        <w:t>Access to Learning Information Analyst</w:t>
      </w:r>
      <w:r w:rsidRPr="00B81B8A">
        <w:rPr>
          <w:b/>
          <w:bCs/>
        </w:rPr>
        <w:fldChar w:fldCharType="end"/>
      </w:r>
    </w:p>
    <w:p w14:paraId="062613BF" w14:textId="540791C3" w:rsidR="00B81B8A" w:rsidRPr="00B81B8A" w:rsidRDefault="00B81B8A" w:rsidP="00B81B8A">
      <w:pPr>
        <w:widowControl w:val="0"/>
        <w:autoSpaceDE w:val="0"/>
        <w:autoSpaceDN w:val="0"/>
        <w:adjustRightInd w:val="0"/>
        <w:rPr>
          <w:b/>
          <w:bCs/>
        </w:rPr>
      </w:pPr>
      <w:r w:rsidRPr="00B81B8A">
        <w:rPr>
          <w:b/>
          <w:bCs/>
        </w:rPr>
        <w:t xml:space="preserve">Date: </w:t>
      </w:r>
      <w:r w:rsidRPr="00BF7DB1">
        <w:rPr>
          <w:b/>
          <w:bCs/>
        </w:rPr>
        <w:t>3/10/2022</w:t>
      </w:r>
    </w:p>
    <w:p w14:paraId="06B51203" w14:textId="77777777" w:rsidR="00FD3A85" w:rsidRPr="00BF7DB1" w:rsidRDefault="00FD3A85"/>
    <w:sectPr w:rsidR="00FD3A85" w:rsidRPr="00BF7DB1" w:rsidSect="004939B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000000"/>
        <w:sz w:val="24"/>
        <w:szCs w:val="24"/>
        <w:u w:val="words"/>
      </w:rPr>
    </w:lvl>
    <w:lvl w:ilvl="1">
      <w:start w:val="1"/>
      <w:numFmt w:val="bullet"/>
      <w:lvlText w:val=""/>
      <w:lvlJc w:val="left"/>
      <w:pPr>
        <w:ind w:left="1080" w:hanging="360"/>
      </w:pPr>
      <w:rPr>
        <w:rFonts w:ascii="Symbol" w:hAnsi="Symbol" w:cs="Symbol" w:hint="default"/>
        <w:b/>
        <w:bCs/>
        <w:i w:val="0"/>
        <w:iCs w:val="0"/>
        <w:strike w:val="0"/>
        <w:color w:val="000000"/>
        <w:sz w:val="24"/>
        <w:szCs w:val="24"/>
        <w:u w:val="words"/>
      </w:rPr>
    </w:lvl>
    <w:lvl w:ilvl="2">
      <w:start w:val="1"/>
      <w:numFmt w:val="bullet"/>
      <w:lvlText w:val=""/>
      <w:lvlJc w:val="left"/>
      <w:pPr>
        <w:ind w:left="1440" w:hanging="360"/>
      </w:pPr>
      <w:rPr>
        <w:rFonts w:ascii="Symbol" w:hAnsi="Symbol" w:cs="Symbol" w:hint="default"/>
        <w:b/>
        <w:bCs/>
        <w:i w:val="0"/>
        <w:iCs w:val="0"/>
        <w:strike w:val="0"/>
        <w:color w:val="000000"/>
        <w:sz w:val="24"/>
        <w:szCs w:val="24"/>
        <w:u w:val="words"/>
      </w:rPr>
    </w:lvl>
    <w:lvl w:ilvl="3">
      <w:start w:val="1"/>
      <w:numFmt w:val="bullet"/>
      <w:lvlText w:val=""/>
      <w:lvlJc w:val="left"/>
      <w:pPr>
        <w:ind w:left="1800" w:hanging="360"/>
      </w:pPr>
      <w:rPr>
        <w:rFonts w:ascii="Symbol" w:hAnsi="Symbol" w:cs="Symbol" w:hint="default"/>
        <w:b/>
        <w:bCs/>
        <w:i w:val="0"/>
        <w:iCs w:val="0"/>
        <w:strike w:val="0"/>
        <w:color w:val="000000"/>
        <w:sz w:val="24"/>
        <w:szCs w:val="24"/>
        <w:u w:val="words"/>
      </w:rPr>
    </w:lvl>
    <w:lvl w:ilvl="4">
      <w:start w:val="1"/>
      <w:numFmt w:val="bullet"/>
      <w:lvlText w:val=""/>
      <w:lvlJc w:val="left"/>
      <w:pPr>
        <w:ind w:left="2160" w:hanging="360"/>
      </w:pPr>
      <w:rPr>
        <w:rFonts w:ascii="Symbol" w:hAnsi="Symbol" w:cs="Symbol" w:hint="default"/>
        <w:b/>
        <w:bCs/>
        <w:i w:val="0"/>
        <w:iCs w:val="0"/>
        <w:strike w:val="0"/>
        <w:color w:val="000000"/>
        <w:sz w:val="24"/>
        <w:szCs w:val="24"/>
        <w:u w:val="words"/>
      </w:rPr>
    </w:lvl>
    <w:lvl w:ilvl="5">
      <w:start w:val="1"/>
      <w:numFmt w:val="bullet"/>
      <w:lvlText w:val=""/>
      <w:lvlJc w:val="left"/>
      <w:pPr>
        <w:ind w:left="2520" w:hanging="360"/>
      </w:pPr>
      <w:rPr>
        <w:rFonts w:ascii="Symbol" w:hAnsi="Symbol" w:cs="Symbol" w:hint="default"/>
        <w:b/>
        <w:bCs/>
        <w:i w:val="0"/>
        <w:iCs w:val="0"/>
        <w:strike w:val="0"/>
        <w:color w:val="000000"/>
        <w:sz w:val="24"/>
        <w:szCs w:val="24"/>
        <w:u w:val="words"/>
      </w:rPr>
    </w:lvl>
    <w:lvl w:ilvl="6">
      <w:start w:val="1"/>
      <w:numFmt w:val="bullet"/>
      <w:lvlText w:val=""/>
      <w:lvlJc w:val="left"/>
      <w:pPr>
        <w:ind w:left="2880" w:hanging="360"/>
      </w:pPr>
      <w:rPr>
        <w:rFonts w:ascii="Symbol" w:hAnsi="Symbol" w:cs="Symbol" w:hint="default"/>
        <w:b/>
        <w:bCs/>
        <w:i w:val="0"/>
        <w:iCs w:val="0"/>
        <w:strike w:val="0"/>
        <w:color w:val="000000"/>
        <w:sz w:val="24"/>
        <w:szCs w:val="24"/>
        <w:u w:val="words"/>
      </w:rPr>
    </w:lvl>
    <w:lvl w:ilvl="7">
      <w:start w:val="1"/>
      <w:numFmt w:val="bullet"/>
      <w:lvlText w:val=""/>
      <w:lvlJc w:val="left"/>
      <w:pPr>
        <w:ind w:left="3240" w:hanging="360"/>
      </w:pPr>
      <w:rPr>
        <w:rFonts w:ascii="Symbol" w:hAnsi="Symbol" w:cs="Symbol" w:hint="default"/>
        <w:b/>
        <w:bCs/>
        <w:i w:val="0"/>
        <w:iCs w:val="0"/>
        <w:strike w:val="0"/>
        <w:color w:val="000000"/>
        <w:sz w:val="24"/>
        <w:szCs w:val="24"/>
        <w:u w:val="words"/>
      </w:rPr>
    </w:lvl>
    <w:lvl w:ilvl="8">
      <w:start w:val="1"/>
      <w:numFmt w:val="bullet"/>
      <w:lvlText w:val=""/>
      <w:lvlJc w:val="left"/>
      <w:pPr>
        <w:ind w:left="3600" w:hanging="360"/>
      </w:pPr>
      <w:rPr>
        <w:rFonts w:ascii="Symbol" w:hAnsi="Symbol" w:cs="Symbol" w:hint="default"/>
        <w:b/>
        <w:bCs/>
        <w:i w:val="0"/>
        <w:iCs w:val="0"/>
        <w:strike w:val="0"/>
        <w:color w:val="000000"/>
        <w:sz w:val="24"/>
        <w:szCs w:val="24"/>
        <w:u w:val="words"/>
      </w:rPr>
    </w:lvl>
  </w:abstractNum>
  <w:abstractNum w:abstractNumId="1" w15:restartNumberingAfterBreak="0">
    <w:nsid w:val="75645017"/>
    <w:multiLevelType w:val="hybridMultilevel"/>
    <w:tmpl w:val="AECEB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1B8A"/>
    <w:rsid w:val="000B4310"/>
    <w:rsid w:val="004000D7"/>
    <w:rsid w:val="004820E6"/>
    <w:rsid w:val="00504E43"/>
    <w:rsid w:val="005A2B99"/>
    <w:rsid w:val="0064422F"/>
    <w:rsid w:val="007269BD"/>
    <w:rsid w:val="007908F4"/>
    <w:rsid w:val="009544AE"/>
    <w:rsid w:val="00B81B8A"/>
    <w:rsid w:val="00BF7DB1"/>
    <w:rsid w:val="00E011E4"/>
    <w:rsid w:val="00E76C9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0533"/>
  <w15:chartTrackingRefBased/>
  <w15:docId w15:val="{F2C6B43D-636C-4591-99BE-B0E4535B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B81B8A"/>
    <w:pPr>
      <w:widowControl w:val="0"/>
      <w:autoSpaceDE w:val="0"/>
      <w:autoSpaceDN w:val="0"/>
      <w:adjustRightInd w:val="0"/>
    </w:pPr>
  </w:style>
  <w:style w:type="paragraph" w:styleId="ListParagraph">
    <w:name w:val="List Paragraph"/>
    <w:basedOn w:val="Normal"/>
    <w:uiPriority w:val="99"/>
    <w:qFormat/>
    <w:rsid w:val="00B81B8A"/>
    <w:pPr>
      <w:autoSpaceDE w:val="0"/>
      <w:autoSpaceDN w:val="0"/>
      <w:adjustRightInd w:val="0"/>
      <w:ind w:left="7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908</Words>
  <Characters>5178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Heavey, Louise - Oxfordshire County Council</dc:creator>
  <cp:keywords/>
  <dc:description/>
  <cp:lastModifiedBy>Heavey, Louise - Oxfordshire County Council</cp:lastModifiedBy>
  <cp:revision>2</cp:revision>
  <dcterms:created xsi:type="dcterms:W3CDTF">2022-11-02T12:22:00Z</dcterms:created>
  <dcterms:modified xsi:type="dcterms:W3CDTF">2022-11-02T12:22:00Z</dcterms:modified>
</cp:coreProperties>
</file>