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BE02" w14:textId="09283017" w:rsidR="005433CB" w:rsidRPr="00E53D82" w:rsidRDefault="00BA45DF">
      <w:pPr>
        <w:rPr>
          <w:rFonts w:ascii="FS Me Pro" w:eastAsiaTheme="majorEastAsia" w:hAnsi="FS Me Pro" w:cstheme="minorHAnsi"/>
          <w:b/>
          <w:color w:val="00B0F0"/>
          <w:spacing w:val="5"/>
          <w:kern w:val="28"/>
          <w:sz w:val="28"/>
          <w:szCs w:val="32"/>
          <w14:ligatures w14:val="none"/>
        </w:rPr>
      </w:pPr>
      <w:r w:rsidRPr="00E53D82">
        <w:rPr>
          <w:rFonts w:ascii="FS Me Pro" w:eastAsiaTheme="majorEastAsia" w:hAnsi="FS Me Pro" w:cstheme="minorHAnsi"/>
          <w:b/>
          <w:color w:val="00B0F0"/>
          <w:spacing w:val="5"/>
          <w:kern w:val="28"/>
          <w:sz w:val="28"/>
          <w:szCs w:val="32"/>
          <w14:ligatures w14:val="none"/>
        </w:rPr>
        <w:t>Bioregional</w:t>
      </w:r>
      <w:r w:rsidRPr="00BA45DF">
        <w:rPr>
          <w:b/>
          <w:bCs/>
          <w:sz w:val="28"/>
          <w:szCs w:val="28"/>
        </w:rPr>
        <w:t xml:space="preserve"> </w:t>
      </w:r>
      <w:r w:rsidRPr="00E53D82">
        <w:rPr>
          <w:rFonts w:ascii="FS Me Pro" w:eastAsiaTheme="majorEastAsia" w:hAnsi="FS Me Pro" w:cstheme="minorHAnsi"/>
          <w:b/>
          <w:color w:val="00B0F0"/>
          <w:spacing w:val="5"/>
          <w:kern w:val="28"/>
          <w:sz w:val="28"/>
          <w:szCs w:val="32"/>
          <w14:ligatures w14:val="none"/>
        </w:rPr>
        <w:t>comments on Firethorn appeal</w:t>
      </w:r>
      <w:r w:rsidR="005433CB">
        <w:rPr>
          <w:rFonts w:ascii="FS Me Pro" w:eastAsiaTheme="majorEastAsia" w:hAnsi="FS Me Pro" w:cstheme="minorHAnsi"/>
          <w:b/>
          <w:color w:val="00B0F0"/>
          <w:spacing w:val="5"/>
          <w:kern w:val="28"/>
          <w:sz w:val="28"/>
          <w:szCs w:val="32"/>
          <w14:ligatures w14:val="none"/>
        </w:rPr>
        <w:tab/>
      </w:r>
      <w:r w:rsidR="005433CB">
        <w:rPr>
          <w:rFonts w:ascii="FS Me Pro" w:eastAsiaTheme="majorEastAsia" w:hAnsi="FS Me Pro" w:cstheme="minorHAnsi"/>
          <w:b/>
          <w:color w:val="00B0F0"/>
          <w:spacing w:val="5"/>
          <w:kern w:val="28"/>
          <w:sz w:val="28"/>
          <w:szCs w:val="32"/>
          <w14:ligatures w14:val="none"/>
        </w:rPr>
        <w:tab/>
      </w:r>
      <w:r w:rsidR="005433CB">
        <w:rPr>
          <w:rFonts w:ascii="FS Me Pro" w:eastAsiaTheme="majorEastAsia" w:hAnsi="FS Me Pro" w:cstheme="minorHAnsi"/>
          <w:b/>
          <w:color w:val="00B0F0"/>
          <w:spacing w:val="5"/>
          <w:kern w:val="28"/>
          <w:sz w:val="28"/>
          <w:szCs w:val="32"/>
          <w14:ligatures w14:val="none"/>
        </w:rPr>
        <w:tab/>
        <w:t>03/05/2023</w:t>
      </w:r>
    </w:p>
    <w:p w14:paraId="7B3996F1" w14:textId="029A96D2" w:rsidR="00200625" w:rsidRDefault="00200625" w:rsidP="00200625">
      <w:pPr>
        <w:rPr>
          <w:rFonts w:ascii="FS Me Pro Light" w:hAnsi="FS Me Pro Light"/>
          <w:b/>
          <w:bCs/>
        </w:rPr>
      </w:pPr>
      <w:r>
        <w:rPr>
          <w:rFonts w:ascii="FS Me Pro Light" w:hAnsi="FS Me Pro Light"/>
          <w:b/>
          <w:bCs/>
        </w:rPr>
        <w:t>About Bioregional</w:t>
      </w:r>
    </w:p>
    <w:p w14:paraId="72314790" w14:textId="431CEA12" w:rsidR="00C26118" w:rsidRPr="00C26118" w:rsidRDefault="00200625" w:rsidP="00C26118">
      <w:pPr>
        <w:rPr>
          <w:rFonts w:ascii="FS Me Pro Light" w:hAnsi="FS Me Pro Light"/>
        </w:rPr>
      </w:pPr>
      <w:r w:rsidRPr="00200625">
        <w:rPr>
          <w:rFonts w:ascii="FS Me Pro Light" w:hAnsi="FS Me Pro Light"/>
        </w:rPr>
        <w:t xml:space="preserve">Bioregional are a purpose-led consultancy, registered </w:t>
      </w:r>
      <w:proofErr w:type="gramStart"/>
      <w:r w:rsidRPr="00200625">
        <w:rPr>
          <w:rFonts w:ascii="FS Me Pro Light" w:hAnsi="FS Me Pro Light"/>
        </w:rPr>
        <w:t>charity</w:t>
      </w:r>
      <w:proofErr w:type="gramEnd"/>
      <w:r w:rsidRPr="00200625">
        <w:rPr>
          <w:rFonts w:ascii="FS Me Pro Light" w:hAnsi="FS Me Pro Light"/>
        </w:rPr>
        <w:t xml:space="preserve"> and social enterprise. </w:t>
      </w:r>
      <w:r w:rsidR="00C26118" w:rsidRPr="00C26118">
        <w:rPr>
          <w:rFonts w:ascii="FS Me Pro Light" w:hAnsi="FS Me Pro Light"/>
        </w:rPr>
        <w:t>For</w:t>
      </w:r>
      <w:r w:rsidR="00C26118" w:rsidRPr="00C26118">
        <w:rPr>
          <w:rFonts w:ascii="FS Me Pro Light" w:hAnsi="FS Me Pro Light"/>
        </w:rPr>
        <w:t xml:space="preserve"> almost 30 </w:t>
      </w:r>
      <w:r w:rsidR="00C26118" w:rsidRPr="00C26118">
        <w:rPr>
          <w:rFonts w:ascii="FS Me Pro Light" w:hAnsi="FS Me Pro Light"/>
        </w:rPr>
        <w:t>years we have championed a better, more sustainable way to live. We work with partners to create better places for people to live, work and do business.</w:t>
      </w:r>
    </w:p>
    <w:p w14:paraId="67935D1D" w14:textId="5E5B1848" w:rsidR="00C26118" w:rsidRPr="00C26118" w:rsidRDefault="00C26118" w:rsidP="00C26118">
      <w:pPr>
        <w:jc w:val="both"/>
        <w:rPr>
          <w:rFonts w:ascii="FS Me Pro Light" w:hAnsi="FS Me Pro Light"/>
        </w:rPr>
      </w:pPr>
      <w:r w:rsidRPr="00C26118">
        <w:rPr>
          <w:rFonts w:ascii="FS Me Pro Light" w:hAnsi="FS Me Pro Light"/>
        </w:rPr>
        <w:t xml:space="preserve">Bioregional has an established presence in Bicester with a team working from their office at the Eco Business Centre on Elmsbrook. This satellite office was established </w:t>
      </w:r>
      <w:r w:rsidRPr="00C26118">
        <w:rPr>
          <w:rFonts w:ascii="FS Me Pro Light" w:hAnsi="FS Me Pro Light"/>
        </w:rPr>
        <w:t>because of</w:t>
      </w:r>
      <w:r w:rsidRPr="00C26118">
        <w:rPr>
          <w:rFonts w:ascii="FS Me Pro Light" w:hAnsi="FS Me Pro Light"/>
        </w:rPr>
        <w:t xml:space="preserve"> Bioregional’s involvement in the Bicester Eco Town programme.</w:t>
      </w:r>
    </w:p>
    <w:p w14:paraId="04C0A2E3" w14:textId="4335A4FC" w:rsidR="00C26118" w:rsidRPr="00C26118" w:rsidRDefault="00C26118" w:rsidP="00C26118">
      <w:pPr>
        <w:jc w:val="both"/>
        <w:rPr>
          <w:rFonts w:ascii="FS Me Pro Light" w:hAnsi="FS Me Pro Light"/>
        </w:rPr>
      </w:pPr>
      <w:r w:rsidRPr="00C26118">
        <w:rPr>
          <w:rFonts w:ascii="FS Me Pro Light" w:hAnsi="FS Me Pro Light"/>
        </w:rPr>
        <w:t xml:space="preserve">This team has worked in partnership with Cherwell District Council, A2Dominion (lead developers of NW Bicester) and other town-wide stakeholders for almost </w:t>
      </w:r>
      <w:r w:rsidR="00154321">
        <w:rPr>
          <w:rFonts w:ascii="FS Me Pro Light" w:hAnsi="FS Me Pro Light"/>
        </w:rPr>
        <w:t>a decade</w:t>
      </w:r>
      <w:r w:rsidRPr="00C26118">
        <w:rPr>
          <w:rFonts w:ascii="FS Me Pro Light" w:hAnsi="FS Me Pro Light"/>
        </w:rPr>
        <w:t>. During this time, we have supported Cherwell’s Bicester Team in developing the vision for Bicester, the detailed planning application for Elmsbrook, the NW Bicester masterplan and the NW Bicester Supplementary Planning Document. We have initiated, fundraised, advised on, and delivered a wide range of demonstration and community projects across the town.</w:t>
      </w:r>
    </w:p>
    <w:p w14:paraId="70C48695" w14:textId="2F7102B9" w:rsidR="00FA3176" w:rsidRPr="00F15A59" w:rsidRDefault="00154321" w:rsidP="00FA3176">
      <w:pPr>
        <w:jc w:val="both"/>
        <w:rPr>
          <w:rFonts w:ascii="FS Me Pro Light" w:hAnsi="FS Me Pro Light"/>
        </w:rPr>
      </w:pPr>
      <w:r w:rsidRPr="00F15A59">
        <w:rPr>
          <w:rFonts w:ascii="FS Me Pro Light" w:hAnsi="FS Me Pro Light"/>
        </w:rPr>
        <w:t xml:space="preserve">Additionally, </w:t>
      </w:r>
      <w:r w:rsidR="00FA3176" w:rsidRPr="00F15A59">
        <w:rPr>
          <w:rFonts w:ascii="FS Me Pro Light" w:hAnsi="FS Me Pro Light"/>
        </w:rPr>
        <w:t xml:space="preserve">Bioregional have deep knowledge of development best practice, the </w:t>
      </w:r>
      <w:r w:rsidR="00F15A59" w:rsidRPr="00F15A59">
        <w:rPr>
          <w:rFonts w:ascii="FS Me Pro Light" w:hAnsi="FS Me Pro Light"/>
        </w:rPr>
        <w:t>constraints,</w:t>
      </w:r>
      <w:r w:rsidR="00FA3176" w:rsidRPr="00F15A59">
        <w:rPr>
          <w:rFonts w:ascii="FS Me Pro Light" w:hAnsi="FS Me Pro Light"/>
        </w:rPr>
        <w:t xml:space="preserve"> and possibilities of practical and commercial realities. This is alongside a deep, </w:t>
      </w:r>
      <w:r w:rsidR="00F15A59" w:rsidRPr="00F15A59">
        <w:rPr>
          <w:rFonts w:ascii="FS Me Pro Light" w:hAnsi="FS Me Pro Light"/>
        </w:rPr>
        <w:t>technical,</w:t>
      </w:r>
      <w:r w:rsidR="00FA3176" w:rsidRPr="00F15A59">
        <w:rPr>
          <w:rFonts w:ascii="FS Me Pro Light" w:hAnsi="FS Me Pro Light"/>
        </w:rPr>
        <w:t xml:space="preserve"> and comprehensive understanding of the national and local planning policy and regulation.  Bioregional is a member of the London Energy Transformation Initiative (LETI)</w:t>
      </w:r>
      <w:r w:rsidRPr="00F15A59">
        <w:rPr>
          <w:rFonts w:ascii="FS Me Pro Light" w:hAnsi="FS Me Pro Light"/>
        </w:rPr>
        <w:t xml:space="preserve">, Good Homes </w:t>
      </w:r>
      <w:r w:rsidR="00623862" w:rsidRPr="00F15A59">
        <w:rPr>
          <w:rFonts w:ascii="FS Me Pro Light" w:hAnsi="FS Me Pro Light"/>
        </w:rPr>
        <w:t>Alliance</w:t>
      </w:r>
      <w:r w:rsidRPr="00F15A59">
        <w:rPr>
          <w:rFonts w:ascii="FS Me Pro Light" w:hAnsi="FS Me Pro Light"/>
        </w:rPr>
        <w:t xml:space="preserve"> (GHA)</w:t>
      </w:r>
      <w:r w:rsidR="00FA3176" w:rsidRPr="00F15A59">
        <w:rPr>
          <w:rFonts w:ascii="FS Me Pro Light" w:hAnsi="FS Me Pro Light"/>
        </w:rPr>
        <w:t xml:space="preserve"> and the UKGBC, allowing us to keep up to date on latest trends and changes.</w:t>
      </w:r>
    </w:p>
    <w:p w14:paraId="77529080" w14:textId="2A76BBA7" w:rsidR="00FA3176" w:rsidRPr="00F15A59" w:rsidRDefault="00FA3176" w:rsidP="00FA3176">
      <w:pPr>
        <w:jc w:val="both"/>
        <w:rPr>
          <w:rFonts w:ascii="FS Me Pro Light" w:hAnsi="FS Me Pro Light"/>
        </w:rPr>
      </w:pPr>
      <w:r w:rsidRPr="00F15A59">
        <w:rPr>
          <w:rFonts w:ascii="FS Me Pro Light" w:hAnsi="FS Me Pro Light"/>
        </w:rPr>
        <w:t xml:space="preserve">Having worked closely with Cherwell District Council, A2Dominion and other key stakeholders for the past 10-years we have a deep understanding of the local political, </w:t>
      </w:r>
      <w:proofErr w:type="gramStart"/>
      <w:r w:rsidRPr="00F15A59">
        <w:rPr>
          <w:rFonts w:ascii="FS Me Pro Light" w:hAnsi="FS Me Pro Light"/>
        </w:rPr>
        <w:t>planning</w:t>
      </w:r>
      <w:proofErr w:type="gramEnd"/>
      <w:r w:rsidRPr="00F15A59">
        <w:rPr>
          <w:rFonts w:ascii="FS Me Pro Light" w:hAnsi="FS Me Pro Light"/>
        </w:rPr>
        <w:t xml:space="preserve"> and social landscape</w:t>
      </w:r>
      <w:r w:rsidR="00F15A59" w:rsidRPr="00F15A59">
        <w:rPr>
          <w:rFonts w:ascii="FS Me Pro Light" w:hAnsi="FS Me Pro Light"/>
        </w:rPr>
        <w:t>.</w:t>
      </w:r>
    </w:p>
    <w:p w14:paraId="357E88E5" w14:textId="38CDE216" w:rsidR="00FA3176" w:rsidRPr="00F15A59" w:rsidRDefault="00F15A59" w:rsidP="00FA3176">
      <w:pPr>
        <w:jc w:val="both"/>
        <w:rPr>
          <w:rFonts w:ascii="FS Me Pro Light" w:hAnsi="FS Me Pro Light"/>
        </w:rPr>
      </w:pPr>
      <w:r w:rsidRPr="00F15A59">
        <w:rPr>
          <w:rFonts w:ascii="FS Me Pro Light" w:hAnsi="FS Me Pro Light"/>
        </w:rPr>
        <w:t xml:space="preserve">In addition, </w:t>
      </w:r>
      <w:r w:rsidR="00FA3176" w:rsidRPr="00F15A59">
        <w:rPr>
          <w:rFonts w:ascii="FS Me Pro Light" w:hAnsi="FS Me Pro Light"/>
        </w:rPr>
        <w:t xml:space="preserve">Bioregional have worked on major development schemes in both Oxfordshire and nationwide, alongside major developers using our globally recognised One Planet Living framework to develop, enhance and champion their sustainability approaches and help create truly sustainable places. Alongside these advisory roles for </w:t>
      </w:r>
      <w:r w:rsidR="00AC0EBB" w:rsidRPr="00F15A59">
        <w:rPr>
          <w:rFonts w:ascii="FS Me Pro Light" w:hAnsi="FS Me Pro Light"/>
        </w:rPr>
        <w:t>developers,</w:t>
      </w:r>
      <w:r w:rsidR="00FA3176" w:rsidRPr="00F15A59">
        <w:rPr>
          <w:rFonts w:ascii="FS Me Pro Light" w:hAnsi="FS Me Pro Light"/>
        </w:rPr>
        <w:t xml:space="preserve"> we have also assisted </w:t>
      </w:r>
      <w:proofErr w:type="gramStart"/>
      <w:r w:rsidR="00FA3176" w:rsidRPr="00F15A59">
        <w:rPr>
          <w:rFonts w:ascii="FS Me Pro Light" w:hAnsi="FS Me Pro Light"/>
        </w:rPr>
        <w:t>a number of</w:t>
      </w:r>
      <w:proofErr w:type="gramEnd"/>
      <w:r w:rsidR="00FA3176" w:rsidRPr="00F15A59">
        <w:rPr>
          <w:rFonts w:ascii="FS Me Pro Light" w:hAnsi="FS Me Pro Light"/>
        </w:rPr>
        <w:t xml:space="preserve"> Local Authorities by providing zero-carbon evidence bases for emerging local plans. </w:t>
      </w:r>
    </w:p>
    <w:p w14:paraId="66544FA7" w14:textId="49E52421" w:rsidR="00200625" w:rsidRDefault="00200625" w:rsidP="00200625">
      <w:pPr>
        <w:rPr>
          <w:rFonts w:ascii="FS Me Pro Light" w:hAnsi="FS Me Pro Light"/>
          <w:b/>
          <w:bCs/>
        </w:rPr>
      </w:pPr>
      <w:r>
        <w:rPr>
          <w:rFonts w:ascii="FS Me Pro Light" w:hAnsi="FS Me Pro Light"/>
          <w:b/>
          <w:bCs/>
        </w:rPr>
        <w:t>About the Authors:</w:t>
      </w:r>
    </w:p>
    <w:p w14:paraId="1F7C6E20" w14:textId="3A1C887C" w:rsidR="00200625" w:rsidRDefault="00200625" w:rsidP="00200625">
      <w:pPr>
        <w:rPr>
          <w:rFonts w:ascii="FS Me Pro Light" w:hAnsi="FS Me Pro Light"/>
        </w:rPr>
      </w:pPr>
      <w:r>
        <w:rPr>
          <w:rFonts w:ascii="FS Me Pro Light" w:hAnsi="FS Me Pro Light"/>
        </w:rPr>
        <w:t>This summary paper was written by Lewis Knight</w:t>
      </w:r>
      <w:r w:rsidR="00F15A59">
        <w:rPr>
          <w:rFonts w:ascii="FS Me Pro Light" w:hAnsi="FS Me Pro Light"/>
        </w:rPr>
        <w:t xml:space="preserve"> (BSc, MSc)</w:t>
      </w:r>
      <w:r>
        <w:rPr>
          <w:rFonts w:ascii="FS Me Pro Light" w:hAnsi="FS Me Pro Light"/>
        </w:rPr>
        <w:t>, Head of Sustainable Places (Bioregional) and James Sheldon</w:t>
      </w:r>
      <w:r w:rsidR="005C29F3">
        <w:rPr>
          <w:rFonts w:ascii="FS Me Pro Light" w:hAnsi="FS Me Pro Light"/>
        </w:rPr>
        <w:t xml:space="preserve"> (</w:t>
      </w:r>
      <w:r w:rsidR="005C29F3" w:rsidRPr="005C29F3">
        <w:rPr>
          <w:rFonts w:ascii="FS Me Pro Light" w:hAnsi="FS Me Pro Light"/>
        </w:rPr>
        <w:t>MA Hons. MEng (Cantab.) MSc. (Hons)</w:t>
      </w:r>
      <w:r w:rsidR="005C29F3" w:rsidRPr="005C29F3">
        <w:rPr>
          <w:rFonts w:ascii="FS Me Pro Light" w:hAnsi="FS Me Pro Light"/>
        </w:rPr>
        <w:t>)</w:t>
      </w:r>
      <w:r>
        <w:rPr>
          <w:rFonts w:ascii="FS Me Pro Light" w:hAnsi="FS Me Pro Light"/>
        </w:rPr>
        <w:t xml:space="preserve">, </w:t>
      </w:r>
      <w:r w:rsidR="00F15A59">
        <w:rPr>
          <w:rFonts w:ascii="FS Me Pro Light" w:hAnsi="FS Me Pro Light"/>
        </w:rPr>
        <w:t>E</w:t>
      </w:r>
      <w:r>
        <w:rPr>
          <w:rFonts w:ascii="FS Me Pro Light" w:hAnsi="FS Me Pro Light"/>
        </w:rPr>
        <w:t>nergy, and Carbon specialist (Bioregional).</w:t>
      </w:r>
    </w:p>
    <w:p w14:paraId="556AB371" w14:textId="40C71E51" w:rsidR="003433A7" w:rsidRDefault="003433A7" w:rsidP="00200625">
      <w:pPr>
        <w:rPr>
          <w:rFonts w:ascii="FS Me Pro Light" w:hAnsi="FS Me Pro Light"/>
        </w:rPr>
      </w:pPr>
      <w:r>
        <w:rPr>
          <w:rFonts w:ascii="FS Me Pro Light" w:hAnsi="FS Me Pro Light"/>
        </w:rPr>
        <w:t>Lewis</w:t>
      </w:r>
      <w:r w:rsidR="00623862">
        <w:rPr>
          <w:rFonts w:ascii="FS Me Pro Light" w:hAnsi="FS Me Pro Light"/>
        </w:rPr>
        <w:t xml:space="preserve"> </w:t>
      </w:r>
      <w:r w:rsidR="00623862" w:rsidRPr="00623862">
        <w:rPr>
          <w:rFonts w:ascii="FS Me Pro Light" w:hAnsi="FS Me Pro Light"/>
        </w:rPr>
        <w:t xml:space="preserve">has worked with Bioregional for </w:t>
      </w:r>
      <w:r w:rsidR="00623862" w:rsidRPr="00623862">
        <w:rPr>
          <w:rFonts w:ascii="FS Me Pro Light" w:hAnsi="FS Me Pro Light"/>
        </w:rPr>
        <w:t>10</w:t>
      </w:r>
      <w:r w:rsidR="00623862" w:rsidRPr="00623862">
        <w:rPr>
          <w:rFonts w:ascii="FS Me Pro Light" w:hAnsi="FS Me Pro Light"/>
        </w:rPr>
        <w:t xml:space="preserve"> years</w:t>
      </w:r>
      <w:r w:rsidR="00483A0D">
        <w:rPr>
          <w:rFonts w:ascii="FS Me Pro Light" w:hAnsi="FS Me Pro Light"/>
        </w:rPr>
        <w:t xml:space="preserve"> </w:t>
      </w:r>
      <w:r w:rsidR="00AC0EBB">
        <w:rPr>
          <w:rFonts w:ascii="FS Me Pro Light" w:hAnsi="FS Me Pro Light"/>
        </w:rPr>
        <w:t xml:space="preserve">and </w:t>
      </w:r>
      <w:r w:rsidR="00483A0D" w:rsidRPr="00AC0EBB">
        <w:rPr>
          <w:rFonts w:ascii="FS Me Pro Light" w:hAnsi="FS Me Pro Light"/>
        </w:rPr>
        <w:t>an experienced sustainability professional who specialises in leading the sustainability strategies for large and strategic sites, working from site promotion, through planning submission and onto delivery.  Lewis worked for the past decade on the UK’s first eco-town, NW Bicester</w:t>
      </w:r>
      <w:r w:rsidR="00AC0EBB" w:rsidRPr="00AC0EBB">
        <w:rPr>
          <w:rFonts w:ascii="FS Me Pro Light" w:hAnsi="FS Me Pro Light"/>
        </w:rPr>
        <w:t xml:space="preserve">. </w:t>
      </w:r>
      <w:r w:rsidR="00483A0D" w:rsidRPr="00AC0EBB">
        <w:rPr>
          <w:rFonts w:ascii="FS Me Pro Light" w:hAnsi="FS Me Pro Light"/>
        </w:rPr>
        <w:t xml:space="preserve">His experience spans the whole lifecycle of the scheme and across planning, design, </w:t>
      </w:r>
      <w:r w:rsidR="00AC0EBB" w:rsidRPr="00AC0EBB">
        <w:rPr>
          <w:rFonts w:ascii="FS Me Pro Light" w:hAnsi="FS Me Pro Light"/>
        </w:rPr>
        <w:t>engagement,</w:t>
      </w:r>
      <w:r w:rsidR="00483A0D" w:rsidRPr="00AC0EBB">
        <w:rPr>
          <w:rFonts w:ascii="FS Me Pro Light" w:hAnsi="FS Me Pro Light"/>
        </w:rPr>
        <w:t xml:space="preserve"> and testing</w:t>
      </w:r>
      <w:r w:rsidR="00AC0EBB">
        <w:rPr>
          <w:rFonts w:ascii="FS Me Pro Light" w:hAnsi="FS Me Pro Light"/>
        </w:rPr>
        <w:t>. Lewis worked for</w:t>
      </w:r>
      <w:r w:rsidR="00623862" w:rsidRPr="00623862">
        <w:rPr>
          <w:rFonts w:ascii="FS Me Pro Light" w:hAnsi="FS Me Pro Light"/>
        </w:rPr>
        <w:t xml:space="preserve"> 4 years as part of the Bicester Delivery Team</w:t>
      </w:r>
      <w:r w:rsidR="00623862">
        <w:rPr>
          <w:rFonts w:ascii="FS Me Pro Light" w:hAnsi="FS Me Pro Light"/>
        </w:rPr>
        <w:t xml:space="preserve"> within CDC</w:t>
      </w:r>
      <w:r w:rsidR="00623862" w:rsidRPr="00623862">
        <w:rPr>
          <w:rFonts w:ascii="FS Me Pro Light" w:hAnsi="FS Me Pro Light"/>
        </w:rPr>
        <w:t xml:space="preserve">. </w:t>
      </w:r>
      <w:r w:rsidR="00623862">
        <w:rPr>
          <w:rFonts w:ascii="FS Me Pro Light" w:hAnsi="FS Me Pro Light"/>
        </w:rPr>
        <w:t xml:space="preserve">During this time </w:t>
      </w:r>
      <w:r w:rsidR="00623862" w:rsidRPr="00623862">
        <w:rPr>
          <w:rFonts w:ascii="FS Me Pro Light" w:hAnsi="FS Me Pro Light"/>
        </w:rPr>
        <w:t>Lewis supported the planning team on assessment of applications and clearance of conditions</w:t>
      </w:r>
      <w:r w:rsidR="00623862">
        <w:rPr>
          <w:rFonts w:ascii="FS Me Pro Light" w:hAnsi="FS Me Pro Light"/>
        </w:rPr>
        <w:t xml:space="preserve">. </w:t>
      </w:r>
    </w:p>
    <w:p w14:paraId="70BCFDA8" w14:textId="16602FC3" w:rsidR="003433A7" w:rsidRPr="003433A7" w:rsidRDefault="003433A7" w:rsidP="003433A7">
      <w:pPr>
        <w:jc w:val="both"/>
        <w:rPr>
          <w:rFonts w:ascii="FS Me Pro Light" w:hAnsi="FS Me Pro Light"/>
        </w:rPr>
      </w:pPr>
      <w:r w:rsidRPr="003433A7">
        <w:rPr>
          <w:rFonts w:ascii="FS Me Pro Light" w:hAnsi="FS Me Pro Light"/>
        </w:rPr>
        <w:t>James</w:t>
      </w:r>
      <w:r>
        <w:rPr>
          <w:rFonts w:ascii="FS Me Pro Light" w:hAnsi="FS Me Pro Light"/>
        </w:rPr>
        <w:t xml:space="preserve"> has been with Bioregional for 3 year and </w:t>
      </w:r>
      <w:r w:rsidRPr="003433A7">
        <w:rPr>
          <w:rFonts w:ascii="FS Me Pro Light" w:hAnsi="FS Me Pro Light"/>
        </w:rPr>
        <w:t>provid</w:t>
      </w:r>
      <w:r>
        <w:rPr>
          <w:rFonts w:ascii="FS Me Pro Light" w:hAnsi="FS Me Pro Light"/>
        </w:rPr>
        <w:t>es</w:t>
      </w:r>
      <w:r w:rsidRPr="003433A7">
        <w:rPr>
          <w:rFonts w:ascii="FS Me Pro Light" w:hAnsi="FS Me Pro Light"/>
        </w:rPr>
        <w:t xml:space="preserve"> expert advice and detailed analysis of the carbon and energy use implications of policies, building designs and organisational strategies. He is experienced in wholistic benchmarking of sustainability performance and brings a nuanced socially and geographically grounded view to contemporary debates such as the “net-zero” transition. James </w:t>
      </w:r>
      <w:r>
        <w:rPr>
          <w:rFonts w:ascii="FS Me Pro Light" w:hAnsi="FS Me Pro Light"/>
        </w:rPr>
        <w:t xml:space="preserve">previously </w:t>
      </w:r>
      <w:r w:rsidRPr="003433A7">
        <w:rPr>
          <w:rFonts w:ascii="FS Me Pro Light" w:hAnsi="FS Me Pro Light"/>
        </w:rPr>
        <w:t>worked for 6 years as an Environmental Designer at a building design firm. He specialised in advanced digital building modelling, working on methods of optimising building carbon performance while creating healthy dynamic well daylit spaces.</w:t>
      </w:r>
    </w:p>
    <w:p w14:paraId="7DFEDF4F" w14:textId="77777777" w:rsidR="00200625" w:rsidRPr="00200625" w:rsidRDefault="00200625" w:rsidP="00200625">
      <w:pPr>
        <w:rPr>
          <w:rFonts w:ascii="FS Me Pro Light" w:hAnsi="FS Me Pro Light"/>
        </w:rPr>
      </w:pPr>
    </w:p>
    <w:p w14:paraId="067F1962" w14:textId="6D4495F4" w:rsidR="00BA45DF" w:rsidRPr="00D7281F" w:rsidRDefault="00BA45DF" w:rsidP="00D7281F">
      <w:pPr>
        <w:pStyle w:val="ListParagraph"/>
        <w:numPr>
          <w:ilvl w:val="0"/>
          <w:numId w:val="6"/>
        </w:numPr>
        <w:rPr>
          <w:rFonts w:ascii="FS Me Pro Light" w:hAnsi="FS Me Pro Light"/>
          <w:b/>
          <w:bCs/>
        </w:rPr>
      </w:pPr>
      <w:r w:rsidRPr="00D7281F">
        <w:rPr>
          <w:rFonts w:ascii="FS Me Pro Light" w:hAnsi="FS Me Pro Light"/>
          <w:b/>
          <w:bCs/>
        </w:rPr>
        <w:t>Policy Context</w:t>
      </w:r>
    </w:p>
    <w:p w14:paraId="41DC88E9" w14:textId="3DAFAB55" w:rsidR="00BA45DF" w:rsidRPr="00D7281F" w:rsidRDefault="00BA45DF">
      <w:pPr>
        <w:rPr>
          <w:rFonts w:ascii="FS Me Pro Light" w:hAnsi="FS Me Pro Light"/>
        </w:rPr>
      </w:pPr>
      <w:r w:rsidRPr="00D7281F">
        <w:rPr>
          <w:rFonts w:ascii="FS Me Pro Light" w:hAnsi="FS Me Pro Light"/>
        </w:rPr>
        <w:t>The key policy compliance area reviewed in these summary comments is taken from Bicester Policy 1:</w:t>
      </w:r>
    </w:p>
    <w:p w14:paraId="200DA77C" w14:textId="77777777" w:rsidR="00BA45DF" w:rsidRPr="00D7281F" w:rsidRDefault="00BA45DF" w:rsidP="00BA45DF">
      <w:pPr>
        <w:rPr>
          <w:rFonts w:ascii="FS Me Pro Light" w:hAnsi="FS Me Pro Light"/>
        </w:rPr>
      </w:pPr>
      <w:r w:rsidRPr="00D7281F">
        <w:rPr>
          <w:rFonts w:ascii="FS Me Pro Light" w:hAnsi="FS Me Pro Light"/>
        </w:rPr>
        <w:t>Policy Bicester 1: North West Bicester Eco-Town</w:t>
      </w:r>
    </w:p>
    <w:p w14:paraId="46DEF3AC" w14:textId="77777777" w:rsidR="00BA45DF" w:rsidRPr="00D7281F" w:rsidRDefault="00BA45DF" w:rsidP="00BA45DF">
      <w:pPr>
        <w:rPr>
          <w:rFonts w:ascii="FS Me Pro Light" w:hAnsi="FS Me Pro Light"/>
        </w:rPr>
      </w:pPr>
      <w:r w:rsidRPr="00D7281F">
        <w:rPr>
          <w:rFonts w:ascii="FS Me Pro Light" w:hAnsi="FS Me Pro Light"/>
        </w:rPr>
        <w:t>Development Area: 390 hectares</w:t>
      </w:r>
    </w:p>
    <w:p w14:paraId="6CD34DB2" w14:textId="5E1BF5D6" w:rsidR="00BA45DF" w:rsidRPr="00D7281F" w:rsidRDefault="00BA45DF" w:rsidP="00BA45DF">
      <w:pPr>
        <w:rPr>
          <w:rFonts w:ascii="FS Me Pro Light" w:hAnsi="FS Me Pro Light"/>
        </w:rPr>
      </w:pPr>
      <w:r w:rsidRPr="00D7281F">
        <w:rPr>
          <w:rFonts w:ascii="FS Me Pro Light" w:hAnsi="FS Me Pro Light"/>
        </w:rPr>
        <w:t xml:space="preserve">Development Description: A new zero carbon(i) mixed use development including 6,000 homes will be developed on land identified at </w:t>
      </w:r>
      <w:proofErr w:type="gramStart"/>
      <w:r w:rsidRPr="00D7281F">
        <w:rPr>
          <w:rFonts w:ascii="FS Me Pro Light" w:hAnsi="FS Me Pro Light"/>
        </w:rPr>
        <w:t>North West</w:t>
      </w:r>
      <w:proofErr w:type="gramEnd"/>
      <w:r w:rsidRPr="00D7281F">
        <w:rPr>
          <w:rFonts w:ascii="FS Me Pro Light" w:hAnsi="FS Me Pro Light"/>
        </w:rPr>
        <w:t xml:space="preserve"> Bicester.</w:t>
      </w:r>
    </w:p>
    <w:p w14:paraId="721585D8" w14:textId="2C2C120C" w:rsidR="00BA45DF" w:rsidRPr="00D7281F" w:rsidRDefault="00BA45DF" w:rsidP="00BA45DF">
      <w:pPr>
        <w:rPr>
          <w:rFonts w:ascii="FS Me Pro Light" w:hAnsi="FS Me Pro Light"/>
        </w:rPr>
      </w:pPr>
      <w:r w:rsidRPr="00D7281F">
        <w:rPr>
          <w:rFonts w:ascii="FS Me Pro Light" w:hAnsi="FS Me Pro Light"/>
        </w:rPr>
        <w:t xml:space="preserve">Planning permission will only be granted for development at </w:t>
      </w:r>
      <w:proofErr w:type="gramStart"/>
      <w:r w:rsidRPr="00D7281F">
        <w:rPr>
          <w:rFonts w:ascii="FS Me Pro Light" w:hAnsi="FS Me Pro Light"/>
        </w:rPr>
        <w:t>North West</w:t>
      </w:r>
      <w:proofErr w:type="gramEnd"/>
      <w:r w:rsidRPr="00D7281F">
        <w:rPr>
          <w:rFonts w:ascii="FS Me Pro Light" w:hAnsi="FS Me Pro Light"/>
        </w:rPr>
        <w:t xml:space="preserve"> Bicester in accordance with a comprehensive masterplan for the whole area to be approved by the Council as part of a North West Bicester Supplementary Planning Document. The Council will expect the Masterplan and applications for planning permission to meet the following requirements:</w:t>
      </w:r>
    </w:p>
    <w:p w14:paraId="7962A47C" w14:textId="77777777" w:rsidR="00BA45DF" w:rsidRPr="00D7281F" w:rsidRDefault="00BA45DF" w:rsidP="00BA45DF">
      <w:pPr>
        <w:rPr>
          <w:rFonts w:ascii="FS Me Pro Light" w:hAnsi="FS Me Pro Light"/>
        </w:rPr>
      </w:pPr>
      <w:r w:rsidRPr="00D7281F">
        <w:rPr>
          <w:rFonts w:ascii="FS Me Pro Light" w:hAnsi="FS Me Pro Light"/>
        </w:rPr>
        <w:t>Housing</w:t>
      </w:r>
    </w:p>
    <w:p w14:paraId="208B0CB9" w14:textId="2D73A838" w:rsidR="00BA45DF" w:rsidRPr="00D7281F" w:rsidRDefault="00BA45DF" w:rsidP="00BA45DF">
      <w:pPr>
        <w:pStyle w:val="ListParagraph"/>
        <w:numPr>
          <w:ilvl w:val="0"/>
          <w:numId w:val="1"/>
        </w:numPr>
        <w:rPr>
          <w:rFonts w:ascii="FS Me Pro Light" w:hAnsi="FS Me Pro Light"/>
        </w:rPr>
      </w:pPr>
      <w:r w:rsidRPr="00D7281F">
        <w:rPr>
          <w:rFonts w:ascii="FS Me Pro Light" w:hAnsi="FS Me Pro Light"/>
        </w:rPr>
        <w:t>Number of homes – Up to 6,000 (3,293 to be delivered within the plan period)</w:t>
      </w:r>
    </w:p>
    <w:p w14:paraId="1173E7C8" w14:textId="77777777" w:rsidR="00BA45DF" w:rsidRPr="00D7281F" w:rsidRDefault="00BA45DF" w:rsidP="00BA45DF">
      <w:pPr>
        <w:pStyle w:val="ListParagraph"/>
        <w:numPr>
          <w:ilvl w:val="0"/>
          <w:numId w:val="1"/>
        </w:numPr>
        <w:rPr>
          <w:rFonts w:ascii="FS Me Pro Light" w:hAnsi="FS Me Pro Light"/>
        </w:rPr>
      </w:pPr>
      <w:r w:rsidRPr="00D7281F">
        <w:rPr>
          <w:rFonts w:ascii="FS Me Pro Light" w:hAnsi="FS Me Pro Light"/>
        </w:rPr>
        <w:t>Affordable Housing – 30%</w:t>
      </w:r>
    </w:p>
    <w:p w14:paraId="0BF6CB70" w14:textId="4E1AEE63" w:rsidR="00BA45DF" w:rsidRPr="00D7281F" w:rsidRDefault="00BA45DF" w:rsidP="00BA45DF">
      <w:pPr>
        <w:pStyle w:val="ListParagraph"/>
        <w:numPr>
          <w:ilvl w:val="0"/>
          <w:numId w:val="1"/>
        </w:numPr>
        <w:rPr>
          <w:rFonts w:ascii="FS Me Pro Light" w:hAnsi="FS Me Pro Light"/>
        </w:rPr>
      </w:pPr>
      <w:r w:rsidRPr="00D7281F">
        <w:rPr>
          <w:rFonts w:ascii="FS Me Pro Light" w:hAnsi="FS Me Pro Light"/>
        </w:rPr>
        <w:t xml:space="preserve">Layout to achieve Building for Life 12 and Lifetime Homes </w:t>
      </w:r>
      <w:r w:rsidR="007336D5" w:rsidRPr="00D7281F">
        <w:rPr>
          <w:rFonts w:ascii="FS Me Pro Light" w:hAnsi="FS Me Pro Light"/>
        </w:rPr>
        <w:t>standards.</w:t>
      </w:r>
      <w:r w:rsidRPr="00D7281F">
        <w:rPr>
          <w:rFonts w:ascii="FS Me Pro Light" w:hAnsi="FS Me Pro Light"/>
        </w:rPr>
        <w:t xml:space="preserve"> </w:t>
      </w:r>
    </w:p>
    <w:p w14:paraId="40A8990F" w14:textId="690550B9" w:rsidR="00BA45DF" w:rsidRPr="00D7281F" w:rsidRDefault="00BA45DF" w:rsidP="00BA45DF">
      <w:pPr>
        <w:pStyle w:val="ListParagraph"/>
        <w:numPr>
          <w:ilvl w:val="0"/>
          <w:numId w:val="1"/>
        </w:numPr>
        <w:rPr>
          <w:rFonts w:ascii="FS Me Pro Light" w:hAnsi="FS Me Pro Light"/>
        </w:rPr>
      </w:pPr>
      <w:r w:rsidRPr="00D7281F">
        <w:rPr>
          <w:rFonts w:ascii="FS Me Pro Light" w:hAnsi="FS Me Pro Light"/>
        </w:rPr>
        <w:t>Homes to be constructed to be capable of achieving a minimum of Level 5 of the Code for Sustainable Homes on completion of each phase of development, including being equipped to meet the water consumption requirement of Code Level 5</w:t>
      </w:r>
    </w:p>
    <w:p w14:paraId="63A71AC4" w14:textId="77777777" w:rsidR="00BA45DF" w:rsidRPr="00D7281F" w:rsidRDefault="00BA45DF" w:rsidP="00BA45DF">
      <w:pPr>
        <w:pStyle w:val="ListParagraph"/>
        <w:numPr>
          <w:ilvl w:val="0"/>
          <w:numId w:val="1"/>
        </w:numPr>
        <w:rPr>
          <w:rFonts w:ascii="FS Me Pro Light" w:hAnsi="FS Me Pro Light"/>
        </w:rPr>
      </w:pPr>
      <w:r w:rsidRPr="00D7281F">
        <w:rPr>
          <w:rFonts w:ascii="FS Me Pro Light" w:hAnsi="FS Me Pro Light"/>
        </w:rPr>
        <w:t xml:space="preserve">The provision of extra care housing </w:t>
      </w:r>
    </w:p>
    <w:p w14:paraId="414DED71" w14:textId="52CBA9C6" w:rsidR="00BA45DF" w:rsidRPr="00D7281F" w:rsidRDefault="00BA45DF" w:rsidP="00BA45DF">
      <w:pPr>
        <w:pStyle w:val="ListParagraph"/>
        <w:numPr>
          <w:ilvl w:val="0"/>
          <w:numId w:val="1"/>
        </w:numPr>
        <w:rPr>
          <w:rFonts w:ascii="FS Me Pro Light" w:hAnsi="FS Me Pro Light"/>
        </w:rPr>
      </w:pPr>
      <w:r w:rsidRPr="00D7281F">
        <w:rPr>
          <w:rFonts w:ascii="FS Me Pro Light" w:hAnsi="FS Me Pro Light"/>
        </w:rPr>
        <w:t>Have real time energy monitoring systems, real time public transport information and Superfast Broadband access, including next generation broadband where possible. Consideration should also be given to digital access to support assisted living and smart energy management systems.</w:t>
      </w:r>
    </w:p>
    <w:p w14:paraId="277231D2" w14:textId="33EC9869" w:rsidR="00BA45DF" w:rsidRPr="00D7281F" w:rsidRDefault="00BA45DF" w:rsidP="00BA45DF">
      <w:pPr>
        <w:rPr>
          <w:rFonts w:ascii="FS Me Pro Light" w:hAnsi="FS Me Pro Light"/>
        </w:rPr>
      </w:pPr>
      <w:r w:rsidRPr="00D7281F">
        <w:rPr>
          <w:rFonts w:ascii="FS Me Pro Light" w:hAnsi="FS Me Pro Light"/>
        </w:rPr>
        <w:t xml:space="preserve">Key </w:t>
      </w:r>
      <w:r w:rsidR="0003062A" w:rsidRPr="00D7281F">
        <w:rPr>
          <w:rFonts w:ascii="FS Me Pro Light" w:hAnsi="FS Me Pro Light"/>
        </w:rPr>
        <w:t>site-specific</w:t>
      </w:r>
      <w:r w:rsidRPr="00D7281F">
        <w:rPr>
          <w:rFonts w:ascii="FS Me Pro Light" w:hAnsi="FS Me Pro Light"/>
        </w:rPr>
        <w:t xml:space="preserve"> design and place shaping principles</w:t>
      </w:r>
    </w:p>
    <w:p w14:paraId="610F605D" w14:textId="62EE1875" w:rsidR="00BA45DF" w:rsidRPr="00D7281F" w:rsidRDefault="00BA45DF" w:rsidP="00BA45DF">
      <w:pPr>
        <w:pStyle w:val="ListParagraph"/>
        <w:numPr>
          <w:ilvl w:val="0"/>
          <w:numId w:val="2"/>
        </w:numPr>
        <w:rPr>
          <w:rFonts w:ascii="FS Me Pro Light" w:hAnsi="FS Me Pro Light"/>
        </w:rPr>
      </w:pPr>
      <w:r w:rsidRPr="00D7281F">
        <w:rPr>
          <w:rFonts w:ascii="FS Me Pro Light" w:hAnsi="FS Me Pro Light"/>
        </w:rPr>
        <w:t>Proposals should comply with Policy ESD15</w:t>
      </w:r>
    </w:p>
    <w:p w14:paraId="1BD2124C" w14:textId="3AF71422" w:rsidR="00BA45DF" w:rsidRPr="00D7281F" w:rsidRDefault="00BA45DF" w:rsidP="00BA45DF">
      <w:pPr>
        <w:pStyle w:val="ListParagraph"/>
        <w:numPr>
          <w:ilvl w:val="0"/>
          <w:numId w:val="2"/>
        </w:numPr>
        <w:rPr>
          <w:rFonts w:ascii="FS Me Pro Light" w:hAnsi="FS Me Pro Light"/>
        </w:rPr>
      </w:pPr>
      <w:r w:rsidRPr="00D7281F">
        <w:rPr>
          <w:rFonts w:ascii="FS Me Pro Light" w:hAnsi="FS Me Pro Light"/>
        </w:rPr>
        <w:t>High quality exemplary development and design standards including zero carbon development, Code Level 5 for dwellings at a minimum and the use of low embodied carbon in construction materials, as well as promoting the use of locally sourced materials.</w:t>
      </w:r>
    </w:p>
    <w:p w14:paraId="65E17EBA" w14:textId="3C4DDDFD" w:rsidR="00BA45DF" w:rsidRPr="00D7281F" w:rsidRDefault="00BA45DF" w:rsidP="00BA45DF">
      <w:pPr>
        <w:pStyle w:val="ListParagraph"/>
        <w:numPr>
          <w:ilvl w:val="0"/>
          <w:numId w:val="2"/>
        </w:numPr>
        <w:rPr>
          <w:rFonts w:ascii="FS Me Pro Light" w:hAnsi="FS Me Pro Light"/>
        </w:rPr>
      </w:pPr>
      <w:r w:rsidRPr="00D7281F">
        <w:rPr>
          <w:rFonts w:ascii="FS Me Pro Light" w:hAnsi="FS Me Pro Light"/>
        </w:rPr>
        <w:t>All new buildings designed to incorporate best practice on tackling overheating, taking account of the latest UKCIP climate predictions.</w:t>
      </w:r>
    </w:p>
    <w:p w14:paraId="02F33CD5" w14:textId="63F2BB1C" w:rsidR="00BA45DF" w:rsidRPr="00D7281F" w:rsidRDefault="00BA45DF" w:rsidP="00BA45DF">
      <w:pPr>
        <w:pStyle w:val="ListParagraph"/>
        <w:numPr>
          <w:ilvl w:val="0"/>
          <w:numId w:val="2"/>
        </w:numPr>
        <w:rPr>
          <w:rFonts w:ascii="FS Me Pro Light" w:hAnsi="FS Me Pro Light"/>
        </w:rPr>
      </w:pPr>
      <w:r w:rsidRPr="00D7281F">
        <w:rPr>
          <w:rFonts w:ascii="FS Me Pro Light" w:hAnsi="FS Me Pro Light"/>
        </w:rPr>
        <w:t>Proposals should enable residents to easily reduce their carbon footprint to a low level and live low carbon lifestyles.</w:t>
      </w:r>
    </w:p>
    <w:p w14:paraId="40FDB22A" w14:textId="34157540" w:rsidR="00BA45DF" w:rsidRPr="00D7281F" w:rsidRDefault="00BA45DF" w:rsidP="00BA45DF">
      <w:pPr>
        <w:pStyle w:val="ListParagraph"/>
        <w:numPr>
          <w:ilvl w:val="0"/>
          <w:numId w:val="2"/>
        </w:numPr>
        <w:rPr>
          <w:rFonts w:ascii="FS Me Pro Light" w:hAnsi="FS Me Pro Light"/>
        </w:rPr>
      </w:pPr>
      <w:r w:rsidRPr="00D7281F">
        <w:rPr>
          <w:rFonts w:ascii="FS Me Pro Light" w:hAnsi="FS Me Pro Light"/>
        </w:rPr>
        <w:t>Layout of development that enables a high degree of integration and connectivity between new and existing communities.</w:t>
      </w:r>
    </w:p>
    <w:p w14:paraId="5FA8DBC2" w14:textId="77777777" w:rsidR="00BA45DF" w:rsidRPr="00D7281F" w:rsidRDefault="00BA45DF" w:rsidP="00BA45DF">
      <w:pPr>
        <w:pStyle w:val="ListParagraph"/>
        <w:numPr>
          <w:ilvl w:val="0"/>
          <w:numId w:val="2"/>
        </w:numPr>
        <w:rPr>
          <w:rFonts w:ascii="FS Me Pro Light" w:hAnsi="FS Me Pro Light"/>
        </w:rPr>
      </w:pPr>
      <w:r w:rsidRPr="00D7281F">
        <w:rPr>
          <w:rFonts w:ascii="FS Me Pro Light" w:hAnsi="FS Me Pro Light"/>
        </w:rPr>
        <w:t>A layout that maximises the potential for walkable neighbourhoods.</w:t>
      </w:r>
    </w:p>
    <w:p w14:paraId="2140C182" w14:textId="2BC52EB6" w:rsidR="00BA45DF" w:rsidRPr="00D7281F" w:rsidRDefault="00BA45DF" w:rsidP="00BA45DF">
      <w:pPr>
        <w:pStyle w:val="ListParagraph"/>
        <w:numPr>
          <w:ilvl w:val="0"/>
          <w:numId w:val="2"/>
        </w:numPr>
        <w:rPr>
          <w:rFonts w:ascii="FS Me Pro Light" w:hAnsi="FS Me Pro Light"/>
        </w:rPr>
      </w:pPr>
      <w:r w:rsidRPr="00D7281F">
        <w:rPr>
          <w:rFonts w:ascii="FS Me Pro Light" w:hAnsi="FS Me Pro Light"/>
        </w:rPr>
        <w:t xml:space="preserve">New footpaths and cycleways should be </w:t>
      </w:r>
      <w:proofErr w:type="gramStart"/>
      <w:r w:rsidRPr="00D7281F">
        <w:rPr>
          <w:rFonts w:ascii="FS Me Pro Light" w:hAnsi="FS Me Pro Light"/>
        </w:rPr>
        <w:t>provided that</w:t>
      </w:r>
      <w:proofErr w:type="gramEnd"/>
      <w:r w:rsidRPr="00D7281F">
        <w:rPr>
          <w:rFonts w:ascii="FS Me Pro Light" w:hAnsi="FS Me Pro Light"/>
        </w:rPr>
        <w:t xml:space="preserve"> link with existing networks, the wider urban area and community facilities with a legible hierarchy of routes to encourage sustainable modes of </w:t>
      </w:r>
      <w:r w:rsidR="007336D5" w:rsidRPr="00D7281F">
        <w:rPr>
          <w:rFonts w:ascii="FS Me Pro Light" w:hAnsi="FS Me Pro Light"/>
        </w:rPr>
        <w:t>travel.</w:t>
      </w:r>
    </w:p>
    <w:p w14:paraId="28C70A1F" w14:textId="63C634B0" w:rsidR="00BA45DF" w:rsidRPr="00D7281F" w:rsidRDefault="00BA45DF" w:rsidP="00BA45DF">
      <w:pPr>
        <w:pStyle w:val="ListParagraph"/>
        <w:numPr>
          <w:ilvl w:val="0"/>
          <w:numId w:val="2"/>
        </w:numPr>
        <w:rPr>
          <w:rFonts w:ascii="FS Me Pro Light" w:hAnsi="FS Me Pro Light"/>
        </w:rPr>
      </w:pPr>
      <w:r w:rsidRPr="00D7281F">
        <w:rPr>
          <w:rFonts w:ascii="FS Me Pro Light" w:hAnsi="FS Me Pro Light"/>
        </w:rPr>
        <w:t>A layout which makes provision for and prioritises non-car modes and encourages a modal shift from car use to other forms of travel.</w:t>
      </w:r>
    </w:p>
    <w:p w14:paraId="109B5CBD" w14:textId="6B1F9FA6" w:rsidR="00BA45DF" w:rsidRPr="00D7281F" w:rsidRDefault="00BA45DF" w:rsidP="00BA45DF">
      <w:pPr>
        <w:pStyle w:val="ListParagraph"/>
        <w:numPr>
          <w:ilvl w:val="0"/>
          <w:numId w:val="2"/>
        </w:numPr>
        <w:rPr>
          <w:rFonts w:ascii="FS Me Pro Light" w:hAnsi="FS Me Pro Light"/>
        </w:rPr>
      </w:pPr>
      <w:r w:rsidRPr="00D7281F">
        <w:rPr>
          <w:rFonts w:ascii="FS Me Pro Light" w:hAnsi="FS Me Pro Light"/>
        </w:rPr>
        <w:t xml:space="preserve">Infrastructure to support sustainable modes of transport will be required including enhancement of footpath and </w:t>
      </w:r>
      <w:r w:rsidR="005C7CCD" w:rsidRPr="00D7281F">
        <w:rPr>
          <w:rFonts w:ascii="FS Me Pro Light" w:hAnsi="FS Me Pro Light"/>
        </w:rPr>
        <w:t>cycle path</w:t>
      </w:r>
      <w:r w:rsidRPr="00D7281F">
        <w:rPr>
          <w:rFonts w:ascii="FS Me Pro Light" w:hAnsi="FS Me Pro Light"/>
        </w:rPr>
        <w:t xml:space="preserve"> connectivity with the town centre, </w:t>
      </w:r>
      <w:r w:rsidR="007336D5" w:rsidRPr="00D7281F">
        <w:rPr>
          <w:rFonts w:ascii="FS Me Pro Light" w:hAnsi="FS Me Pro Light"/>
        </w:rPr>
        <w:t>employment,</w:t>
      </w:r>
      <w:r w:rsidRPr="00D7281F">
        <w:rPr>
          <w:rFonts w:ascii="FS Me Pro Light" w:hAnsi="FS Me Pro Light"/>
        </w:rPr>
        <w:t xml:space="preserve"> and rail stations. Measures to ensure the integration of the development with the remainder of the town including measures to address movement across Howes Lane and Lords Lane</w:t>
      </w:r>
    </w:p>
    <w:p w14:paraId="48B01751" w14:textId="2A991826" w:rsidR="00BA45DF" w:rsidRPr="00D7281F" w:rsidRDefault="00BA45DF" w:rsidP="00BA45DF">
      <w:pPr>
        <w:pStyle w:val="ListParagraph"/>
        <w:numPr>
          <w:ilvl w:val="0"/>
          <w:numId w:val="2"/>
        </w:numPr>
        <w:rPr>
          <w:rFonts w:ascii="FS Me Pro Light" w:hAnsi="FS Me Pro Light"/>
        </w:rPr>
      </w:pPr>
      <w:r w:rsidRPr="00D7281F">
        <w:rPr>
          <w:rFonts w:ascii="FS Me Pro Light" w:hAnsi="FS Me Pro Light"/>
        </w:rPr>
        <w:t xml:space="preserve">A </w:t>
      </w:r>
      <w:r w:rsidR="007336D5" w:rsidRPr="00D7281F">
        <w:rPr>
          <w:rFonts w:ascii="FS Me Pro Light" w:hAnsi="FS Me Pro Light"/>
        </w:rPr>
        <w:t>well-designed</w:t>
      </w:r>
      <w:r w:rsidRPr="00D7281F">
        <w:rPr>
          <w:rFonts w:ascii="FS Me Pro Light" w:hAnsi="FS Me Pro Light"/>
        </w:rPr>
        <w:t xml:space="preserve"> approach to the urban edge, which relates development at the periphery to its rural setting and affords good access to the countryside, minimising the impact of development when viewed from the surrounding </w:t>
      </w:r>
      <w:proofErr w:type="gramStart"/>
      <w:r w:rsidRPr="00D7281F">
        <w:rPr>
          <w:rFonts w:ascii="FS Me Pro Light" w:hAnsi="FS Me Pro Light"/>
        </w:rPr>
        <w:t>countryside</w:t>
      </w:r>
      <w:proofErr w:type="gramEnd"/>
    </w:p>
    <w:p w14:paraId="2BCE8D11" w14:textId="68E8F517" w:rsidR="00BA45DF" w:rsidRPr="00D7281F" w:rsidRDefault="00BA45DF" w:rsidP="00BA45DF">
      <w:pPr>
        <w:pStyle w:val="ListParagraph"/>
        <w:numPr>
          <w:ilvl w:val="0"/>
          <w:numId w:val="2"/>
        </w:numPr>
        <w:rPr>
          <w:rFonts w:ascii="FS Me Pro Light" w:hAnsi="FS Me Pro Light"/>
        </w:rPr>
      </w:pPr>
      <w:r w:rsidRPr="00D7281F">
        <w:rPr>
          <w:rFonts w:ascii="FS Me Pro Light" w:hAnsi="FS Me Pro Light"/>
        </w:rPr>
        <w:t xml:space="preserve">Development that respects the landscape setting and that demonstrates enhancement, </w:t>
      </w:r>
      <w:proofErr w:type="gramStart"/>
      <w:r w:rsidRPr="00D7281F">
        <w:rPr>
          <w:rFonts w:ascii="FS Me Pro Light" w:hAnsi="FS Me Pro Light"/>
        </w:rPr>
        <w:t>restoration</w:t>
      </w:r>
      <w:proofErr w:type="gramEnd"/>
      <w:r w:rsidRPr="00D7281F">
        <w:rPr>
          <w:rFonts w:ascii="FS Me Pro Light" w:hAnsi="FS Me Pro Light"/>
        </w:rPr>
        <w:t xml:space="preserve"> or creation of wildlife corridors to achieve a net gain in </w:t>
      </w:r>
      <w:r w:rsidR="007336D5" w:rsidRPr="00D7281F">
        <w:rPr>
          <w:rFonts w:ascii="FS Me Pro Light" w:hAnsi="FS Me Pro Light"/>
        </w:rPr>
        <w:t>biodiversity.</w:t>
      </w:r>
    </w:p>
    <w:p w14:paraId="59CE4B4B" w14:textId="79282C78" w:rsidR="00BA45DF" w:rsidRPr="00D7281F" w:rsidRDefault="00BA45DF" w:rsidP="00BA45DF">
      <w:pPr>
        <w:pStyle w:val="ListParagraph"/>
        <w:numPr>
          <w:ilvl w:val="0"/>
          <w:numId w:val="2"/>
        </w:numPr>
        <w:rPr>
          <w:rFonts w:ascii="FS Me Pro Light" w:hAnsi="FS Me Pro Light"/>
        </w:rPr>
      </w:pPr>
      <w:r w:rsidRPr="00D7281F">
        <w:rPr>
          <w:rFonts w:ascii="FS Me Pro Light" w:hAnsi="FS Me Pro Light"/>
        </w:rPr>
        <w:t xml:space="preserve">Consideration should be given to maintaining visual separation with outlying settlements. Connections with the wider landscape should be reinforced and opportunities for recreational use of the open countryside identified. Development proposals to be accompanied and influenced by a landscape/visual and heritage impact </w:t>
      </w:r>
      <w:r w:rsidR="007336D5" w:rsidRPr="00D7281F">
        <w:rPr>
          <w:rFonts w:ascii="FS Me Pro Light" w:hAnsi="FS Me Pro Light"/>
        </w:rPr>
        <w:t>assessment.</w:t>
      </w:r>
    </w:p>
    <w:p w14:paraId="07445E96" w14:textId="5764BB1D" w:rsidR="00BA45DF" w:rsidRPr="00D7281F" w:rsidRDefault="00BA45DF" w:rsidP="00BA45DF">
      <w:pPr>
        <w:pStyle w:val="ListParagraph"/>
        <w:numPr>
          <w:ilvl w:val="0"/>
          <w:numId w:val="2"/>
        </w:numPr>
        <w:rPr>
          <w:rFonts w:ascii="FS Me Pro Light" w:hAnsi="FS Me Pro Light"/>
        </w:rPr>
      </w:pPr>
      <w:r w:rsidRPr="00D7281F">
        <w:rPr>
          <w:rFonts w:ascii="FS Me Pro Light" w:hAnsi="FS Me Pro Light"/>
        </w:rPr>
        <w:t xml:space="preserve">Careful consideration of open space and structural planting around the site to achieve an overall improvement in the landscape and visual impact of the </w:t>
      </w:r>
      <w:proofErr w:type="gramStart"/>
      <w:r w:rsidRPr="00D7281F">
        <w:rPr>
          <w:rFonts w:ascii="FS Me Pro Light" w:hAnsi="FS Me Pro Light"/>
        </w:rPr>
        <w:t>site</w:t>
      </w:r>
      <w:proofErr w:type="gramEnd"/>
    </w:p>
    <w:p w14:paraId="7DFAB6F0" w14:textId="79A4544F" w:rsidR="00BA45DF" w:rsidRPr="00D7281F" w:rsidRDefault="00BA45DF" w:rsidP="00BA45DF">
      <w:pPr>
        <w:pStyle w:val="ListParagraph"/>
        <w:numPr>
          <w:ilvl w:val="0"/>
          <w:numId w:val="2"/>
        </w:numPr>
        <w:rPr>
          <w:rFonts w:ascii="FS Me Pro Light" w:hAnsi="FS Me Pro Light"/>
        </w:rPr>
      </w:pPr>
      <w:r w:rsidRPr="00D7281F">
        <w:rPr>
          <w:rFonts w:ascii="FS Me Pro Light" w:hAnsi="FS Me Pro Light"/>
        </w:rPr>
        <w:t>No development in areas of flood risk and development set back from watercourses which would provide opportunity for green buffers. Proposals should include a Flood Risk Assessment.</w:t>
      </w:r>
    </w:p>
    <w:p w14:paraId="33DE467A" w14:textId="55CE032C" w:rsidR="00BA45DF" w:rsidRPr="00D7281F" w:rsidRDefault="00BA45DF" w:rsidP="00BA45DF">
      <w:pPr>
        <w:pStyle w:val="ListParagraph"/>
        <w:numPr>
          <w:ilvl w:val="0"/>
          <w:numId w:val="2"/>
        </w:numPr>
        <w:rPr>
          <w:rFonts w:ascii="FS Me Pro Light" w:hAnsi="FS Me Pro Light"/>
        </w:rPr>
      </w:pPr>
      <w:r w:rsidRPr="00D7281F">
        <w:rPr>
          <w:rFonts w:ascii="FS Me Pro Light" w:hAnsi="FS Me Pro Light"/>
        </w:rPr>
        <w:t>Maximisation of the sustainable transport connectivity in and around the site Consideration and mitigation of any noise impacts of the railway line.</w:t>
      </w:r>
    </w:p>
    <w:p w14:paraId="746D7EFD" w14:textId="2F919338" w:rsidR="00BA45DF" w:rsidRPr="00D7281F" w:rsidRDefault="00BA45DF" w:rsidP="00BA45DF">
      <w:pPr>
        <w:pStyle w:val="ListParagraph"/>
        <w:numPr>
          <w:ilvl w:val="0"/>
          <w:numId w:val="2"/>
        </w:numPr>
        <w:rPr>
          <w:rFonts w:ascii="FS Me Pro Light" w:hAnsi="FS Me Pro Light"/>
        </w:rPr>
      </w:pPr>
      <w:r w:rsidRPr="00D7281F">
        <w:rPr>
          <w:rFonts w:ascii="FS Me Pro Light" w:hAnsi="FS Me Pro Light"/>
        </w:rPr>
        <w:t xml:space="preserve">Good accessibility to public transport services should be provided for, including the provision of a bus route through the site with buses stopping at the railway stations and at new bus stops on the </w:t>
      </w:r>
      <w:proofErr w:type="gramStart"/>
      <w:r w:rsidRPr="00D7281F">
        <w:rPr>
          <w:rFonts w:ascii="FS Me Pro Light" w:hAnsi="FS Me Pro Light"/>
        </w:rPr>
        <w:t>site</w:t>
      </w:r>
      <w:proofErr w:type="gramEnd"/>
    </w:p>
    <w:p w14:paraId="04D41A58" w14:textId="364FCEDC" w:rsidR="00BA45DF" w:rsidRPr="00791DC6" w:rsidRDefault="00BA45DF" w:rsidP="00BA45DF">
      <w:pPr>
        <w:rPr>
          <w:rFonts w:ascii="FS Me Pro Light" w:hAnsi="FS Me Pro Light"/>
          <w:b/>
          <w:bCs/>
        </w:rPr>
      </w:pPr>
      <w:r w:rsidRPr="00791DC6">
        <w:rPr>
          <w:rFonts w:ascii="FS Me Pro Light" w:hAnsi="FS Me Pro Light"/>
          <w:b/>
          <w:bCs/>
        </w:rPr>
        <w:t xml:space="preserve">The definition of zero carbon in eco-towns is that over a </w:t>
      </w:r>
      <w:r w:rsidR="00C21E5E" w:rsidRPr="00791DC6">
        <w:rPr>
          <w:rFonts w:ascii="FS Me Pro Light" w:hAnsi="FS Me Pro Light"/>
          <w:b/>
          <w:bCs/>
        </w:rPr>
        <w:t>year the net carbon dioxide emission</w:t>
      </w:r>
      <w:r w:rsidRPr="00791DC6">
        <w:rPr>
          <w:rFonts w:ascii="FS Me Pro Light" w:hAnsi="FS Me Pro Light"/>
          <w:b/>
          <w:bCs/>
        </w:rPr>
        <w:t xml:space="preserve"> from all energy use within the buildings on the eco-town development </w:t>
      </w:r>
      <w:proofErr w:type="gramStart"/>
      <w:r w:rsidRPr="00791DC6">
        <w:rPr>
          <w:rFonts w:ascii="FS Me Pro Light" w:hAnsi="FS Me Pro Light"/>
          <w:b/>
          <w:bCs/>
        </w:rPr>
        <w:t>as a whole are</w:t>
      </w:r>
      <w:proofErr w:type="gramEnd"/>
      <w:r w:rsidRPr="00791DC6">
        <w:rPr>
          <w:rFonts w:ascii="FS Me Pro Light" w:hAnsi="FS Me Pro Light"/>
          <w:b/>
          <w:bCs/>
        </w:rPr>
        <w:t xml:space="preserve"> zero or below.</w:t>
      </w:r>
    </w:p>
    <w:p w14:paraId="247C7D42" w14:textId="264BD023" w:rsidR="00D7281F" w:rsidRPr="00D7281F" w:rsidRDefault="00C96B92" w:rsidP="00C96B92">
      <w:pPr>
        <w:rPr>
          <w:rFonts w:ascii="FS Me Pro Light" w:hAnsi="FS Me Pro Light"/>
        </w:rPr>
      </w:pPr>
      <w:r w:rsidRPr="00D7281F">
        <w:rPr>
          <w:rFonts w:ascii="FS Me Pro Light" w:hAnsi="FS Me Pro Light"/>
        </w:rPr>
        <w:t xml:space="preserve">The planning application demonstrates a partial alignment with the Cherwell District Council Local Plan policy in terms of addressing energy and carbon performance. It appropriately references relevant policies to be considered in this regard. However, it </w:t>
      </w:r>
      <w:r w:rsidR="00AC2158" w:rsidRPr="00D7281F">
        <w:rPr>
          <w:rFonts w:ascii="FS Me Pro Light" w:hAnsi="FS Me Pro Light"/>
        </w:rPr>
        <w:t xml:space="preserve">is our opinion that it </w:t>
      </w:r>
      <w:r w:rsidR="003925C9" w:rsidRPr="00D7281F">
        <w:rPr>
          <w:rFonts w:ascii="FS Me Pro Light" w:hAnsi="FS Me Pro Light"/>
        </w:rPr>
        <w:t>lacks</w:t>
      </w:r>
      <w:r w:rsidR="00AC2158" w:rsidRPr="00D7281F">
        <w:rPr>
          <w:rFonts w:ascii="FS Me Pro Light" w:hAnsi="FS Me Pro Light"/>
        </w:rPr>
        <w:t xml:space="preserve"> clarity and detail of how these will be </w:t>
      </w:r>
      <w:r w:rsidR="00D7281F" w:rsidRPr="00D7281F">
        <w:rPr>
          <w:rFonts w:ascii="FS Me Pro Light" w:hAnsi="FS Me Pro Light"/>
        </w:rPr>
        <w:t xml:space="preserve">achieved. </w:t>
      </w:r>
      <w:r w:rsidRPr="00D7281F">
        <w:rPr>
          <w:rFonts w:ascii="FS Me Pro Light" w:hAnsi="FS Me Pro Light"/>
        </w:rPr>
        <w:t xml:space="preserve"> </w:t>
      </w:r>
      <w:r w:rsidR="00D7281F" w:rsidRPr="00D7281F">
        <w:rPr>
          <w:rFonts w:ascii="FS Me Pro Light" w:hAnsi="FS Me Pro Light"/>
        </w:rPr>
        <w:t>In addition, a</w:t>
      </w:r>
      <w:r w:rsidRPr="00D7281F">
        <w:rPr>
          <w:rFonts w:ascii="FS Me Pro Light" w:hAnsi="FS Me Pro Light"/>
        </w:rPr>
        <w:t>s per Policy BIC1 outlined</w:t>
      </w:r>
      <w:r w:rsidR="00D7281F" w:rsidRPr="00D7281F">
        <w:rPr>
          <w:rFonts w:ascii="FS Me Pro Light" w:hAnsi="FS Me Pro Light"/>
        </w:rPr>
        <w:t xml:space="preserve"> above and</w:t>
      </w:r>
      <w:r w:rsidRPr="00D7281F">
        <w:rPr>
          <w:rFonts w:ascii="FS Me Pro Light" w:hAnsi="FS Me Pro Light"/>
        </w:rPr>
        <w:t xml:space="preserve"> in the adopted Cherwell Local Plan 2011-2031, the overarching goal is to </w:t>
      </w:r>
      <w:r w:rsidR="00D7281F" w:rsidRPr="00D7281F">
        <w:rPr>
          <w:rFonts w:ascii="FS Me Pro Light" w:hAnsi="FS Me Pro Light"/>
        </w:rPr>
        <w:t>achieve “</w:t>
      </w:r>
      <w:r w:rsidRPr="00D7281F">
        <w:rPr>
          <w:rFonts w:ascii="FS Me Pro Light" w:hAnsi="FS Me Pro Light"/>
        </w:rPr>
        <w:t xml:space="preserve">True Zero Carbon”, with developments required to provide evidence of how this requirement will be met. </w:t>
      </w:r>
    </w:p>
    <w:p w14:paraId="50D4E737" w14:textId="7F49042D" w:rsidR="003925C9" w:rsidRPr="00791DC6" w:rsidRDefault="00C96B92" w:rsidP="00C96B92">
      <w:pPr>
        <w:rPr>
          <w:rFonts w:ascii="FS Me Pro Light" w:hAnsi="FS Me Pro Light"/>
          <w:b/>
          <w:bCs/>
        </w:rPr>
      </w:pPr>
      <w:r w:rsidRPr="00791DC6">
        <w:rPr>
          <w:rFonts w:ascii="FS Me Pro Light" w:hAnsi="FS Me Pro Light"/>
          <w:b/>
          <w:bCs/>
        </w:rPr>
        <w:t>While the planning documentation makes extensive mention of the concept of True Zero Carbon, the Energy Statement, however, lacks the necessary level of specificity in detailing how this objective would be practically implemented in practice</w:t>
      </w:r>
      <w:r w:rsidR="00D7281F" w:rsidRPr="00791DC6">
        <w:rPr>
          <w:rFonts w:ascii="FS Me Pro Light" w:hAnsi="FS Me Pro Light"/>
          <w:b/>
          <w:bCs/>
        </w:rPr>
        <w:t xml:space="preserve">. </w:t>
      </w:r>
      <w:r w:rsidRPr="00791DC6">
        <w:rPr>
          <w:rFonts w:ascii="FS Me Pro Light" w:hAnsi="FS Me Pro Light"/>
          <w:b/>
          <w:bCs/>
        </w:rPr>
        <w:t xml:space="preserve">Despite being an outline planning application, it is important to assume additional commitments in terms of fabric performance and energy use intensity. The </w:t>
      </w:r>
      <w:r w:rsidR="003925C9" w:rsidRPr="00791DC6">
        <w:rPr>
          <w:rFonts w:ascii="FS Me Pro Light" w:hAnsi="FS Me Pro Light"/>
          <w:b/>
          <w:bCs/>
        </w:rPr>
        <w:t>approach and strategy</w:t>
      </w:r>
      <w:r w:rsidRPr="00791DC6">
        <w:rPr>
          <w:rFonts w:ascii="FS Me Pro Light" w:hAnsi="FS Me Pro Light"/>
          <w:b/>
          <w:bCs/>
        </w:rPr>
        <w:t xml:space="preserve"> to achieving net zero should be clearly articulated and presented, along</w:t>
      </w:r>
      <w:r w:rsidR="003925C9" w:rsidRPr="00791DC6">
        <w:rPr>
          <w:rFonts w:ascii="FS Me Pro Light" w:hAnsi="FS Me Pro Light"/>
          <w:b/>
          <w:bCs/>
        </w:rPr>
        <w:t>side a carbon balance highlighting how the development will mee</w:t>
      </w:r>
      <w:r w:rsidR="007336D5">
        <w:rPr>
          <w:rFonts w:ascii="FS Me Pro Light" w:hAnsi="FS Me Pro Light"/>
          <w:b/>
          <w:bCs/>
        </w:rPr>
        <w:t>t</w:t>
      </w:r>
      <w:r w:rsidR="003925C9" w:rsidRPr="00791DC6">
        <w:rPr>
          <w:rFonts w:ascii="FS Me Pro Light" w:hAnsi="FS Me Pro Light"/>
          <w:b/>
          <w:bCs/>
        </w:rPr>
        <w:t xml:space="preserve"> the ‘True Zero Carbon’ definition through the energy hierarchy.</w:t>
      </w:r>
      <w:r w:rsidR="007336D5">
        <w:rPr>
          <w:rFonts w:ascii="FS Me Pro Light" w:hAnsi="FS Me Pro Light"/>
          <w:b/>
          <w:bCs/>
        </w:rPr>
        <w:t xml:space="preserve"> </w:t>
      </w:r>
    </w:p>
    <w:p w14:paraId="5B4619D6" w14:textId="65C850E9" w:rsidR="00C96B92" w:rsidRDefault="00C96B92" w:rsidP="00C96B92">
      <w:pPr>
        <w:rPr>
          <w:rFonts w:ascii="FS Me Pro Light" w:hAnsi="FS Me Pro Light"/>
        </w:rPr>
      </w:pPr>
      <w:r w:rsidRPr="00D7281F">
        <w:rPr>
          <w:rFonts w:ascii="FS Me Pro Light" w:hAnsi="FS Me Pro Light"/>
        </w:rPr>
        <w:t xml:space="preserve">Furthermore, a robust feasibility study on the utilisation of renewable energy sources and low-carbon technology should be undertaken to ensure a comprehensive plan for achieving net zero carbon emissions. </w:t>
      </w:r>
    </w:p>
    <w:p w14:paraId="78FEB49A" w14:textId="77777777" w:rsidR="007B0DB3" w:rsidRDefault="003925C9" w:rsidP="00C96B92">
      <w:pPr>
        <w:rPr>
          <w:rFonts w:ascii="FS Me Pro Light" w:hAnsi="FS Me Pro Light"/>
        </w:rPr>
      </w:pPr>
      <w:r>
        <w:rPr>
          <w:rFonts w:ascii="FS Me Pro Light" w:hAnsi="FS Me Pro Light"/>
        </w:rPr>
        <w:t>The current energy strategy</w:t>
      </w:r>
      <w:r w:rsidR="00BE7F1D">
        <w:rPr>
          <w:rFonts w:ascii="FS Me Pro Light" w:hAnsi="FS Me Pro Light"/>
        </w:rPr>
        <w:t xml:space="preserve"> and approach to zero carbon</w:t>
      </w:r>
      <w:r>
        <w:rPr>
          <w:rFonts w:ascii="FS Me Pro Light" w:hAnsi="FS Me Pro Light"/>
        </w:rPr>
        <w:t xml:space="preserve"> relies on the concept of carbon offsetting</w:t>
      </w:r>
      <w:r w:rsidR="00DD454C">
        <w:rPr>
          <w:rFonts w:ascii="FS Me Pro Light" w:hAnsi="FS Me Pro Light"/>
        </w:rPr>
        <w:t xml:space="preserve">. This </w:t>
      </w:r>
      <w:r>
        <w:rPr>
          <w:rFonts w:ascii="FS Me Pro Light" w:hAnsi="FS Me Pro Light"/>
        </w:rPr>
        <w:t>could</w:t>
      </w:r>
      <w:r w:rsidR="002D2596">
        <w:rPr>
          <w:rFonts w:ascii="FS Me Pro Light" w:hAnsi="FS Me Pro Light"/>
        </w:rPr>
        <w:t xml:space="preserve"> arguably</w:t>
      </w:r>
      <w:r>
        <w:rPr>
          <w:rFonts w:ascii="FS Me Pro Light" w:hAnsi="FS Me Pro Light"/>
        </w:rPr>
        <w:t xml:space="preserve"> play a</w:t>
      </w:r>
      <w:r w:rsidR="00DD454C">
        <w:rPr>
          <w:rFonts w:ascii="FS Me Pro Light" w:hAnsi="FS Me Pro Light"/>
        </w:rPr>
        <w:t xml:space="preserve"> role </w:t>
      </w:r>
      <w:r>
        <w:rPr>
          <w:rFonts w:ascii="FS Me Pro Light" w:hAnsi="FS Me Pro Light"/>
        </w:rPr>
        <w:t xml:space="preserve">in achieving a net zero </w:t>
      </w:r>
      <w:r w:rsidR="00DD454C">
        <w:rPr>
          <w:rFonts w:ascii="FS Me Pro Light" w:hAnsi="FS Me Pro Light"/>
        </w:rPr>
        <w:t xml:space="preserve">development; </w:t>
      </w:r>
      <w:r w:rsidR="002132B4">
        <w:rPr>
          <w:rFonts w:ascii="FS Me Pro Light" w:hAnsi="FS Me Pro Light"/>
        </w:rPr>
        <w:t>however,</w:t>
      </w:r>
      <w:r w:rsidR="00DD454C">
        <w:rPr>
          <w:rFonts w:ascii="FS Me Pro Light" w:hAnsi="FS Me Pro Light"/>
        </w:rPr>
        <w:t xml:space="preserve"> it</w:t>
      </w:r>
      <w:r>
        <w:rPr>
          <w:rFonts w:ascii="FS Me Pro Light" w:hAnsi="FS Me Pro Light"/>
        </w:rPr>
        <w:t xml:space="preserve"> is in our opinion </w:t>
      </w:r>
      <w:r w:rsidR="00DD454C">
        <w:rPr>
          <w:rFonts w:ascii="FS Me Pro Light" w:hAnsi="FS Me Pro Light"/>
        </w:rPr>
        <w:t xml:space="preserve">that this approach is </w:t>
      </w:r>
      <w:r>
        <w:rPr>
          <w:rFonts w:ascii="FS Me Pro Light" w:hAnsi="FS Me Pro Light"/>
        </w:rPr>
        <w:t xml:space="preserve">not in the ethos </w:t>
      </w:r>
      <w:r w:rsidR="00DD454C">
        <w:rPr>
          <w:rFonts w:ascii="FS Me Pro Light" w:hAnsi="FS Me Pro Light"/>
        </w:rPr>
        <w:t xml:space="preserve">or spirit </w:t>
      </w:r>
      <w:r>
        <w:rPr>
          <w:rFonts w:ascii="FS Me Pro Light" w:hAnsi="FS Me Pro Light"/>
        </w:rPr>
        <w:t xml:space="preserve">of policy BIC1. </w:t>
      </w:r>
      <w:r w:rsidR="002132B4">
        <w:rPr>
          <w:rFonts w:ascii="FS Me Pro Light" w:hAnsi="FS Me Pro Light"/>
        </w:rPr>
        <w:t xml:space="preserve">The policy </w:t>
      </w:r>
      <w:r w:rsidR="007A47FD">
        <w:rPr>
          <w:rFonts w:ascii="FS Me Pro Light" w:hAnsi="FS Me Pro Light"/>
        </w:rPr>
        <w:t>was created to</w:t>
      </w:r>
      <w:r w:rsidR="00A82F4E">
        <w:rPr>
          <w:rFonts w:ascii="FS Me Pro Light" w:hAnsi="FS Me Pro Light"/>
        </w:rPr>
        <w:t xml:space="preserve"> meet the </w:t>
      </w:r>
      <w:r w:rsidR="00791DC6">
        <w:rPr>
          <w:rFonts w:ascii="FS Me Pro Light" w:hAnsi="FS Me Pro Light"/>
        </w:rPr>
        <w:t>match the requirements</w:t>
      </w:r>
      <w:r w:rsidR="00A82F4E">
        <w:rPr>
          <w:rFonts w:ascii="FS Me Pro Light" w:hAnsi="FS Me Pro Light"/>
        </w:rPr>
        <w:t xml:space="preserve"> of the Eco towns PPS, as one of only four selected Eco towns, and to showcase the</w:t>
      </w:r>
      <w:r w:rsidR="00072B80">
        <w:rPr>
          <w:rFonts w:ascii="FS Me Pro Light" w:hAnsi="FS Me Pro Light"/>
        </w:rPr>
        <w:t xml:space="preserve"> ability to build truly sustainable developments/communities </w:t>
      </w:r>
      <w:r w:rsidR="004E6346">
        <w:rPr>
          <w:rFonts w:ascii="FS Me Pro Light" w:hAnsi="FS Me Pro Light"/>
        </w:rPr>
        <w:t>to a true</w:t>
      </w:r>
      <w:r w:rsidR="00072B80">
        <w:rPr>
          <w:rFonts w:ascii="FS Me Pro Light" w:hAnsi="FS Me Pro Light"/>
        </w:rPr>
        <w:t xml:space="preserve"> </w:t>
      </w:r>
      <w:r w:rsidR="004E6346">
        <w:rPr>
          <w:rFonts w:ascii="FS Me Pro Light" w:hAnsi="FS Me Pro Light"/>
        </w:rPr>
        <w:t>zero carbon standard, it does not mention the use of offsetting as part of this definition</w:t>
      </w:r>
      <w:r w:rsidR="00791DC6">
        <w:rPr>
          <w:rFonts w:ascii="FS Me Pro Light" w:hAnsi="FS Me Pro Light"/>
        </w:rPr>
        <w:t>.</w:t>
      </w:r>
      <w:r w:rsidR="00DC11D1">
        <w:rPr>
          <w:rFonts w:ascii="FS Me Pro Light" w:hAnsi="FS Me Pro Light"/>
        </w:rPr>
        <w:t xml:space="preserve"> </w:t>
      </w:r>
    </w:p>
    <w:p w14:paraId="63A807BF" w14:textId="7105A244" w:rsidR="003925C9" w:rsidRDefault="00DC11D1" w:rsidP="00C96B92">
      <w:pPr>
        <w:rPr>
          <w:rFonts w:ascii="FS Me Pro Light" w:hAnsi="FS Me Pro Light"/>
        </w:rPr>
      </w:pPr>
      <w:r>
        <w:rPr>
          <w:rFonts w:ascii="FS Me Pro Light" w:hAnsi="FS Me Pro Light"/>
        </w:rPr>
        <w:t xml:space="preserve">Our view is that the energy </w:t>
      </w:r>
      <w:r w:rsidR="00022AAE">
        <w:rPr>
          <w:rFonts w:ascii="FS Me Pro Light" w:hAnsi="FS Me Pro Light"/>
        </w:rPr>
        <w:t>demand</w:t>
      </w:r>
      <w:r w:rsidR="007B0DB3">
        <w:rPr>
          <w:rFonts w:ascii="FS Me Pro Light" w:hAnsi="FS Me Pro Light"/>
        </w:rPr>
        <w:t xml:space="preserve"> within buildings</w:t>
      </w:r>
      <w:r w:rsidR="00022AAE">
        <w:rPr>
          <w:rFonts w:ascii="FS Me Pro Light" w:hAnsi="FS Me Pro Light"/>
        </w:rPr>
        <w:t xml:space="preserve"> should be reduced as much as possible through efficiency measures and fabric specification and </w:t>
      </w:r>
      <w:r w:rsidR="001F316E">
        <w:rPr>
          <w:rFonts w:ascii="FS Me Pro Light" w:hAnsi="FS Me Pro Light"/>
        </w:rPr>
        <w:t xml:space="preserve">the </w:t>
      </w:r>
      <w:r w:rsidR="00022AAE">
        <w:rPr>
          <w:rFonts w:ascii="FS Me Pro Light" w:hAnsi="FS Me Pro Light"/>
        </w:rPr>
        <w:t>remaining energy use should be met by on-site renewables. Offsetting should only be used as</w:t>
      </w:r>
      <w:r w:rsidR="007B0DB3">
        <w:rPr>
          <w:rFonts w:ascii="FS Me Pro Light" w:hAnsi="FS Me Pro Light"/>
        </w:rPr>
        <w:t xml:space="preserve"> the last solution, </w:t>
      </w:r>
      <w:r w:rsidR="001F316E">
        <w:rPr>
          <w:rFonts w:ascii="FS Me Pro Light" w:hAnsi="FS Me Pro Light"/>
        </w:rPr>
        <w:t>and</w:t>
      </w:r>
      <w:r w:rsidR="007B0DB3">
        <w:rPr>
          <w:rFonts w:ascii="FS Me Pro Light" w:hAnsi="FS Me Pro Light"/>
        </w:rPr>
        <w:t xml:space="preserve"> not be used as</w:t>
      </w:r>
      <w:r w:rsidR="001F316E">
        <w:rPr>
          <w:rFonts w:ascii="FS Me Pro Light" w:hAnsi="FS Me Pro Light"/>
        </w:rPr>
        <w:t xml:space="preserve"> the </w:t>
      </w:r>
      <w:r w:rsidR="00BC3D3B">
        <w:rPr>
          <w:rFonts w:ascii="FS Me Pro Light" w:hAnsi="FS Me Pro Light"/>
        </w:rPr>
        <w:t xml:space="preserve">‘easier’ way of meeting policy compliance. </w:t>
      </w:r>
    </w:p>
    <w:p w14:paraId="02434387" w14:textId="225F88DB" w:rsidR="00A82F4E" w:rsidRPr="003A7F9B" w:rsidRDefault="003925C9" w:rsidP="008925C5">
      <w:pPr>
        <w:rPr>
          <w:rFonts w:ascii="FS Me Pro Light" w:hAnsi="FS Me Pro Light"/>
        </w:rPr>
      </w:pPr>
      <w:r>
        <w:rPr>
          <w:rFonts w:ascii="FS Me Pro Light" w:hAnsi="FS Me Pro Light"/>
        </w:rPr>
        <w:t>Additionally</w:t>
      </w:r>
      <w:r w:rsidR="003221D7">
        <w:rPr>
          <w:rFonts w:ascii="FS Me Pro Light" w:hAnsi="FS Me Pro Light"/>
        </w:rPr>
        <w:t xml:space="preserve">, we would question the </w:t>
      </w:r>
      <w:r w:rsidR="00217B90">
        <w:rPr>
          <w:rFonts w:ascii="FS Me Pro Light" w:hAnsi="FS Me Pro Light"/>
        </w:rPr>
        <w:t>results</w:t>
      </w:r>
      <w:r w:rsidR="003221D7">
        <w:rPr>
          <w:rFonts w:ascii="FS Me Pro Light" w:hAnsi="FS Me Pro Light"/>
        </w:rPr>
        <w:t xml:space="preserve"> </w:t>
      </w:r>
      <w:r w:rsidR="00217B90">
        <w:rPr>
          <w:rFonts w:ascii="FS Me Pro Light" w:hAnsi="FS Me Pro Light"/>
        </w:rPr>
        <w:t>behind the carbon offset calculations</w:t>
      </w:r>
      <w:r w:rsidR="000E70E5">
        <w:rPr>
          <w:rFonts w:ascii="FS Me Pro Light" w:hAnsi="FS Me Pro Light"/>
        </w:rPr>
        <w:t xml:space="preserve">, specifically the </w:t>
      </w:r>
      <w:r w:rsidR="00905055">
        <w:rPr>
          <w:rFonts w:ascii="FS Me Pro Light" w:hAnsi="FS Me Pro Light"/>
        </w:rPr>
        <w:t>price</w:t>
      </w:r>
      <w:r w:rsidR="00A82F4E">
        <w:rPr>
          <w:rFonts w:ascii="FS Me Pro Light" w:hAnsi="FS Me Pro Light"/>
        </w:rPr>
        <w:t xml:space="preserve"> </w:t>
      </w:r>
      <w:r w:rsidR="000E70E5">
        <w:rPr>
          <w:rFonts w:ascii="FS Me Pro Light" w:hAnsi="FS Me Pro Light"/>
        </w:rPr>
        <w:t>per t</w:t>
      </w:r>
      <w:r w:rsidR="00905055">
        <w:rPr>
          <w:rFonts w:ascii="FS Me Pro Light" w:hAnsi="FS Me Pro Light"/>
        </w:rPr>
        <w:t>onne for c</w:t>
      </w:r>
      <w:r w:rsidR="00A82F4E">
        <w:rPr>
          <w:rFonts w:ascii="FS Me Pro Light" w:hAnsi="FS Me Pro Light"/>
        </w:rPr>
        <w:t xml:space="preserve">arbon. </w:t>
      </w:r>
      <w:r w:rsidR="008925C5" w:rsidRPr="003A7F9B">
        <w:rPr>
          <w:rFonts w:ascii="FS Me Pro Light" w:hAnsi="FS Me Pro Light"/>
        </w:rPr>
        <w:t xml:space="preserve">Stantec cited in the FVA Report that Cherwell does not yet have a specific policy for offset pricing or timescale but observes that “if it’s similar to other [local plan] policies then it would be a simple £60/tonne”. </w:t>
      </w:r>
    </w:p>
    <w:p w14:paraId="087605ED" w14:textId="733FD993" w:rsidR="00A82F4E" w:rsidRPr="003A7F9B" w:rsidRDefault="00A82F4E" w:rsidP="008925C5">
      <w:pPr>
        <w:rPr>
          <w:rFonts w:ascii="FS Me Pro Light" w:hAnsi="FS Me Pro Light"/>
        </w:rPr>
      </w:pPr>
      <w:r w:rsidRPr="003A7F9B">
        <w:rPr>
          <w:rFonts w:ascii="FS Me Pro Light" w:hAnsi="FS Me Pro Light"/>
        </w:rPr>
        <w:t>It</w:t>
      </w:r>
      <w:r w:rsidR="008925C5" w:rsidRPr="003A7F9B">
        <w:rPr>
          <w:rFonts w:ascii="FS Me Pro Light" w:hAnsi="FS Me Pro Light"/>
        </w:rPr>
        <w:t xml:space="preserve"> is correct that £60/tonne was the figure originally charged by the Greater London net zero carbon offsetting policy when first implemented in </w:t>
      </w:r>
      <w:r w:rsidR="00FC2F56" w:rsidRPr="003A7F9B">
        <w:rPr>
          <w:rFonts w:ascii="FS Me Pro Light" w:hAnsi="FS Me Pro Light"/>
        </w:rPr>
        <w:t>2016 and</w:t>
      </w:r>
      <w:r w:rsidR="008925C5" w:rsidRPr="003A7F9B">
        <w:rPr>
          <w:rFonts w:ascii="FS Me Pro Light" w:hAnsi="FS Me Pro Light"/>
        </w:rPr>
        <w:t xml:space="preserve"> imitated by some other local plans since then. That 2016 London price per tonne of carbon was based on the BEIS non-traded central valuation per tonne of carbon– which at the time was £60/tonne. </w:t>
      </w:r>
    </w:p>
    <w:p w14:paraId="466EDA0E" w14:textId="263FB4A9" w:rsidR="008925C5" w:rsidRPr="003A7F9B" w:rsidRDefault="008925C5" w:rsidP="008925C5">
      <w:pPr>
        <w:rPr>
          <w:rFonts w:ascii="FS Me Pro Light" w:hAnsi="FS Me Pro Light"/>
        </w:rPr>
      </w:pPr>
      <w:r w:rsidRPr="003A7F9B">
        <w:rPr>
          <w:rFonts w:ascii="FS Me Pro Light" w:hAnsi="FS Me Pro Light"/>
        </w:rPr>
        <w:t>However, in the years since the London policy was set, BEIS has since significantly raised its central non-traded carbon valuation (and proposes that this will continue to increase in coming years).</w:t>
      </w:r>
    </w:p>
    <w:p w14:paraId="4EFEC105" w14:textId="459FF7AA" w:rsidR="003A7F9B" w:rsidRDefault="003A7F9B" w:rsidP="008925C5">
      <w:pPr>
        <w:rPr>
          <w:rFonts w:ascii="FS Me Pro Light" w:hAnsi="FS Me Pro Light"/>
        </w:rPr>
      </w:pPr>
      <w:r w:rsidRPr="003A7F9B">
        <w:rPr>
          <w:rFonts w:ascii="FS Me Pro Light" w:hAnsi="FS Me Pro Light"/>
        </w:rPr>
        <w:t>In the latest data set (released by BEIS 2021) that figure is £248/</w:t>
      </w:r>
      <w:r w:rsidR="004E6346" w:rsidRPr="003A7F9B">
        <w:rPr>
          <w:rFonts w:ascii="FS Me Pro Light" w:hAnsi="FS Me Pro Light"/>
        </w:rPr>
        <w:t>tonne and</w:t>
      </w:r>
      <w:r w:rsidRPr="003A7F9B">
        <w:rPr>
          <w:rFonts w:ascii="FS Me Pro Light" w:hAnsi="FS Me Pro Light"/>
        </w:rPr>
        <w:t xml:space="preserve"> rises at approximately a 2% year-on-year increase every year, reaching £378 in 2050. BEIS applies this increase to reflect the cost of carbon abatement and inflation</w:t>
      </w:r>
      <w:r w:rsidR="004E6346">
        <w:rPr>
          <w:rFonts w:ascii="FS Me Pro Light" w:hAnsi="FS Me Pro Light"/>
        </w:rPr>
        <w:t xml:space="preserve">. </w:t>
      </w:r>
    </w:p>
    <w:p w14:paraId="28902688" w14:textId="2C9F3904" w:rsidR="00444BFB" w:rsidRDefault="00444BFB" w:rsidP="00444BFB">
      <w:pPr>
        <w:rPr>
          <w:rFonts w:ascii="FS Me Pro Light" w:hAnsi="FS Me Pro Light"/>
        </w:rPr>
      </w:pPr>
      <w:r>
        <w:rPr>
          <w:rFonts w:ascii="FS Me Pro Light" w:hAnsi="FS Me Pro Light"/>
        </w:rPr>
        <w:t xml:space="preserve">We have calculated what the new </w:t>
      </w:r>
      <w:r w:rsidR="003D4125">
        <w:rPr>
          <w:rFonts w:ascii="FS Me Pro Light" w:hAnsi="FS Me Pro Light"/>
        </w:rPr>
        <w:t xml:space="preserve">carbon </w:t>
      </w:r>
      <w:r>
        <w:rPr>
          <w:rFonts w:ascii="FS Me Pro Light" w:hAnsi="FS Me Pro Light"/>
        </w:rPr>
        <w:t>offset figure would</w:t>
      </w:r>
      <w:r w:rsidR="003D4125">
        <w:rPr>
          <w:rFonts w:ascii="FS Me Pro Light" w:hAnsi="FS Me Pro Light"/>
        </w:rPr>
        <w:t xml:space="preserve"> be if the revised BEIS</w:t>
      </w:r>
      <w:r>
        <w:rPr>
          <w:rFonts w:ascii="FS Me Pro Light" w:hAnsi="FS Me Pro Light"/>
        </w:rPr>
        <w:t xml:space="preserve"> </w:t>
      </w:r>
      <w:r w:rsidR="00A972AC">
        <w:rPr>
          <w:rFonts w:ascii="FS Me Pro Light" w:hAnsi="FS Me Pro Light"/>
        </w:rPr>
        <w:t xml:space="preserve">carbon </w:t>
      </w:r>
      <w:r w:rsidR="00FC2F56">
        <w:rPr>
          <w:rFonts w:ascii="FS Me Pro Light" w:hAnsi="FS Me Pro Light"/>
        </w:rPr>
        <w:t>prices</w:t>
      </w:r>
      <w:r w:rsidR="00FC2F56" w:rsidRPr="00444BFB">
        <w:rPr>
          <w:rFonts w:ascii="FS Me Pro Light" w:hAnsi="FS Me Pro Light"/>
        </w:rPr>
        <w:t xml:space="preserve"> </w:t>
      </w:r>
      <w:r w:rsidR="00FC2F56">
        <w:rPr>
          <w:rFonts w:ascii="FS Me Pro Light" w:hAnsi="FS Me Pro Light"/>
        </w:rPr>
        <w:t>were</w:t>
      </w:r>
      <w:r w:rsidR="00A972AC">
        <w:rPr>
          <w:rFonts w:ascii="FS Me Pro Light" w:hAnsi="FS Me Pro Light"/>
        </w:rPr>
        <w:t xml:space="preserve"> used and </w:t>
      </w:r>
      <w:r w:rsidRPr="00444BFB">
        <w:rPr>
          <w:rFonts w:ascii="FS Me Pro Light" w:hAnsi="FS Me Pro Light"/>
        </w:rPr>
        <w:t>multiplied the development’s annual emissions, with grid carbon reduction, by the BEIS annual £/tonne of carbon figure for each respective year from 2022-2051</w:t>
      </w:r>
      <w:r w:rsidR="00FC2F56">
        <w:rPr>
          <w:rFonts w:ascii="FS Me Pro Light" w:hAnsi="FS Me Pro Light"/>
        </w:rPr>
        <w:t xml:space="preserve"> (this acknowledges the development is proposing an all-electric energy solution and would benefit from grid decarbonising over time)</w:t>
      </w:r>
      <w:r w:rsidR="00407E33">
        <w:rPr>
          <w:rFonts w:ascii="FS Me Pro Light" w:hAnsi="FS Me Pro Light"/>
        </w:rPr>
        <w:t>.</w:t>
      </w:r>
      <w:r w:rsidRPr="00444BFB">
        <w:rPr>
          <w:rFonts w:ascii="FS Me Pro Light" w:hAnsi="FS Me Pro Light"/>
        </w:rPr>
        <w:t xml:space="preserve"> This yields an annual £</w:t>
      </w:r>
      <w:r w:rsidR="00407E33">
        <w:rPr>
          <w:rFonts w:ascii="FS Me Pro Light" w:hAnsi="FS Me Pro Light"/>
        </w:rPr>
        <w:t xml:space="preserve"> </w:t>
      </w:r>
      <w:r w:rsidRPr="00444BFB">
        <w:rPr>
          <w:rFonts w:ascii="FS Me Pro Light" w:hAnsi="FS Me Pro Light"/>
        </w:rPr>
        <w:t>amount that it would be reasonable to expect Firethorn to offset, reflecting each year’s reduction in the carbon of electricity used by the development, and each year’s increase in the value per tonne of that carbon, as follows:</w:t>
      </w:r>
    </w:p>
    <w:tbl>
      <w:tblPr>
        <w:tblW w:w="58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96"/>
        <w:gridCol w:w="1696"/>
        <w:gridCol w:w="1356"/>
        <w:gridCol w:w="1136"/>
      </w:tblGrid>
      <w:tr w:rsidR="006F226E" w:rsidRPr="00C85581" w14:paraId="320AAAA9" w14:textId="77777777" w:rsidTr="0022533A">
        <w:trPr>
          <w:trHeight w:val="264"/>
        </w:trPr>
        <w:tc>
          <w:tcPr>
            <w:tcW w:w="1696" w:type="dxa"/>
          </w:tcPr>
          <w:p w14:paraId="6BD6297A" w14:textId="77777777" w:rsidR="006F226E" w:rsidRPr="00C85581" w:rsidRDefault="006F226E" w:rsidP="0022533A">
            <w:pPr>
              <w:spacing w:after="0" w:line="240" w:lineRule="auto"/>
              <w:rPr>
                <w:rFonts w:ascii="Arial" w:eastAsia="Times New Roman" w:hAnsi="Arial" w:cs="Arial"/>
                <w:sz w:val="20"/>
                <w:szCs w:val="20"/>
                <w:lang w:eastAsia="en-GB"/>
              </w:rPr>
            </w:pPr>
          </w:p>
        </w:tc>
        <w:tc>
          <w:tcPr>
            <w:tcW w:w="1696" w:type="dxa"/>
            <w:shd w:val="clear" w:color="auto" w:fill="auto"/>
            <w:noWrap/>
            <w:vAlign w:val="bottom"/>
            <w:hideMark/>
          </w:tcPr>
          <w:p w14:paraId="12022822" w14:textId="77777777" w:rsidR="006F226E" w:rsidRPr="00AD23C8" w:rsidRDefault="006F226E" w:rsidP="0022533A">
            <w:pPr>
              <w:spacing w:after="0" w:line="240" w:lineRule="auto"/>
              <w:rPr>
                <w:rFonts w:ascii="Arial" w:eastAsia="Times New Roman" w:hAnsi="Arial" w:cs="Arial"/>
                <w:sz w:val="20"/>
                <w:szCs w:val="20"/>
                <w:lang w:eastAsia="en-GB"/>
              </w:rPr>
            </w:pPr>
            <w:r w:rsidRPr="00AD23C8">
              <w:rPr>
                <w:rFonts w:ascii="Arial" w:eastAsia="Times New Roman" w:hAnsi="Arial" w:cs="Arial"/>
                <w:sz w:val="20"/>
                <w:szCs w:val="20"/>
                <w:lang w:eastAsia="en-GB"/>
              </w:rPr>
              <w:t>Firethorn annual TCO2 emi</w:t>
            </w:r>
            <w:r w:rsidRPr="00C85581">
              <w:rPr>
                <w:rFonts w:ascii="Arial" w:eastAsia="Times New Roman" w:hAnsi="Arial" w:cs="Arial"/>
                <w:sz w:val="20"/>
                <w:szCs w:val="20"/>
                <w:lang w:eastAsia="en-GB"/>
              </w:rPr>
              <w:t>s</w:t>
            </w:r>
            <w:r w:rsidRPr="00AD23C8">
              <w:rPr>
                <w:rFonts w:ascii="Arial" w:eastAsia="Times New Roman" w:hAnsi="Arial" w:cs="Arial"/>
                <w:sz w:val="20"/>
                <w:szCs w:val="20"/>
                <w:lang w:eastAsia="en-GB"/>
              </w:rPr>
              <w:t>sions</w:t>
            </w:r>
          </w:p>
        </w:tc>
        <w:tc>
          <w:tcPr>
            <w:tcW w:w="1356" w:type="dxa"/>
            <w:shd w:val="clear" w:color="auto" w:fill="auto"/>
            <w:noWrap/>
            <w:vAlign w:val="bottom"/>
            <w:hideMark/>
          </w:tcPr>
          <w:p w14:paraId="77CA48BC" w14:textId="77777777" w:rsidR="006F226E" w:rsidRPr="00AD23C8" w:rsidRDefault="006F226E" w:rsidP="0022533A">
            <w:pPr>
              <w:spacing w:after="0" w:line="240" w:lineRule="auto"/>
              <w:rPr>
                <w:rFonts w:ascii="Arial" w:eastAsia="Times New Roman" w:hAnsi="Arial" w:cs="Arial"/>
                <w:sz w:val="20"/>
                <w:szCs w:val="20"/>
                <w:lang w:eastAsia="en-GB"/>
              </w:rPr>
            </w:pPr>
            <w:r w:rsidRPr="00AD23C8">
              <w:rPr>
                <w:rFonts w:ascii="Arial" w:eastAsia="Times New Roman" w:hAnsi="Arial" w:cs="Arial"/>
                <w:sz w:val="20"/>
                <w:szCs w:val="20"/>
                <w:lang w:eastAsia="en-GB"/>
              </w:rPr>
              <w:t>BEIS £/tonne</w:t>
            </w:r>
          </w:p>
        </w:tc>
        <w:tc>
          <w:tcPr>
            <w:tcW w:w="1136" w:type="dxa"/>
            <w:shd w:val="clear" w:color="auto" w:fill="auto"/>
            <w:noWrap/>
            <w:vAlign w:val="bottom"/>
            <w:hideMark/>
          </w:tcPr>
          <w:p w14:paraId="265550D4" w14:textId="77777777" w:rsidR="006F226E" w:rsidRPr="00AD23C8" w:rsidRDefault="006F226E" w:rsidP="0022533A">
            <w:pPr>
              <w:spacing w:after="0" w:line="240" w:lineRule="auto"/>
              <w:rPr>
                <w:rFonts w:ascii="Arial" w:eastAsia="Times New Roman" w:hAnsi="Arial" w:cs="Arial"/>
                <w:sz w:val="20"/>
                <w:szCs w:val="20"/>
                <w:lang w:eastAsia="en-GB"/>
              </w:rPr>
            </w:pPr>
            <w:r w:rsidRPr="00AD23C8">
              <w:rPr>
                <w:rFonts w:ascii="Arial" w:eastAsia="Times New Roman" w:hAnsi="Arial" w:cs="Arial"/>
                <w:sz w:val="20"/>
                <w:szCs w:val="20"/>
                <w:lang w:eastAsia="en-GB"/>
              </w:rPr>
              <w:t>Annual £</w:t>
            </w:r>
            <w:r w:rsidRPr="00C85581">
              <w:rPr>
                <w:rFonts w:ascii="Arial" w:eastAsia="Times New Roman" w:hAnsi="Arial" w:cs="Arial"/>
                <w:sz w:val="20"/>
                <w:szCs w:val="20"/>
                <w:lang w:eastAsia="en-GB"/>
              </w:rPr>
              <w:t xml:space="preserve"> offset</w:t>
            </w:r>
          </w:p>
        </w:tc>
      </w:tr>
      <w:tr w:rsidR="006F226E" w:rsidRPr="00C85581" w14:paraId="272406FE" w14:textId="77777777" w:rsidTr="0022533A">
        <w:trPr>
          <w:trHeight w:val="288"/>
        </w:trPr>
        <w:tc>
          <w:tcPr>
            <w:tcW w:w="1696" w:type="dxa"/>
          </w:tcPr>
          <w:p w14:paraId="5E41E079" w14:textId="77777777" w:rsidR="006F226E" w:rsidRPr="00C85581" w:rsidRDefault="006F226E" w:rsidP="0022533A">
            <w:pPr>
              <w:spacing w:after="0" w:line="240" w:lineRule="auto"/>
              <w:jc w:val="right"/>
              <w:rPr>
                <w:rFonts w:ascii="Arial" w:eastAsia="Times New Roman" w:hAnsi="Arial" w:cs="Arial"/>
                <w:b/>
                <w:bCs/>
                <w:color w:val="FF0000"/>
                <w:sz w:val="20"/>
                <w:szCs w:val="20"/>
                <w:lang w:eastAsia="en-GB"/>
              </w:rPr>
            </w:pPr>
            <w:r w:rsidRPr="00C85581">
              <w:rPr>
                <w:rFonts w:ascii="Arial" w:eastAsia="Times New Roman" w:hAnsi="Arial" w:cs="Arial"/>
                <w:b/>
                <w:bCs/>
                <w:color w:val="FF0000"/>
                <w:sz w:val="20"/>
                <w:szCs w:val="20"/>
                <w:lang w:eastAsia="en-GB"/>
              </w:rPr>
              <w:t>2022</w:t>
            </w:r>
          </w:p>
        </w:tc>
        <w:tc>
          <w:tcPr>
            <w:tcW w:w="1696" w:type="dxa"/>
            <w:shd w:val="clear" w:color="auto" w:fill="auto"/>
            <w:noWrap/>
            <w:vAlign w:val="bottom"/>
            <w:hideMark/>
          </w:tcPr>
          <w:p w14:paraId="204D5BF3" w14:textId="77777777" w:rsidR="006F226E" w:rsidRPr="00AD23C8" w:rsidRDefault="006F226E" w:rsidP="0022533A">
            <w:pPr>
              <w:spacing w:after="0" w:line="240" w:lineRule="auto"/>
              <w:jc w:val="right"/>
              <w:rPr>
                <w:rFonts w:ascii="Arial" w:eastAsia="Times New Roman" w:hAnsi="Arial" w:cs="Arial"/>
                <w:b/>
                <w:bCs/>
                <w:color w:val="FF0000"/>
                <w:sz w:val="20"/>
                <w:szCs w:val="20"/>
                <w:lang w:eastAsia="en-GB"/>
              </w:rPr>
            </w:pPr>
            <w:r w:rsidRPr="00AD23C8">
              <w:rPr>
                <w:rFonts w:ascii="Arial" w:eastAsia="Times New Roman" w:hAnsi="Arial" w:cs="Arial"/>
                <w:b/>
                <w:bCs/>
                <w:color w:val="FF0000"/>
                <w:sz w:val="20"/>
                <w:szCs w:val="20"/>
                <w:lang w:eastAsia="en-GB"/>
              </w:rPr>
              <w:t>332</w:t>
            </w:r>
          </w:p>
        </w:tc>
        <w:tc>
          <w:tcPr>
            <w:tcW w:w="1356" w:type="dxa"/>
            <w:shd w:val="clear" w:color="auto" w:fill="auto"/>
            <w:noWrap/>
            <w:vAlign w:val="bottom"/>
            <w:hideMark/>
          </w:tcPr>
          <w:p w14:paraId="52CD3286" w14:textId="77777777" w:rsidR="006F226E" w:rsidRPr="00AD23C8" w:rsidRDefault="006F226E" w:rsidP="0022533A">
            <w:pPr>
              <w:spacing w:after="0" w:line="240" w:lineRule="auto"/>
              <w:rPr>
                <w:rFonts w:ascii="Arial" w:eastAsia="Times New Roman" w:hAnsi="Arial" w:cs="Arial"/>
                <w:b/>
                <w:bCs/>
                <w:color w:val="FF0000"/>
                <w:sz w:val="20"/>
                <w:szCs w:val="20"/>
                <w:lang w:eastAsia="en-GB"/>
              </w:rPr>
            </w:pPr>
            <w:r w:rsidRPr="00AD23C8">
              <w:rPr>
                <w:rFonts w:ascii="Arial" w:eastAsia="Times New Roman" w:hAnsi="Arial" w:cs="Arial"/>
                <w:b/>
                <w:bCs/>
                <w:color w:val="FF0000"/>
                <w:sz w:val="20"/>
                <w:szCs w:val="20"/>
                <w:lang w:eastAsia="en-GB"/>
              </w:rPr>
              <w:t xml:space="preserve"> £           248 </w:t>
            </w:r>
          </w:p>
        </w:tc>
        <w:tc>
          <w:tcPr>
            <w:tcW w:w="1136" w:type="dxa"/>
            <w:shd w:val="clear" w:color="auto" w:fill="auto"/>
            <w:noWrap/>
            <w:vAlign w:val="bottom"/>
            <w:hideMark/>
          </w:tcPr>
          <w:p w14:paraId="25180FD4" w14:textId="77777777" w:rsidR="006F226E" w:rsidRPr="00AD23C8" w:rsidRDefault="006F226E" w:rsidP="0022533A">
            <w:pPr>
              <w:spacing w:after="0" w:line="240" w:lineRule="auto"/>
              <w:rPr>
                <w:rFonts w:ascii="Arial" w:eastAsia="Times New Roman" w:hAnsi="Arial" w:cs="Arial"/>
                <w:b/>
                <w:bCs/>
                <w:color w:val="FF0000"/>
                <w:sz w:val="20"/>
                <w:szCs w:val="20"/>
                <w:lang w:eastAsia="en-GB"/>
              </w:rPr>
            </w:pPr>
            <w:r w:rsidRPr="00AD23C8">
              <w:rPr>
                <w:rFonts w:ascii="Arial" w:eastAsia="Times New Roman" w:hAnsi="Arial" w:cs="Arial"/>
                <w:b/>
                <w:bCs/>
                <w:color w:val="FF0000"/>
                <w:sz w:val="20"/>
                <w:szCs w:val="20"/>
                <w:lang w:eastAsia="en-GB"/>
              </w:rPr>
              <w:t xml:space="preserve"> £   82,453 </w:t>
            </w:r>
          </w:p>
        </w:tc>
      </w:tr>
      <w:tr w:rsidR="006F226E" w:rsidRPr="00C85581" w14:paraId="52CB6B51" w14:textId="77777777" w:rsidTr="0022533A">
        <w:trPr>
          <w:trHeight w:val="288"/>
        </w:trPr>
        <w:tc>
          <w:tcPr>
            <w:tcW w:w="1696" w:type="dxa"/>
          </w:tcPr>
          <w:p w14:paraId="2C2D02FC" w14:textId="77777777" w:rsidR="006F226E" w:rsidRPr="00C85581" w:rsidRDefault="006F226E" w:rsidP="0022533A">
            <w:pPr>
              <w:spacing w:after="0" w:line="240" w:lineRule="auto"/>
              <w:jc w:val="right"/>
              <w:rPr>
                <w:rFonts w:ascii="Arial" w:eastAsia="Times New Roman" w:hAnsi="Arial" w:cs="Arial"/>
                <w:sz w:val="20"/>
                <w:szCs w:val="20"/>
                <w:lang w:eastAsia="en-GB"/>
              </w:rPr>
            </w:pPr>
            <w:r w:rsidRPr="00C85581">
              <w:rPr>
                <w:rFonts w:ascii="Arial" w:eastAsia="Times New Roman" w:hAnsi="Arial" w:cs="Arial"/>
                <w:sz w:val="20"/>
                <w:szCs w:val="20"/>
                <w:lang w:eastAsia="en-GB"/>
              </w:rPr>
              <w:t>2023</w:t>
            </w:r>
          </w:p>
        </w:tc>
        <w:tc>
          <w:tcPr>
            <w:tcW w:w="1696" w:type="dxa"/>
            <w:shd w:val="clear" w:color="auto" w:fill="auto"/>
            <w:noWrap/>
            <w:vAlign w:val="bottom"/>
            <w:hideMark/>
          </w:tcPr>
          <w:p w14:paraId="55D846AD" w14:textId="77777777" w:rsidR="006F226E" w:rsidRPr="00AD23C8" w:rsidRDefault="006F226E" w:rsidP="0022533A">
            <w:pPr>
              <w:spacing w:after="0" w:line="240" w:lineRule="auto"/>
              <w:jc w:val="right"/>
              <w:rPr>
                <w:rFonts w:ascii="Arial" w:eastAsia="Times New Roman" w:hAnsi="Arial" w:cs="Arial"/>
                <w:sz w:val="20"/>
                <w:szCs w:val="20"/>
                <w:lang w:eastAsia="en-GB"/>
              </w:rPr>
            </w:pPr>
            <w:r w:rsidRPr="00AD23C8">
              <w:rPr>
                <w:rFonts w:ascii="Arial" w:eastAsia="Times New Roman" w:hAnsi="Arial" w:cs="Arial"/>
                <w:sz w:val="20"/>
                <w:szCs w:val="20"/>
                <w:lang w:eastAsia="en-GB"/>
              </w:rPr>
              <w:t>318</w:t>
            </w:r>
          </w:p>
        </w:tc>
        <w:tc>
          <w:tcPr>
            <w:tcW w:w="1356" w:type="dxa"/>
            <w:shd w:val="clear" w:color="auto" w:fill="auto"/>
            <w:noWrap/>
            <w:vAlign w:val="bottom"/>
            <w:hideMark/>
          </w:tcPr>
          <w:p w14:paraId="651C3F79" w14:textId="77777777" w:rsidR="006F226E" w:rsidRPr="00AD23C8" w:rsidRDefault="006F226E" w:rsidP="0022533A">
            <w:pPr>
              <w:spacing w:after="0" w:line="240" w:lineRule="auto"/>
              <w:rPr>
                <w:rFonts w:ascii="Arial" w:eastAsia="Times New Roman" w:hAnsi="Arial" w:cs="Arial"/>
                <w:sz w:val="20"/>
                <w:szCs w:val="20"/>
                <w:lang w:eastAsia="en-GB"/>
              </w:rPr>
            </w:pPr>
            <w:r w:rsidRPr="00AD23C8">
              <w:rPr>
                <w:rFonts w:ascii="Arial" w:eastAsia="Times New Roman" w:hAnsi="Arial" w:cs="Arial"/>
                <w:sz w:val="20"/>
                <w:szCs w:val="20"/>
                <w:lang w:eastAsia="en-GB"/>
              </w:rPr>
              <w:t xml:space="preserve"> £           252 </w:t>
            </w:r>
          </w:p>
        </w:tc>
        <w:tc>
          <w:tcPr>
            <w:tcW w:w="1136" w:type="dxa"/>
            <w:shd w:val="clear" w:color="auto" w:fill="auto"/>
            <w:noWrap/>
            <w:vAlign w:val="bottom"/>
            <w:hideMark/>
          </w:tcPr>
          <w:p w14:paraId="07BC02FD" w14:textId="77777777" w:rsidR="006F226E" w:rsidRPr="00AD23C8" w:rsidRDefault="006F226E" w:rsidP="0022533A">
            <w:pPr>
              <w:spacing w:after="0" w:line="240" w:lineRule="auto"/>
              <w:rPr>
                <w:rFonts w:ascii="Arial" w:eastAsia="Times New Roman" w:hAnsi="Arial" w:cs="Arial"/>
                <w:sz w:val="20"/>
                <w:szCs w:val="20"/>
                <w:lang w:eastAsia="en-GB"/>
              </w:rPr>
            </w:pPr>
            <w:r w:rsidRPr="00AD23C8">
              <w:rPr>
                <w:rFonts w:ascii="Arial" w:eastAsia="Times New Roman" w:hAnsi="Arial" w:cs="Arial"/>
                <w:sz w:val="20"/>
                <w:szCs w:val="20"/>
                <w:lang w:eastAsia="en-GB"/>
              </w:rPr>
              <w:t xml:space="preserve"> £   80,297 </w:t>
            </w:r>
          </w:p>
        </w:tc>
      </w:tr>
      <w:tr w:rsidR="006F226E" w:rsidRPr="00C85581" w14:paraId="1A5414C6" w14:textId="77777777" w:rsidTr="0022533A">
        <w:trPr>
          <w:trHeight w:val="288"/>
        </w:trPr>
        <w:tc>
          <w:tcPr>
            <w:tcW w:w="1696" w:type="dxa"/>
          </w:tcPr>
          <w:p w14:paraId="60E0E03C" w14:textId="77777777" w:rsidR="006F226E" w:rsidRPr="00C85581" w:rsidRDefault="006F226E" w:rsidP="0022533A">
            <w:pPr>
              <w:spacing w:after="0" w:line="240" w:lineRule="auto"/>
              <w:jc w:val="right"/>
              <w:rPr>
                <w:rFonts w:ascii="Arial" w:eastAsia="Times New Roman" w:hAnsi="Arial" w:cs="Arial"/>
                <w:sz w:val="20"/>
                <w:szCs w:val="20"/>
                <w:lang w:eastAsia="en-GB"/>
              </w:rPr>
            </w:pPr>
            <w:r w:rsidRPr="00C85581">
              <w:rPr>
                <w:rFonts w:ascii="Arial" w:eastAsia="Times New Roman" w:hAnsi="Arial" w:cs="Arial"/>
                <w:sz w:val="20"/>
                <w:szCs w:val="20"/>
                <w:lang w:eastAsia="en-GB"/>
              </w:rPr>
              <w:t>2024</w:t>
            </w:r>
          </w:p>
        </w:tc>
        <w:tc>
          <w:tcPr>
            <w:tcW w:w="1696" w:type="dxa"/>
            <w:shd w:val="clear" w:color="auto" w:fill="auto"/>
            <w:noWrap/>
            <w:vAlign w:val="bottom"/>
            <w:hideMark/>
          </w:tcPr>
          <w:p w14:paraId="2E074786" w14:textId="77777777" w:rsidR="006F226E" w:rsidRPr="00AD23C8" w:rsidRDefault="006F226E" w:rsidP="0022533A">
            <w:pPr>
              <w:spacing w:after="0" w:line="240" w:lineRule="auto"/>
              <w:jc w:val="right"/>
              <w:rPr>
                <w:rFonts w:ascii="Arial" w:eastAsia="Times New Roman" w:hAnsi="Arial" w:cs="Arial"/>
                <w:sz w:val="20"/>
                <w:szCs w:val="20"/>
                <w:lang w:eastAsia="en-GB"/>
              </w:rPr>
            </w:pPr>
            <w:r w:rsidRPr="00AD23C8">
              <w:rPr>
                <w:rFonts w:ascii="Arial" w:eastAsia="Times New Roman" w:hAnsi="Arial" w:cs="Arial"/>
                <w:sz w:val="20"/>
                <w:szCs w:val="20"/>
                <w:lang w:eastAsia="en-GB"/>
              </w:rPr>
              <w:t>347</w:t>
            </w:r>
          </w:p>
        </w:tc>
        <w:tc>
          <w:tcPr>
            <w:tcW w:w="1356" w:type="dxa"/>
            <w:shd w:val="clear" w:color="auto" w:fill="auto"/>
            <w:noWrap/>
            <w:vAlign w:val="bottom"/>
            <w:hideMark/>
          </w:tcPr>
          <w:p w14:paraId="684F9E78" w14:textId="77777777" w:rsidR="006F226E" w:rsidRPr="00AD23C8" w:rsidRDefault="006F226E" w:rsidP="0022533A">
            <w:pPr>
              <w:spacing w:after="0" w:line="240" w:lineRule="auto"/>
              <w:rPr>
                <w:rFonts w:ascii="Arial" w:eastAsia="Times New Roman" w:hAnsi="Arial" w:cs="Arial"/>
                <w:sz w:val="20"/>
                <w:szCs w:val="20"/>
                <w:lang w:eastAsia="en-GB"/>
              </w:rPr>
            </w:pPr>
            <w:r w:rsidRPr="00AD23C8">
              <w:rPr>
                <w:rFonts w:ascii="Arial" w:eastAsia="Times New Roman" w:hAnsi="Arial" w:cs="Arial"/>
                <w:sz w:val="20"/>
                <w:szCs w:val="20"/>
                <w:lang w:eastAsia="en-GB"/>
              </w:rPr>
              <w:t xml:space="preserve"> £           256 </w:t>
            </w:r>
          </w:p>
        </w:tc>
        <w:tc>
          <w:tcPr>
            <w:tcW w:w="1136" w:type="dxa"/>
            <w:shd w:val="clear" w:color="auto" w:fill="auto"/>
            <w:noWrap/>
            <w:vAlign w:val="bottom"/>
            <w:hideMark/>
          </w:tcPr>
          <w:p w14:paraId="517F43AD" w14:textId="77777777" w:rsidR="006F226E" w:rsidRPr="00AD23C8" w:rsidRDefault="006F226E" w:rsidP="0022533A">
            <w:pPr>
              <w:spacing w:after="0" w:line="240" w:lineRule="auto"/>
              <w:rPr>
                <w:rFonts w:ascii="Arial" w:eastAsia="Times New Roman" w:hAnsi="Arial" w:cs="Arial"/>
                <w:sz w:val="20"/>
                <w:szCs w:val="20"/>
                <w:lang w:eastAsia="en-GB"/>
              </w:rPr>
            </w:pPr>
            <w:r w:rsidRPr="00AD23C8">
              <w:rPr>
                <w:rFonts w:ascii="Arial" w:eastAsia="Times New Roman" w:hAnsi="Arial" w:cs="Arial"/>
                <w:sz w:val="20"/>
                <w:szCs w:val="20"/>
                <w:lang w:eastAsia="en-GB"/>
              </w:rPr>
              <w:t xml:space="preserve"> £   88,945 </w:t>
            </w:r>
          </w:p>
        </w:tc>
      </w:tr>
      <w:tr w:rsidR="006F226E" w:rsidRPr="00C85581" w14:paraId="392276F2" w14:textId="77777777" w:rsidTr="0022533A">
        <w:trPr>
          <w:trHeight w:val="288"/>
        </w:trPr>
        <w:tc>
          <w:tcPr>
            <w:tcW w:w="1696" w:type="dxa"/>
          </w:tcPr>
          <w:p w14:paraId="26ADAA00" w14:textId="77777777" w:rsidR="006F226E" w:rsidRPr="00C85581" w:rsidRDefault="006F226E" w:rsidP="0022533A">
            <w:pPr>
              <w:spacing w:after="0" w:line="240" w:lineRule="auto"/>
              <w:jc w:val="right"/>
              <w:rPr>
                <w:rFonts w:ascii="Arial" w:eastAsia="Times New Roman" w:hAnsi="Arial" w:cs="Arial"/>
                <w:sz w:val="20"/>
                <w:szCs w:val="20"/>
                <w:lang w:eastAsia="en-GB"/>
              </w:rPr>
            </w:pPr>
            <w:r w:rsidRPr="00C85581">
              <w:rPr>
                <w:rFonts w:ascii="Arial" w:eastAsia="Times New Roman" w:hAnsi="Arial" w:cs="Arial"/>
                <w:sz w:val="20"/>
                <w:szCs w:val="20"/>
                <w:lang w:eastAsia="en-GB"/>
              </w:rPr>
              <w:t>2025</w:t>
            </w:r>
          </w:p>
        </w:tc>
        <w:tc>
          <w:tcPr>
            <w:tcW w:w="1696" w:type="dxa"/>
            <w:shd w:val="clear" w:color="auto" w:fill="auto"/>
            <w:noWrap/>
            <w:vAlign w:val="bottom"/>
            <w:hideMark/>
          </w:tcPr>
          <w:p w14:paraId="6F5F9312" w14:textId="77777777" w:rsidR="006F226E" w:rsidRPr="00AD23C8" w:rsidRDefault="006F226E" w:rsidP="0022533A">
            <w:pPr>
              <w:spacing w:after="0" w:line="240" w:lineRule="auto"/>
              <w:jc w:val="right"/>
              <w:rPr>
                <w:rFonts w:ascii="Arial" w:eastAsia="Times New Roman" w:hAnsi="Arial" w:cs="Arial"/>
                <w:sz w:val="20"/>
                <w:szCs w:val="20"/>
                <w:lang w:eastAsia="en-GB"/>
              </w:rPr>
            </w:pPr>
            <w:r w:rsidRPr="00AD23C8">
              <w:rPr>
                <w:rFonts w:ascii="Arial" w:eastAsia="Times New Roman" w:hAnsi="Arial" w:cs="Arial"/>
                <w:sz w:val="20"/>
                <w:szCs w:val="20"/>
                <w:lang w:eastAsia="en-GB"/>
              </w:rPr>
              <w:t>294</w:t>
            </w:r>
          </w:p>
        </w:tc>
        <w:tc>
          <w:tcPr>
            <w:tcW w:w="1356" w:type="dxa"/>
            <w:shd w:val="clear" w:color="auto" w:fill="auto"/>
            <w:noWrap/>
            <w:vAlign w:val="bottom"/>
            <w:hideMark/>
          </w:tcPr>
          <w:p w14:paraId="409A07E9" w14:textId="77777777" w:rsidR="006F226E" w:rsidRPr="00AD23C8" w:rsidRDefault="006F226E" w:rsidP="0022533A">
            <w:pPr>
              <w:spacing w:after="0" w:line="240" w:lineRule="auto"/>
              <w:rPr>
                <w:rFonts w:ascii="Arial" w:eastAsia="Times New Roman" w:hAnsi="Arial" w:cs="Arial"/>
                <w:sz w:val="20"/>
                <w:szCs w:val="20"/>
                <w:lang w:eastAsia="en-GB"/>
              </w:rPr>
            </w:pPr>
            <w:r w:rsidRPr="00AD23C8">
              <w:rPr>
                <w:rFonts w:ascii="Arial" w:eastAsia="Times New Roman" w:hAnsi="Arial" w:cs="Arial"/>
                <w:sz w:val="20"/>
                <w:szCs w:val="20"/>
                <w:lang w:eastAsia="en-GB"/>
              </w:rPr>
              <w:t xml:space="preserve"> £           260 </w:t>
            </w:r>
          </w:p>
        </w:tc>
        <w:tc>
          <w:tcPr>
            <w:tcW w:w="1136" w:type="dxa"/>
            <w:shd w:val="clear" w:color="auto" w:fill="auto"/>
            <w:noWrap/>
            <w:vAlign w:val="bottom"/>
            <w:hideMark/>
          </w:tcPr>
          <w:p w14:paraId="702E3E8C" w14:textId="77777777" w:rsidR="006F226E" w:rsidRPr="00AD23C8" w:rsidRDefault="006F226E" w:rsidP="0022533A">
            <w:pPr>
              <w:spacing w:after="0" w:line="240" w:lineRule="auto"/>
              <w:rPr>
                <w:rFonts w:ascii="Arial" w:eastAsia="Times New Roman" w:hAnsi="Arial" w:cs="Arial"/>
                <w:sz w:val="20"/>
                <w:szCs w:val="20"/>
                <w:lang w:eastAsia="en-GB"/>
              </w:rPr>
            </w:pPr>
            <w:r w:rsidRPr="00AD23C8">
              <w:rPr>
                <w:rFonts w:ascii="Arial" w:eastAsia="Times New Roman" w:hAnsi="Arial" w:cs="Arial"/>
                <w:sz w:val="20"/>
                <w:szCs w:val="20"/>
                <w:lang w:eastAsia="en-GB"/>
              </w:rPr>
              <w:t xml:space="preserve"> £   76,374 </w:t>
            </w:r>
          </w:p>
        </w:tc>
      </w:tr>
      <w:tr w:rsidR="006F226E" w:rsidRPr="00C85581" w14:paraId="1094BC3B" w14:textId="77777777" w:rsidTr="0022533A">
        <w:trPr>
          <w:trHeight w:val="288"/>
        </w:trPr>
        <w:tc>
          <w:tcPr>
            <w:tcW w:w="1696" w:type="dxa"/>
          </w:tcPr>
          <w:p w14:paraId="7A3A05F1" w14:textId="77777777" w:rsidR="006F226E" w:rsidRPr="00C85581" w:rsidRDefault="006F226E" w:rsidP="0022533A">
            <w:pPr>
              <w:spacing w:after="0" w:line="240" w:lineRule="auto"/>
              <w:jc w:val="right"/>
              <w:rPr>
                <w:rFonts w:ascii="Arial" w:eastAsia="Times New Roman" w:hAnsi="Arial" w:cs="Arial"/>
                <w:sz w:val="20"/>
                <w:szCs w:val="20"/>
                <w:lang w:eastAsia="en-GB"/>
              </w:rPr>
            </w:pPr>
            <w:r w:rsidRPr="00C85581">
              <w:rPr>
                <w:rFonts w:ascii="Arial" w:eastAsia="Times New Roman" w:hAnsi="Arial" w:cs="Arial"/>
                <w:sz w:val="20"/>
                <w:szCs w:val="20"/>
                <w:lang w:eastAsia="en-GB"/>
              </w:rPr>
              <w:t xml:space="preserve">Etc … </w:t>
            </w:r>
          </w:p>
        </w:tc>
        <w:tc>
          <w:tcPr>
            <w:tcW w:w="1696" w:type="dxa"/>
            <w:shd w:val="clear" w:color="auto" w:fill="auto"/>
            <w:noWrap/>
            <w:vAlign w:val="bottom"/>
          </w:tcPr>
          <w:p w14:paraId="1F02DB33" w14:textId="77777777" w:rsidR="006F226E" w:rsidRPr="00C85581" w:rsidRDefault="006F226E" w:rsidP="0022533A">
            <w:pPr>
              <w:spacing w:after="0" w:line="240" w:lineRule="auto"/>
              <w:jc w:val="right"/>
              <w:rPr>
                <w:rFonts w:ascii="Arial" w:eastAsia="Times New Roman" w:hAnsi="Arial" w:cs="Arial"/>
                <w:sz w:val="20"/>
                <w:szCs w:val="20"/>
                <w:lang w:eastAsia="en-GB"/>
              </w:rPr>
            </w:pPr>
            <w:r w:rsidRPr="00C85581">
              <w:rPr>
                <w:rFonts w:ascii="Arial" w:eastAsia="Times New Roman" w:hAnsi="Arial" w:cs="Arial"/>
                <w:sz w:val="20"/>
                <w:szCs w:val="20"/>
                <w:lang w:eastAsia="en-GB"/>
              </w:rPr>
              <w:t xml:space="preserve">Etc … </w:t>
            </w:r>
          </w:p>
        </w:tc>
        <w:tc>
          <w:tcPr>
            <w:tcW w:w="1356" w:type="dxa"/>
            <w:shd w:val="clear" w:color="auto" w:fill="auto"/>
            <w:noWrap/>
            <w:vAlign w:val="bottom"/>
          </w:tcPr>
          <w:p w14:paraId="4B9FF5B0" w14:textId="77777777" w:rsidR="006F226E" w:rsidRPr="00C85581" w:rsidRDefault="006F226E" w:rsidP="0022533A">
            <w:pPr>
              <w:spacing w:after="0" w:line="240" w:lineRule="auto"/>
              <w:rPr>
                <w:rFonts w:ascii="Arial" w:eastAsia="Times New Roman" w:hAnsi="Arial" w:cs="Arial"/>
                <w:sz w:val="20"/>
                <w:szCs w:val="20"/>
                <w:lang w:eastAsia="en-GB"/>
              </w:rPr>
            </w:pPr>
            <w:r w:rsidRPr="00C85581">
              <w:rPr>
                <w:rFonts w:ascii="Arial" w:eastAsia="Times New Roman" w:hAnsi="Arial" w:cs="Arial"/>
                <w:sz w:val="20"/>
                <w:szCs w:val="20"/>
                <w:lang w:eastAsia="en-GB"/>
              </w:rPr>
              <w:t>Etc …</w:t>
            </w:r>
          </w:p>
        </w:tc>
        <w:tc>
          <w:tcPr>
            <w:tcW w:w="1136" w:type="dxa"/>
            <w:shd w:val="clear" w:color="auto" w:fill="auto"/>
            <w:noWrap/>
            <w:vAlign w:val="bottom"/>
          </w:tcPr>
          <w:p w14:paraId="52A149B0" w14:textId="77777777" w:rsidR="006F226E" w:rsidRPr="00C85581" w:rsidRDefault="006F226E" w:rsidP="0022533A">
            <w:pPr>
              <w:spacing w:after="0" w:line="240" w:lineRule="auto"/>
              <w:rPr>
                <w:rFonts w:ascii="Arial" w:eastAsia="Times New Roman" w:hAnsi="Arial" w:cs="Arial"/>
                <w:sz w:val="20"/>
                <w:szCs w:val="20"/>
                <w:lang w:eastAsia="en-GB"/>
              </w:rPr>
            </w:pPr>
            <w:r w:rsidRPr="00C85581">
              <w:rPr>
                <w:rFonts w:ascii="Arial" w:eastAsia="Times New Roman" w:hAnsi="Arial" w:cs="Arial"/>
                <w:sz w:val="20"/>
                <w:szCs w:val="20"/>
                <w:lang w:eastAsia="en-GB"/>
              </w:rPr>
              <w:t xml:space="preserve">Etc … </w:t>
            </w:r>
          </w:p>
        </w:tc>
      </w:tr>
    </w:tbl>
    <w:p w14:paraId="3505EE5D" w14:textId="77777777" w:rsidR="006F226E" w:rsidRPr="00C85581" w:rsidRDefault="006F226E" w:rsidP="006F226E">
      <w:pPr>
        <w:rPr>
          <w:rFonts w:ascii="Verdana" w:hAnsi="Verdana"/>
          <w:color w:val="707070"/>
          <w:sz w:val="20"/>
          <w:szCs w:val="20"/>
        </w:rPr>
      </w:pPr>
    </w:p>
    <w:p w14:paraId="5F50B5CD" w14:textId="77777777" w:rsidR="00791DC6" w:rsidRDefault="006F226E" w:rsidP="006F226E">
      <w:pPr>
        <w:rPr>
          <w:rFonts w:ascii="FS Me Pro Light" w:hAnsi="FS Me Pro Light"/>
        </w:rPr>
      </w:pPr>
      <w:r w:rsidRPr="00791DC6">
        <w:rPr>
          <w:rFonts w:ascii="FS Me Pro Light" w:hAnsi="FS Me Pro Light"/>
        </w:rPr>
        <w:t xml:space="preserve">We then summed all 30 years’ £annual offset. This gives a total of £ 819,868 (average £1,547/home). </w:t>
      </w:r>
    </w:p>
    <w:p w14:paraId="48256300" w14:textId="72C99D2A" w:rsidR="00791DC6" w:rsidRDefault="00791DC6" w:rsidP="006F226E">
      <w:pPr>
        <w:rPr>
          <w:rFonts w:ascii="FS Me Pro Light" w:hAnsi="FS Me Pro Light"/>
        </w:rPr>
      </w:pPr>
      <w:r>
        <w:rPr>
          <w:rFonts w:ascii="FS Me Pro Light" w:hAnsi="FS Me Pro Light"/>
        </w:rPr>
        <w:t>This is significantly higher than Stantec estimate of £543,600 (note this is based on a residual carbon emission calculation of 490 tonnes/annum)</w:t>
      </w:r>
      <w:r w:rsidR="00BC3D3B">
        <w:rPr>
          <w:rFonts w:ascii="FS Me Pro Light" w:hAnsi="FS Me Pro Light"/>
        </w:rPr>
        <w:t>.</w:t>
      </w:r>
    </w:p>
    <w:p w14:paraId="74AA8C53" w14:textId="218F3019" w:rsidR="00791DC6" w:rsidRPr="00791DC6" w:rsidRDefault="00791DC6" w:rsidP="006F226E">
      <w:pPr>
        <w:rPr>
          <w:rFonts w:ascii="FS Me Pro Light" w:hAnsi="FS Me Pro Light"/>
        </w:rPr>
      </w:pPr>
      <w:r>
        <w:rPr>
          <w:rFonts w:ascii="FS Me Pro Light" w:hAnsi="FS Me Pro Light"/>
        </w:rPr>
        <w:t>It should also be noted that it was unclear how the unregulated elements of the carbon emissions were calculated.</w:t>
      </w:r>
    </w:p>
    <w:p w14:paraId="6942BA67" w14:textId="77777777" w:rsidR="00737A40" w:rsidRPr="00D7281F" w:rsidRDefault="00737A40" w:rsidP="00BA45DF">
      <w:pPr>
        <w:rPr>
          <w:rFonts w:ascii="FS Me Pro Light" w:hAnsi="FS Me Pro Light"/>
        </w:rPr>
      </w:pPr>
    </w:p>
    <w:p w14:paraId="4A49D86E" w14:textId="63F4065A" w:rsidR="00960E72" w:rsidRPr="00072B80" w:rsidRDefault="00960E72" w:rsidP="00072B80">
      <w:pPr>
        <w:pStyle w:val="ListParagraph"/>
        <w:numPr>
          <w:ilvl w:val="0"/>
          <w:numId w:val="6"/>
        </w:numPr>
        <w:rPr>
          <w:rFonts w:ascii="FS Me Pro Light" w:hAnsi="FS Me Pro Light"/>
          <w:b/>
          <w:bCs/>
        </w:rPr>
      </w:pPr>
      <w:r w:rsidRPr="00072B80">
        <w:rPr>
          <w:rFonts w:ascii="FS Me Pro Light" w:hAnsi="FS Me Pro Light"/>
          <w:b/>
          <w:bCs/>
        </w:rPr>
        <w:t xml:space="preserve">Precedent policy examples showing achievability </w:t>
      </w:r>
      <w:r w:rsidR="005C7CCD">
        <w:rPr>
          <w:rFonts w:ascii="FS Me Pro Light" w:hAnsi="FS Me Pro Light"/>
          <w:b/>
          <w:bCs/>
        </w:rPr>
        <w:t xml:space="preserve">of Zero Carbon </w:t>
      </w:r>
      <w:r w:rsidRPr="00072B80">
        <w:rPr>
          <w:rFonts w:ascii="FS Me Pro Light" w:hAnsi="FS Me Pro Light"/>
          <w:b/>
          <w:bCs/>
        </w:rPr>
        <w:t xml:space="preserve">in other areas of </w:t>
      </w:r>
      <w:r w:rsidR="005C7CCD" w:rsidRPr="00072B80">
        <w:rPr>
          <w:rFonts w:ascii="FS Me Pro Light" w:hAnsi="FS Me Pro Light"/>
          <w:b/>
          <w:bCs/>
        </w:rPr>
        <w:t>country.</w:t>
      </w:r>
    </w:p>
    <w:p w14:paraId="3EA71D9E" w14:textId="4E8352A8" w:rsidR="00BA45DF" w:rsidRPr="00D7281F" w:rsidRDefault="00BA45DF" w:rsidP="00BA45DF">
      <w:pPr>
        <w:rPr>
          <w:rFonts w:ascii="FS Me Pro Light" w:hAnsi="FS Me Pro Light"/>
        </w:rPr>
      </w:pPr>
      <w:r w:rsidRPr="00D7281F">
        <w:rPr>
          <w:rFonts w:ascii="FS Me Pro Light" w:hAnsi="FS Me Pro Light"/>
        </w:rPr>
        <w:t>The above policy context is clear</w:t>
      </w:r>
      <w:r w:rsidR="00DC11D1">
        <w:rPr>
          <w:rFonts w:ascii="FS Me Pro Light" w:hAnsi="FS Me Pro Light"/>
        </w:rPr>
        <w:t xml:space="preserve"> around achieving</w:t>
      </w:r>
      <w:r w:rsidR="00BC3D3B">
        <w:rPr>
          <w:rFonts w:ascii="FS Me Pro Light" w:hAnsi="FS Me Pro Light"/>
        </w:rPr>
        <w:t xml:space="preserve"> net zero carbon,</w:t>
      </w:r>
      <w:r w:rsidRPr="00D7281F">
        <w:rPr>
          <w:rFonts w:ascii="FS Me Pro Light" w:hAnsi="FS Me Pro Light"/>
        </w:rPr>
        <w:t xml:space="preserve"> and we </w:t>
      </w:r>
      <w:r w:rsidR="00BC3D3B">
        <w:rPr>
          <w:rFonts w:ascii="FS Me Pro Light" w:hAnsi="FS Me Pro Light"/>
        </w:rPr>
        <w:t>there is</w:t>
      </w:r>
      <w:r w:rsidRPr="00D7281F">
        <w:rPr>
          <w:rFonts w:ascii="FS Me Pro Light" w:hAnsi="FS Me Pro Light"/>
        </w:rPr>
        <w:t xml:space="preserve"> evidence that this context is achievable. See Lincolnshire local plan policy evidence documents. Specifically:</w:t>
      </w:r>
    </w:p>
    <w:p w14:paraId="03F64275" w14:textId="5353E41C" w:rsidR="00BA45DF" w:rsidRPr="00D7281F" w:rsidRDefault="00BA45DF" w:rsidP="00BA45DF">
      <w:pPr>
        <w:rPr>
          <w:rFonts w:ascii="FS Me Pro Light" w:hAnsi="FS Me Pro Light"/>
        </w:rPr>
      </w:pPr>
      <w:r w:rsidRPr="00D7281F">
        <w:rPr>
          <w:rFonts w:ascii="FS Me Pro Light" w:hAnsi="FS Me Pro Light"/>
        </w:rPr>
        <w:t>1. Lincolnshire local plan Task C viability of achieving true net zero on site (</w:t>
      </w:r>
      <w:hyperlink r:id="rId11" w:history="1">
        <w:r w:rsidR="00960E72" w:rsidRPr="00D7281F">
          <w:rPr>
            <w:rStyle w:val="Hyperlink"/>
            <w:rFonts w:ascii="FS Me Pro Light" w:hAnsi="FS Me Pro Light"/>
          </w:rPr>
          <w:t>20200345-Central Lincolnshire Climate Change Evidence Base-Report-Task C-Rev D (n-kesteven.gov.uk)</w:t>
        </w:r>
      </w:hyperlink>
    </w:p>
    <w:p w14:paraId="4A71C8BF" w14:textId="77777777" w:rsidR="00960E72" w:rsidRPr="00D7281F" w:rsidRDefault="00960E72" w:rsidP="00960E72">
      <w:pPr>
        <w:rPr>
          <w:rFonts w:ascii="FS Me Pro Light" w:hAnsi="FS Me Pro Light"/>
        </w:rPr>
      </w:pPr>
      <w:r w:rsidRPr="00D7281F">
        <w:rPr>
          <w:rFonts w:ascii="FS Me Pro Light" w:hAnsi="FS Me Pro Light"/>
        </w:rPr>
        <w:t>2. Lincolnshire local plan Task G financial feasibility of true net zero on site (</w:t>
      </w:r>
      <w:hyperlink r:id="rId12" w:history="1">
        <w:r w:rsidRPr="00D7281F">
          <w:rPr>
            <w:rStyle w:val="Hyperlink"/>
            <w:rFonts w:ascii="FS Me Pro Light" w:hAnsi="FS Me Pro Light"/>
          </w:rPr>
          <w:t>20200345-Central Lincolnshire Climate Change Evidence Base-Task G Feasibility-Rev C (n-kesteven.gov.uk)</w:t>
        </w:r>
      </w:hyperlink>
    </w:p>
    <w:p w14:paraId="3788E5C1" w14:textId="2FE445F3" w:rsidR="00960E72" w:rsidRPr="00D7281F" w:rsidRDefault="00960E72" w:rsidP="00BA45DF">
      <w:pPr>
        <w:rPr>
          <w:rFonts w:ascii="FS Me Pro Light" w:hAnsi="FS Me Pro Light"/>
        </w:rPr>
      </w:pPr>
      <w:r w:rsidRPr="00D7281F">
        <w:rPr>
          <w:rFonts w:ascii="FS Me Pro Light" w:hAnsi="FS Me Pro Light"/>
        </w:rPr>
        <w:t>Core bullet points:</w:t>
      </w:r>
    </w:p>
    <w:p w14:paraId="63E7835C" w14:textId="5C549B2D" w:rsidR="00960E72" w:rsidRPr="00D7281F" w:rsidRDefault="00960E72" w:rsidP="00960E72">
      <w:pPr>
        <w:pStyle w:val="ListParagraph"/>
        <w:numPr>
          <w:ilvl w:val="0"/>
          <w:numId w:val="3"/>
        </w:numPr>
        <w:rPr>
          <w:rFonts w:ascii="FS Me Pro Light" w:hAnsi="FS Me Pro Light"/>
        </w:rPr>
      </w:pPr>
      <w:r w:rsidRPr="00D7281F">
        <w:rPr>
          <w:rFonts w:ascii="FS Me Pro Light" w:hAnsi="FS Me Pro Light"/>
        </w:rPr>
        <w:t xml:space="preserve">When achieving </w:t>
      </w:r>
      <w:r w:rsidR="00905C3C" w:rsidRPr="00D7281F">
        <w:rPr>
          <w:rFonts w:ascii="FS Me Pro Light" w:hAnsi="FS Me Pro Light"/>
        </w:rPr>
        <w:t>Passivhaus</w:t>
      </w:r>
      <w:r w:rsidRPr="00D7281F">
        <w:rPr>
          <w:rFonts w:ascii="FS Me Pro Light" w:hAnsi="FS Me Pro Light"/>
        </w:rPr>
        <w:t xml:space="preserve"> premium with standard roof design, true zero carbon is achievable on plot for up to 4 storey buildings. </w:t>
      </w:r>
    </w:p>
    <w:p w14:paraId="17C969F9" w14:textId="28312A19" w:rsidR="00960E72" w:rsidRPr="00D7281F" w:rsidRDefault="00960E72" w:rsidP="00960E72">
      <w:pPr>
        <w:pStyle w:val="ListParagraph"/>
        <w:numPr>
          <w:ilvl w:val="0"/>
          <w:numId w:val="3"/>
        </w:numPr>
        <w:rPr>
          <w:rFonts w:ascii="FS Me Pro Light" w:hAnsi="FS Me Pro Light"/>
        </w:rPr>
      </w:pPr>
      <w:r w:rsidRPr="00D7281F">
        <w:rPr>
          <w:rFonts w:ascii="FS Me Pro Light" w:hAnsi="FS Me Pro Light"/>
        </w:rPr>
        <w:t xml:space="preserve">When achieving best practice with roof optimisation, true net zero carbon is achievable on plot for up to 6 storey </w:t>
      </w:r>
      <w:proofErr w:type="gramStart"/>
      <w:r w:rsidRPr="00D7281F">
        <w:rPr>
          <w:rFonts w:ascii="FS Me Pro Light" w:hAnsi="FS Me Pro Light"/>
        </w:rPr>
        <w:t>buildings</w:t>
      </w:r>
      <w:proofErr w:type="gramEnd"/>
    </w:p>
    <w:p w14:paraId="19F9793E" w14:textId="2FF413BC" w:rsidR="00960E72" w:rsidRPr="00D7281F" w:rsidRDefault="00960E72" w:rsidP="00960E72">
      <w:pPr>
        <w:pStyle w:val="ListParagraph"/>
        <w:numPr>
          <w:ilvl w:val="0"/>
          <w:numId w:val="3"/>
        </w:numPr>
        <w:rPr>
          <w:rFonts w:ascii="FS Me Pro Light" w:hAnsi="FS Me Pro Light"/>
        </w:rPr>
      </w:pPr>
      <w:r w:rsidRPr="00D7281F">
        <w:rPr>
          <w:rFonts w:ascii="FS Me Pro Light" w:hAnsi="FS Me Pro Light"/>
        </w:rPr>
        <w:t>Estimate construction cost impacts to achieve True Net Zero Carbon are 5-11% depending on strategy taken by applicant:</w:t>
      </w:r>
    </w:p>
    <w:p w14:paraId="2938F02D" w14:textId="5D86EA27" w:rsidR="00960E72" w:rsidRPr="00D7281F" w:rsidRDefault="0003062A" w:rsidP="00960E72">
      <w:pPr>
        <w:pStyle w:val="ListParagraph"/>
        <w:rPr>
          <w:rFonts w:ascii="FS Me Pro Light" w:hAnsi="FS Me Pro Light"/>
        </w:rPr>
      </w:pPr>
      <w:r w:rsidRPr="00D7281F">
        <w:rPr>
          <w:rFonts w:ascii="FS Me Pro Light" w:hAnsi="FS Me Pro Light"/>
          <w:noProof/>
        </w:rPr>
        <w:drawing>
          <wp:inline distT="0" distB="0" distL="0" distR="0" wp14:anchorId="42443437" wp14:editId="031E9C1F">
            <wp:extent cx="4540102" cy="5436431"/>
            <wp:effectExtent l="0" t="0" r="0" b="0"/>
            <wp:docPr id="986473682" name="Picture 98647368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473682" name="Picture 1" descr="Graphical user interface, application&#10;&#10;Description automatically generated"/>
                    <pic:cNvPicPr/>
                  </pic:nvPicPr>
                  <pic:blipFill rotWithShape="1">
                    <a:blip r:embed="rId13"/>
                    <a:srcRect l="58000" t="20170" r="3279" b="29134"/>
                    <a:stretch/>
                  </pic:blipFill>
                  <pic:spPr bwMode="auto">
                    <a:xfrm>
                      <a:off x="0" y="0"/>
                      <a:ext cx="4552221" cy="5450943"/>
                    </a:xfrm>
                    <a:prstGeom prst="rect">
                      <a:avLst/>
                    </a:prstGeom>
                    <a:ln>
                      <a:noFill/>
                    </a:ln>
                    <a:extLst>
                      <a:ext uri="{53640926-AAD7-44D8-BBD7-CCE9431645EC}">
                        <a14:shadowObscured xmlns:a14="http://schemas.microsoft.com/office/drawing/2010/main"/>
                      </a:ext>
                    </a:extLst>
                  </pic:spPr>
                </pic:pic>
              </a:graphicData>
            </a:graphic>
          </wp:inline>
        </w:drawing>
      </w:r>
    </w:p>
    <w:p w14:paraId="477D40ED" w14:textId="6128199B" w:rsidR="00960E72" w:rsidRPr="00D7281F" w:rsidRDefault="00960E72" w:rsidP="00960E72">
      <w:pPr>
        <w:pStyle w:val="ListParagraph"/>
        <w:rPr>
          <w:rFonts w:ascii="FS Me Pro Light" w:hAnsi="FS Me Pro Light"/>
        </w:rPr>
      </w:pPr>
      <w:r w:rsidRPr="00D7281F">
        <w:rPr>
          <w:rFonts w:ascii="FS Me Pro Light" w:hAnsi="FS Me Pro Light"/>
        </w:rPr>
        <w:t>*Above figure from Task G central Lincolnshire feasibility assessment</w:t>
      </w:r>
    </w:p>
    <w:p w14:paraId="2327C290" w14:textId="0269380B" w:rsidR="376C9D39" w:rsidRDefault="376C9D39" w:rsidP="7DF3A5D6">
      <w:pPr>
        <w:rPr>
          <w:rFonts w:ascii="FS Me Pro Light" w:hAnsi="FS Me Pro Light"/>
        </w:rPr>
      </w:pPr>
      <w:r w:rsidRPr="7DF3A5D6">
        <w:rPr>
          <w:rFonts w:ascii="FS Me Pro Light" w:hAnsi="FS Me Pro Light"/>
        </w:rPr>
        <w:t xml:space="preserve">It should be noted that this is also seen in the Bath and NE </w:t>
      </w:r>
      <w:r w:rsidR="4F6B81F9" w:rsidRPr="7DF3A5D6">
        <w:rPr>
          <w:rFonts w:ascii="FS Me Pro Light" w:hAnsi="FS Me Pro Light"/>
        </w:rPr>
        <w:t>S</w:t>
      </w:r>
      <w:r w:rsidRPr="7DF3A5D6">
        <w:rPr>
          <w:rFonts w:ascii="FS Me Pro Light" w:hAnsi="FS Me Pro Light"/>
        </w:rPr>
        <w:t>omerset</w:t>
      </w:r>
      <w:r w:rsidR="1A990B4F" w:rsidRPr="7DF3A5D6">
        <w:rPr>
          <w:rFonts w:ascii="FS Me Pro Light" w:hAnsi="FS Me Pro Light"/>
        </w:rPr>
        <w:t xml:space="preserve"> (B&amp;NES)</w:t>
      </w:r>
      <w:r w:rsidRPr="7DF3A5D6">
        <w:rPr>
          <w:rFonts w:ascii="FS Me Pro Light" w:hAnsi="FS Me Pro Light"/>
        </w:rPr>
        <w:t xml:space="preserve"> Local Plan </w:t>
      </w:r>
      <w:r w:rsidR="6FB035B3" w:rsidRPr="7DF3A5D6">
        <w:rPr>
          <w:rFonts w:ascii="FS Me Pro Light" w:hAnsi="FS Me Pro Light"/>
        </w:rPr>
        <w:t>Partial U</w:t>
      </w:r>
      <w:r w:rsidRPr="7DF3A5D6">
        <w:rPr>
          <w:rFonts w:ascii="FS Me Pro Light" w:hAnsi="FS Me Pro Light"/>
        </w:rPr>
        <w:t xml:space="preserve">pdate and the Cornwall Climate Emergency </w:t>
      </w:r>
      <w:commentRangeStart w:id="0"/>
      <w:r w:rsidRPr="7DF3A5D6">
        <w:rPr>
          <w:rFonts w:ascii="FS Me Pro Light" w:hAnsi="FS Me Pro Light"/>
        </w:rPr>
        <w:t>DPD</w:t>
      </w:r>
      <w:commentRangeEnd w:id="0"/>
      <w:r>
        <w:rPr>
          <w:rStyle w:val="CommentReference"/>
        </w:rPr>
        <w:commentReference w:id="0"/>
      </w:r>
      <w:r w:rsidR="18284847" w:rsidRPr="7DF3A5D6">
        <w:rPr>
          <w:rFonts w:ascii="FS Me Pro Light" w:hAnsi="FS Me Pro Light"/>
        </w:rPr>
        <w:t>.</w:t>
      </w:r>
      <w:r w:rsidR="6AB6B77A" w:rsidRPr="7DF3A5D6">
        <w:rPr>
          <w:rFonts w:ascii="FS Me Pro Light" w:hAnsi="FS Me Pro Light"/>
        </w:rPr>
        <w:t xml:space="preserve"> </w:t>
      </w:r>
      <w:r w:rsidR="087E70FF" w:rsidRPr="7DF3A5D6">
        <w:rPr>
          <w:rFonts w:ascii="FS Me Pro Light" w:hAnsi="FS Me Pro Light"/>
        </w:rPr>
        <w:t>B&amp;NES and Cornwall set identical net zero policies for new residential development:</w:t>
      </w:r>
    </w:p>
    <w:p w14:paraId="0EBE4399" w14:textId="05CFEA8C" w:rsidR="087E70FF" w:rsidRDefault="087E70FF" w:rsidP="7DF3A5D6">
      <w:pPr>
        <w:pStyle w:val="ListParagraph"/>
        <w:numPr>
          <w:ilvl w:val="0"/>
          <w:numId w:val="11"/>
        </w:numPr>
        <w:rPr>
          <w:rFonts w:ascii="FS Me Pro Light" w:hAnsi="FS Me Pro Light"/>
        </w:rPr>
      </w:pPr>
      <w:r w:rsidRPr="22AC6F61">
        <w:rPr>
          <w:rFonts w:ascii="FS Me Pro Light" w:hAnsi="FS Me Pro Light"/>
        </w:rPr>
        <w:t>40 kWh/m</w:t>
      </w:r>
      <w:r w:rsidR="00B32E17">
        <w:rPr>
          <w:rFonts w:ascii="FS Me Pro Light" w:hAnsi="FS Me Pro Light"/>
          <w:vertAlign w:val="superscript"/>
        </w:rPr>
        <w:t>2</w:t>
      </w:r>
      <w:r w:rsidR="00B32E17">
        <w:rPr>
          <w:rFonts w:ascii="FS Me Pro Light" w:hAnsi="FS Me Pro Light"/>
        </w:rPr>
        <w:t xml:space="preserve">/year </w:t>
      </w:r>
      <w:r w:rsidR="005D4B91">
        <w:rPr>
          <w:rFonts w:ascii="FS Me Pro Light" w:hAnsi="FS Me Pro Light"/>
        </w:rPr>
        <w:t>limit for energy use intensity/total energy use (includes unregulated energy)</w:t>
      </w:r>
    </w:p>
    <w:p w14:paraId="73A7FDB1" w14:textId="34967C1F" w:rsidR="005D4B91" w:rsidRDefault="005D4B91" w:rsidP="7DF3A5D6">
      <w:pPr>
        <w:pStyle w:val="ListParagraph"/>
        <w:numPr>
          <w:ilvl w:val="0"/>
          <w:numId w:val="11"/>
        </w:numPr>
        <w:rPr>
          <w:rFonts w:ascii="FS Me Pro Light" w:hAnsi="FS Me Pro Light"/>
        </w:rPr>
      </w:pPr>
      <w:r>
        <w:rPr>
          <w:rFonts w:ascii="FS Me Pro Light" w:hAnsi="FS Me Pro Light"/>
        </w:rPr>
        <w:t>3</w:t>
      </w:r>
      <w:r w:rsidRPr="22AC6F61">
        <w:rPr>
          <w:rFonts w:ascii="FS Me Pro Light" w:hAnsi="FS Me Pro Light"/>
        </w:rPr>
        <w:t>0 kWh/m</w:t>
      </w:r>
      <w:r>
        <w:rPr>
          <w:rFonts w:ascii="FS Me Pro Light" w:hAnsi="FS Me Pro Light"/>
          <w:vertAlign w:val="superscript"/>
        </w:rPr>
        <w:t>2</w:t>
      </w:r>
      <w:r>
        <w:rPr>
          <w:rFonts w:ascii="FS Me Pro Light" w:hAnsi="FS Me Pro Light"/>
        </w:rPr>
        <w:t>/year limit for space heating demand</w:t>
      </w:r>
    </w:p>
    <w:p w14:paraId="6FF681C1" w14:textId="2C2962AB" w:rsidR="005D4B91" w:rsidRDefault="005D4B91" w:rsidP="7DF3A5D6">
      <w:pPr>
        <w:pStyle w:val="ListParagraph"/>
        <w:numPr>
          <w:ilvl w:val="0"/>
          <w:numId w:val="11"/>
        </w:numPr>
        <w:rPr>
          <w:rFonts w:ascii="FS Me Pro Light" w:hAnsi="FS Me Pro Light"/>
        </w:rPr>
      </w:pPr>
      <w:r>
        <w:rPr>
          <w:rFonts w:ascii="FS Me Pro Light" w:hAnsi="FS Me Pro Light"/>
        </w:rPr>
        <w:t xml:space="preserve">On-site renewable energy generation to match total energy </w:t>
      </w:r>
      <w:proofErr w:type="gramStart"/>
      <w:r>
        <w:rPr>
          <w:rFonts w:ascii="FS Me Pro Light" w:hAnsi="FS Me Pro Light"/>
        </w:rPr>
        <w:t>use</w:t>
      </w:r>
      <w:proofErr w:type="gramEnd"/>
    </w:p>
    <w:p w14:paraId="15E192AF" w14:textId="004BEC60" w:rsidR="007A595B" w:rsidRDefault="00491145" w:rsidP="007A595B">
      <w:pPr>
        <w:rPr>
          <w:rFonts w:ascii="FS Me Pro Light" w:hAnsi="FS Me Pro Light"/>
        </w:rPr>
      </w:pPr>
      <w:r>
        <w:rPr>
          <w:rFonts w:ascii="FS Me Pro Light" w:hAnsi="FS Me Pro Light"/>
        </w:rPr>
        <w:t xml:space="preserve">The following documents </w:t>
      </w:r>
      <w:r w:rsidR="000B47A6">
        <w:rPr>
          <w:rFonts w:ascii="FS Me Pro Light" w:hAnsi="FS Me Pro Light"/>
        </w:rPr>
        <w:t xml:space="preserve">established the technical evidence base </w:t>
      </w:r>
      <w:r w:rsidR="007C665B">
        <w:rPr>
          <w:rFonts w:ascii="FS Me Pro Light" w:hAnsi="FS Me Pro Light"/>
        </w:rPr>
        <w:t>th</w:t>
      </w:r>
      <w:r w:rsidR="007172A1">
        <w:rPr>
          <w:rFonts w:ascii="FS Me Pro Light" w:hAnsi="FS Me Pro Light"/>
        </w:rPr>
        <w:t xml:space="preserve">at subsequently </w:t>
      </w:r>
      <w:r w:rsidR="003060AE">
        <w:rPr>
          <w:rFonts w:ascii="FS Me Pro Light" w:hAnsi="FS Me Pro Light"/>
        </w:rPr>
        <w:t xml:space="preserve">enabled the adoption of the policies. </w:t>
      </w:r>
    </w:p>
    <w:p w14:paraId="43CD0BC7" w14:textId="3FC5EE8C" w:rsidR="001117BD" w:rsidRPr="009F2C76" w:rsidRDefault="009F2C76" w:rsidP="001117BD">
      <w:pPr>
        <w:pStyle w:val="ListParagraph"/>
        <w:numPr>
          <w:ilvl w:val="0"/>
          <w:numId w:val="13"/>
        </w:numPr>
        <w:rPr>
          <w:rStyle w:val="Hyperlink"/>
          <w:rFonts w:ascii="FS Me Pro Light" w:hAnsi="FS Me Pro Light"/>
        </w:rPr>
      </w:pPr>
      <w:r>
        <w:rPr>
          <w:rFonts w:ascii="FS Me Pro Light" w:hAnsi="FS Me Pro Light"/>
        </w:rPr>
        <w:fldChar w:fldCharType="begin"/>
      </w:r>
      <w:r>
        <w:rPr>
          <w:rFonts w:ascii="FS Me Pro Light" w:hAnsi="FS Me Pro Light"/>
        </w:rPr>
        <w:instrText xml:space="preserve"> HYPERLINK "https://www.cornwall.gov.uk/media/mfob2hbj/eb004-energy-review-and-modelling-report.pdf" </w:instrText>
      </w:r>
      <w:r>
        <w:rPr>
          <w:rFonts w:ascii="FS Me Pro Light" w:hAnsi="FS Me Pro Light"/>
        </w:rPr>
      </w:r>
      <w:r>
        <w:rPr>
          <w:rFonts w:ascii="FS Me Pro Light" w:hAnsi="FS Me Pro Light"/>
        </w:rPr>
        <w:fldChar w:fldCharType="separate"/>
      </w:r>
      <w:r w:rsidR="001117BD" w:rsidRPr="009F2C76">
        <w:rPr>
          <w:rStyle w:val="Hyperlink"/>
          <w:rFonts w:ascii="FS Me Pro Light" w:hAnsi="FS Me Pro Light"/>
        </w:rPr>
        <w:t>Energy Review and Modelling (Feb 2021) – Etude</w:t>
      </w:r>
      <w:r w:rsidRPr="009F2C76">
        <w:rPr>
          <w:rStyle w:val="Hyperlink"/>
          <w:rFonts w:ascii="FS Me Pro Light" w:hAnsi="FS Me Pro Light"/>
        </w:rPr>
        <w:t xml:space="preserve"> and Currie &amp; Brown </w:t>
      </w:r>
      <w:r w:rsidR="00C25904">
        <w:rPr>
          <w:rStyle w:val="Hyperlink"/>
          <w:rFonts w:ascii="FS Me Pro Light" w:hAnsi="FS Me Pro Light"/>
        </w:rPr>
        <w:t xml:space="preserve"> </w:t>
      </w:r>
    </w:p>
    <w:p w14:paraId="6DD57314" w14:textId="0B2CD81C" w:rsidR="003C7322" w:rsidRPr="003C7322" w:rsidRDefault="009F2C76" w:rsidP="003C7322">
      <w:pPr>
        <w:pStyle w:val="ListParagraph"/>
        <w:numPr>
          <w:ilvl w:val="0"/>
          <w:numId w:val="13"/>
        </w:numPr>
        <w:rPr>
          <w:rFonts w:ascii="FS Me Pro Light" w:hAnsi="FS Me Pro Light"/>
        </w:rPr>
      </w:pPr>
      <w:r>
        <w:rPr>
          <w:rFonts w:ascii="FS Me Pro Light" w:hAnsi="FS Me Pro Light"/>
        </w:rPr>
        <w:fldChar w:fldCharType="end"/>
      </w:r>
      <w:hyperlink r:id="rId18" w:history="1">
        <w:r w:rsidR="003C7322" w:rsidRPr="00D71E36">
          <w:rPr>
            <w:rStyle w:val="Hyperlink"/>
            <w:rFonts w:ascii="FS Me Pro Light" w:hAnsi="FS Me Pro Light"/>
          </w:rPr>
          <w:t>New Housing (July 2021) – Etude and Currie &amp; Brown</w:t>
        </w:r>
      </w:hyperlink>
      <w:r w:rsidR="003C7322">
        <w:rPr>
          <w:rFonts w:ascii="FS Me Pro Light" w:hAnsi="FS Me Pro Light"/>
        </w:rPr>
        <w:t xml:space="preserve"> </w:t>
      </w:r>
    </w:p>
    <w:p w14:paraId="6BF07C5C" w14:textId="3813E218" w:rsidR="00B23B8E" w:rsidRDefault="003E6F6E" w:rsidP="001117BD">
      <w:pPr>
        <w:pStyle w:val="ListParagraph"/>
        <w:numPr>
          <w:ilvl w:val="0"/>
          <w:numId w:val="13"/>
        </w:numPr>
        <w:rPr>
          <w:rFonts w:ascii="FS Me Pro Light" w:hAnsi="FS Me Pro Light"/>
        </w:rPr>
      </w:pPr>
      <w:hyperlink r:id="rId19" w:history="1">
        <w:r w:rsidR="00781C62" w:rsidRPr="00B23B8E">
          <w:rPr>
            <w:rStyle w:val="Hyperlink"/>
            <w:rFonts w:ascii="FS Me Pro Light" w:hAnsi="FS Me Pro Light"/>
          </w:rPr>
          <w:t xml:space="preserve">New Housing Technical Appendices (July 2021) – Etude </w:t>
        </w:r>
        <w:r w:rsidR="009F2C76" w:rsidRPr="00B23B8E">
          <w:rPr>
            <w:rStyle w:val="Hyperlink"/>
            <w:rFonts w:ascii="FS Me Pro Light" w:hAnsi="FS Me Pro Light"/>
          </w:rPr>
          <w:t>and Currie &amp; Brown</w:t>
        </w:r>
      </w:hyperlink>
    </w:p>
    <w:p w14:paraId="0FC80167" w14:textId="40FE4F58" w:rsidR="006A0B98" w:rsidRDefault="007B1B79" w:rsidP="7DF3A5D6">
      <w:pPr>
        <w:rPr>
          <w:rFonts w:ascii="FS Me Pro Light" w:hAnsi="FS Me Pro Light"/>
        </w:rPr>
      </w:pPr>
      <w:r>
        <w:rPr>
          <w:rFonts w:ascii="FS Me Pro Light" w:hAnsi="FS Me Pro Light"/>
        </w:rPr>
        <w:t>Six common house types were modelled by Etude:</w:t>
      </w:r>
    </w:p>
    <w:p w14:paraId="0C2C6966" w14:textId="45C9C974" w:rsidR="007B1B79" w:rsidRDefault="007B1B79" w:rsidP="007B1B79">
      <w:pPr>
        <w:pStyle w:val="ListParagraph"/>
        <w:numPr>
          <w:ilvl w:val="0"/>
          <w:numId w:val="14"/>
        </w:numPr>
        <w:rPr>
          <w:rFonts w:ascii="FS Me Pro Light" w:hAnsi="FS Me Pro Light"/>
        </w:rPr>
      </w:pPr>
      <w:r>
        <w:rPr>
          <w:rFonts w:ascii="FS Me Pro Light" w:hAnsi="FS Me Pro Light"/>
        </w:rPr>
        <w:t>Semi-detached house</w:t>
      </w:r>
    </w:p>
    <w:p w14:paraId="2E30E9F1" w14:textId="11C5E619" w:rsidR="007B1B79" w:rsidRDefault="007B1B79" w:rsidP="007B1B79">
      <w:pPr>
        <w:pStyle w:val="ListParagraph"/>
        <w:numPr>
          <w:ilvl w:val="0"/>
          <w:numId w:val="14"/>
        </w:numPr>
        <w:rPr>
          <w:rFonts w:ascii="FS Me Pro Light" w:hAnsi="FS Me Pro Light"/>
        </w:rPr>
      </w:pPr>
      <w:r>
        <w:rPr>
          <w:rFonts w:ascii="FS Me Pro Light" w:hAnsi="FS Me Pro Light"/>
        </w:rPr>
        <w:t>Terraced house</w:t>
      </w:r>
    </w:p>
    <w:p w14:paraId="0DE33556" w14:textId="41E3AC71" w:rsidR="007B1B79" w:rsidRDefault="007B1B79" w:rsidP="007B1B79">
      <w:pPr>
        <w:pStyle w:val="ListParagraph"/>
        <w:numPr>
          <w:ilvl w:val="0"/>
          <w:numId w:val="14"/>
        </w:numPr>
        <w:rPr>
          <w:rFonts w:ascii="FS Me Pro Light" w:hAnsi="FS Me Pro Light"/>
        </w:rPr>
      </w:pPr>
      <w:r>
        <w:rPr>
          <w:rFonts w:ascii="FS Me Pro Light" w:hAnsi="FS Me Pro Light"/>
        </w:rPr>
        <w:t>Bungalow</w:t>
      </w:r>
    </w:p>
    <w:p w14:paraId="1CC9109A" w14:textId="4FD2CAFA" w:rsidR="007B1B79" w:rsidRDefault="007B1B79" w:rsidP="007B1B79">
      <w:pPr>
        <w:pStyle w:val="ListParagraph"/>
        <w:numPr>
          <w:ilvl w:val="0"/>
          <w:numId w:val="14"/>
        </w:numPr>
        <w:rPr>
          <w:rFonts w:ascii="FS Me Pro Light" w:hAnsi="FS Me Pro Light"/>
        </w:rPr>
      </w:pPr>
      <w:r>
        <w:rPr>
          <w:rFonts w:ascii="FS Me Pro Light" w:hAnsi="FS Me Pro Light"/>
        </w:rPr>
        <w:t xml:space="preserve">Detached </w:t>
      </w:r>
      <w:proofErr w:type="gramStart"/>
      <w:r>
        <w:rPr>
          <w:rFonts w:ascii="FS Me Pro Light" w:hAnsi="FS Me Pro Light"/>
        </w:rPr>
        <w:t>house</w:t>
      </w:r>
      <w:proofErr w:type="gramEnd"/>
    </w:p>
    <w:p w14:paraId="751558E4" w14:textId="0A6CEBEB" w:rsidR="007B1B79" w:rsidRDefault="007B1B79" w:rsidP="007B1B79">
      <w:pPr>
        <w:pStyle w:val="ListParagraph"/>
        <w:numPr>
          <w:ilvl w:val="0"/>
          <w:numId w:val="14"/>
        </w:numPr>
        <w:rPr>
          <w:rFonts w:ascii="FS Me Pro Light" w:hAnsi="FS Me Pro Light"/>
        </w:rPr>
      </w:pPr>
      <w:r>
        <w:rPr>
          <w:rFonts w:ascii="FS Me Pro Light" w:hAnsi="FS Me Pro Light"/>
        </w:rPr>
        <w:t xml:space="preserve">Low-rise </w:t>
      </w:r>
      <w:r w:rsidR="00DC4C19">
        <w:rPr>
          <w:rFonts w:ascii="FS Me Pro Light" w:hAnsi="FS Me Pro Light"/>
        </w:rPr>
        <w:t>block of 7 flats</w:t>
      </w:r>
    </w:p>
    <w:p w14:paraId="071292F9" w14:textId="7FDB9C64" w:rsidR="00DC4C19" w:rsidRPr="007B1B79" w:rsidRDefault="00DC4C19" w:rsidP="007B1B79">
      <w:pPr>
        <w:pStyle w:val="ListParagraph"/>
        <w:numPr>
          <w:ilvl w:val="0"/>
          <w:numId w:val="14"/>
        </w:numPr>
        <w:rPr>
          <w:rFonts w:ascii="FS Me Pro Light" w:hAnsi="FS Me Pro Light"/>
        </w:rPr>
      </w:pPr>
      <w:r>
        <w:rPr>
          <w:rFonts w:ascii="FS Me Pro Light" w:hAnsi="FS Me Pro Light"/>
        </w:rPr>
        <w:t>Mid-rise block of 20 flats</w:t>
      </w:r>
    </w:p>
    <w:p w14:paraId="6E92E1E8" w14:textId="7F43D7E4" w:rsidR="009A1299" w:rsidRDefault="00487169" w:rsidP="7DF3A5D6">
      <w:pPr>
        <w:rPr>
          <w:rFonts w:ascii="FS Me Pro Light" w:hAnsi="FS Me Pro Light"/>
        </w:rPr>
      </w:pPr>
      <w:r>
        <w:rPr>
          <w:rFonts w:ascii="FS Me Pro Light" w:hAnsi="FS Me Pro Light"/>
        </w:rPr>
        <w:t xml:space="preserve">The </w:t>
      </w:r>
      <w:r w:rsidR="007C2620">
        <w:rPr>
          <w:rFonts w:ascii="FS Me Pro Light" w:hAnsi="FS Me Pro Light"/>
        </w:rPr>
        <w:t xml:space="preserve">modelling in the technical evidence base </w:t>
      </w:r>
      <w:r w:rsidR="00E03383">
        <w:rPr>
          <w:rFonts w:ascii="FS Me Pro Light" w:hAnsi="FS Me Pro Light"/>
        </w:rPr>
        <w:t xml:space="preserve">shows that it is technically feasible for the </w:t>
      </w:r>
      <w:r w:rsidR="0030621D">
        <w:rPr>
          <w:rFonts w:ascii="FS Me Pro Light" w:hAnsi="FS Me Pro Light"/>
        </w:rPr>
        <w:t>B&amp;NES/Cornwall policy to be achieved</w:t>
      </w:r>
      <w:r w:rsidR="00BB0558">
        <w:rPr>
          <w:rFonts w:ascii="FS Me Pro Light" w:hAnsi="FS Me Pro Light"/>
        </w:rPr>
        <w:t xml:space="preserve"> across all typologies set out above</w:t>
      </w:r>
      <w:r w:rsidR="00741EBC">
        <w:rPr>
          <w:rFonts w:ascii="FS Me Pro Light" w:hAnsi="FS Me Pro Light"/>
        </w:rPr>
        <w:t xml:space="preserve">. It is important to note that full compliance with this policy results in </w:t>
      </w:r>
      <w:r w:rsidR="00741EBC" w:rsidRPr="00741EBC">
        <w:rPr>
          <w:rFonts w:ascii="FS Me Pro Light" w:hAnsi="FS Me Pro Light"/>
          <w:b/>
          <w:bCs/>
        </w:rPr>
        <w:t>zero offsetting</w:t>
      </w:r>
      <w:r w:rsidR="00741EBC">
        <w:rPr>
          <w:rFonts w:ascii="FS Me Pro Light" w:hAnsi="FS Me Pro Light"/>
        </w:rPr>
        <w:t xml:space="preserve">. In an exceptional circumstance where policy compliance was not feasible, the total energy use </w:t>
      </w:r>
      <w:r w:rsidR="004355AC">
        <w:rPr>
          <w:rFonts w:ascii="FS Me Pro Light" w:hAnsi="FS Me Pro Light"/>
        </w:rPr>
        <w:t xml:space="preserve">and space heating </w:t>
      </w:r>
      <w:r w:rsidR="002D26A1">
        <w:rPr>
          <w:rFonts w:ascii="FS Me Pro Light" w:hAnsi="FS Me Pro Light"/>
        </w:rPr>
        <w:t xml:space="preserve">limits must still be met and it would only be any residual on-site renewable energy generation than can be offset – the evidence base supports this. </w:t>
      </w:r>
    </w:p>
    <w:p w14:paraId="6DCEBF23" w14:textId="0851D93E" w:rsidR="006A0B98" w:rsidRPr="009A1299" w:rsidRDefault="00B64B38" w:rsidP="7DF3A5D6">
      <w:pPr>
        <w:rPr>
          <w:rFonts w:ascii="FS Me Pro Light" w:hAnsi="FS Me Pro Light"/>
          <w:b/>
          <w:bCs/>
        </w:rPr>
      </w:pPr>
      <w:r w:rsidRPr="009A1299">
        <w:rPr>
          <w:rFonts w:ascii="FS Me Pro Light" w:hAnsi="FS Me Pro Light"/>
          <w:b/>
          <w:bCs/>
        </w:rPr>
        <w:t xml:space="preserve">If the Firethorn development requires offsetting, it should </w:t>
      </w:r>
      <w:r w:rsidR="009A1299" w:rsidRPr="009A1299">
        <w:rPr>
          <w:rFonts w:ascii="FS Me Pro Light" w:hAnsi="FS Me Pro Light"/>
          <w:b/>
          <w:bCs/>
        </w:rPr>
        <w:t xml:space="preserve">only be residual on-site renewable energy generation that is offset, instead of reducing energy efficiency. This enables the site to become net zero in future if further renewable energy is installed or as the grid decarbonises. </w:t>
      </w:r>
    </w:p>
    <w:p w14:paraId="575978A8" w14:textId="3CDA0EA3" w:rsidR="7DF3A5D6" w:rsidRDefault="00E77DE5" w:rsidP="7DF3A5D6">
      <w:pPr>
        <w:rPr>
          <w:rFonts w:ascii="FS Me Pro Light" w:hAnsi="FS Me Pro Light"/>
        </w:rPr>
      </w:pPr>
      <w:r>
        <w:rPr>
          <w:rFonts w:ascii="FS Me Pro Light" w:hAnsi="FS Me Pro Light"/>
        </w:rPr>
        <w:t xml:space="preserve">The energy use limits are easier to meet </w:t>
      </w:r>
      <w:r w:rsidR="00835753">
        <w:rPr>
          <w:rFonts w:ascii="FS Me Pro Light" w:hAnsi="FS Me Pro Light"/>
        </w:rPr>
        <w:t>under the B&amp;NES/Cornwall policy than they are under the Central Lincolnshire policy, yet more on-site solar PV is required</w:t>
      </w:r>
      <w:r w:rsidR="00A366C8">
        <w:rPr>
          <w:rFonts w:ascii="FS Me Pro Light" w:hAnsi="FS Me Pro Light"/>
        </w:rPr>
        <w:t xml:space="preserve"> to match total energy use. </w:t>
      </w:r>
      <w:r w:rsidR="00193C94">
        <w:rPr>
          <w:rFonts w:ascii="FS Me Pro Light" w:hAnsi="FS Me Pro Light"/>
        </w:rPr>
        <w:t xml:space="preserve">The cost uplift to comply with the Central Lincolnshire policy is higher due to these more stringent energy use limit requirements, yet a genuinely on-site net zero energy balance is achievable at a lower cost uplift under the B&amp;NES/Cornwall approach. </w:t>
      </w:r>
      <w:r w:rsidR="00105566">
        <w:rPr>
          <w:rFonts w:ascii="FS Me Pro Light" w:hAnsi="FS Me Pro Light"/>
        </w:rPr>
        <w:t xml:space="preserve">Therefore, a </w:t>
      </w:r>
      <w:r w:rsidR="00105566" w:rsidRPr="001F7083">
        <w:rPr>
          <w:rFonts w:ascii="FS Me Pro Light" w:hAnsi="FS Me Pro Light"/>
          <w:i/>
          <w:iCs/>
        </w:rPr>
        <w:t>reasonable approach</w:t>
      </w:r>
      <w:r w:rsidR="00105566">
        <w:rPr>
          <w:rFonts w:ascii="FS Me Pro Light" w:hAnsi="FS Me Pro Light"/>
        </w:rPr>
        <w:t xml:space="preserve"> to take would </w:t>
      </w:r>
      <w:r w:rsidR="001F7083">
        <w:rPr>
          <w:rFonts w:ascii="FS Me Pro Light" w:hAnsi="FS Me Pro Light"/>
        </w:rPr>
        <w:t xml:space="preserve">be to follow to B&amp;NES/Cornwall </w:t>
      </w:r>
      <w:r w:rsidR="00257330">
        <w:rPr>
          <w:rFonts w:ascii="FS Me Pro Light" w:hAnsi="FS Me Pro Light"/>
        </w:rPr>
        <w:t xml:space="preserve">approach, particularly as B&amp;NES have been implementing the policy with compliant applications </w:t>
      </w:r>
      <w:r w:rsidR="00D82902">
        <w:rPr>
          <w:rFonts w:ascii="FS Me Pro Light" w:hAnsi="FS Me Pro Light"/>
        </w:rPr>
        <w:t xml:space="preserve">since January 2023, which further proves the requirements are achievable </w:t>
      </w:r>
      <w:r w:rsidR="009F4C3A">
        <w:rPr>
          <w:rFonts w:ascii="FS Me Pro Light" w:hAnsi="FS Me Pro Light"/>
        </w:rPr>
        <w:t>in practice</w:t>
      </w:r>
      <w:r w:rsidR="00D82902">
        <w:rPr>
          <w:rFonts w:ascii="FS Me Pro Light" w:hAnsi="FS Me Pro Light"/>
        </w:rPr>
        <w:t>.</w:t>
      </w:r>
    </w:p>
    <w:p w14:paraId="29D4142A" w14:textId="3B8704AF" w:rsidR="00D066C5" w:rsidRDefault="00BD1630" w:rsidP="00960E72">
      <w:pPr>
        <w:rPr>
          <w:rFonts w:ascii="FS Me Pro Light" w:hAnsi="FS Me Pro Light"/>
        </w:rPr>
      </w:pPr>
      <w:r>
        <w:rPr>
          <w:rFonts w:ascii="FS Me Pro Light" w:hAnsi="FS Me Pro Light"/>
        </w:rPr>
        <w:t>Cornwall cost uplifts</w:t>
      </w:r>
      <w:r w:rsidR="00D43AEF">
        <w:rPr>
          <w:rFonts w:ascii="FS Me Pro Light" w:hAnsi="FS Me Pro Light"/>
        </w:rPr>
        <w:t xml:space="preserve"> from the </w:t>
      </w:r>
      <w:hyperlink r:id="rId20" w:history="1">
        <w:r w:rsidR="00D43AEF" w:rsidRPr="00D43AEF">
          <w:rPr>
            <w:rStyle w:val="Hyperlink"/>
            <w:rFonts w:ascii="FS Me Pro Light" w:hAnsi="FS Me Pro Light"/>
          </w:rPr>
          <w:t>DPD Viability Report</w:t>
        </w:r>
      </w:hyperlink>
      <w:r w:rsidR="00D43AEF">
        <w:rPr>
          <w:rFonts w:ascii="FS Me Pro Light" w:hAnsi="FS Me Pro Light"/>
        </w:rPr>
        <w:t>:</w:t>
      </w:r>
    </w:p>
    <w:p w14:paraId="32F30C69" w14:textId="110028CB" w:rsidR="00BD1630" w:rsidRDefault="00BD1630" w:rsidP="00960E72">
      <w:pPr>
        <w:rPr>
          <w:rFonts w:ascii="FS Me Pro Light" w:hAnsi="FS Me Pro Light"/>
        </w:rPr>
      </w:pPr>
      <w:r w:rsidRPr="00BD1630">
        <w:rPr>
          <w:rFonts w:ascii="FS Me Pro Light" w:hAnsi="FS Me Pro Light"/>
          <w:noProof/>
        </w:rPr>
        <w:drawing>
          <wp:inline distT="0" distB="0" distL="0" distR="0" wp14:anchorId="4E29B6E2" wp14:editId="51CC610C">
            <wp:extent cx="3027872" cy="2011422"/>
            <wp:effectExtent l="0" t="0" r="1270" b="8255"/>
            <wp:docPr id="5" name="Picture 5" descr="Table&#10;&#10;Description automatically generated">
              <a:extLst xmlns:a="http://schemas.openxmlformats.org/drawingml/2006/main">
                <a:ext uri="{FF2B5EF4-FFF2-40B4-BE49-F238E27FC236}">
                  <a16:creationId xmlns:a16="http://schemas.microsoft.com/office/drawing/2014/main" id="{26CBC893-C80D-A4DF-A220-4B66FDE392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able&#10;&#10;Description automatically generated">
                      <a:extLst>
                        <a:ext uri="{FF2B5EF4-FFF2-40B4-BE49-F238E27FC236}">
                          <a16:creationId xmlns:a16="http://schemas.microsoft.com/office/drawing/2014/main" id="{26CBC893-C80D-A4DF-A220-4B66FDE39252}"/>
                        </a:ext>
                      </a:extLst>
                    </pic:cNvPr>
                    <pic:cNvPicPr>
                      <a:picLocks noChangeAspect="1"/>
                    </pic:cNvPicPr>
                  </pic:nvPicPr>
                  <pic:blipFill>
                    <a:blip r:embed="rId21"/>
                    <a:stretch>
                      <a:fillRect/>
                    </a:stretch>
                  </pic:blipFill>
                  <pic:spPr>
                    <a:xfrm>
                      <a:off x="0" y="0"/>
                      <a:ext cx="3057332" cy="2030993"/>
                    </a:xfrm>
                    <a:prstGeom prst="rect">
                      <a:avLst/>
                    </a:prstGeom>
                  </pic:spPr>
                </pic:pic>
              </a:graphicData>
            </a:graphic>
          </wp:inline>
        </w:drawing>
      </w:r>
    </w:p>
    <w:p w14:paraId="277A4118" w14:textId="2A789493" w:rsidR="00BA0541" w:rsidRDefault="00BA0541" w:rsidP="00960E72">
      <w:pPr>
        <w:rPr>
          <w:rFonts w:ascii="FS Me Pro Light" w:hAnsi="FS Me Pro Light"/>
        </w:rPr>
      </w:pPr>
      <w:r>
        <w:rPr>
          <w:noProof/>
        </w:rPr>
        <w:drawing>
          <wp:inline distT="0" distB="0" distL="0" distR="0" wp14:anchorId="6EE8932E" wp14:editId="41F57506">
            <wp:extent cx="4270075" cy="1744115"/>
            <wp:effectExtent l="0" t="0" r="0" b="889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22"/>
                    <a:srcRect l="26946" t="67066" r="36937" b="19787"/>
                    <a:stretch/>
                  </pic:blipFill>
                  <pic:spPr bwMode="auto">
                    <a:xfrm>
                      <a:off x="0" y="0"/>
                      <a:ext cx="4284567" cy="1750034"/>
                    </a:xfrm>
                    <a:prstGeom prst="rect">
                      <a:avLst/>
                    </a:prstGeom>
                    <a:ln>
                      <a:noFill/>
                    </a:ln>
                    <a:extLst>
                      <a:ext uri="{53640926-AAD7-44D8-BBD7-CCE9431645EC}">
                        <a14:shadowObscured xmlns:a14="http://schemas.microsoft.com/office/drawing/2010/main"/>
                      </a:ext>
                    </a:extLst>
                  </pic:spPr>
                </pic:pic>
              </a:graphicData>
            </a:graphic>
          </wp:inline>
        </w:drawing>
      </w:r>
    </w:p>
    <w:p w14:paraId="6910BC57" w14:textId="288BAC58" w:rsidR="00BD1630" w:rsidRDefault="000A534D" w:rsidP="00960E72">
      <w:pPr>
        <w:rPr>
          <w:rFonts w:ascii="FS Me Pro Light" w:hAnsi="FS Me Pro Light"/>
        </w:rPr>
      </w:pPr>
      <w:proofErr w:type="gramStart"/>
      <w:r>
        <w:rPr>
          <w:rFonts w:ascii="FS Me Pro Light" w:hAnsi="FS Me Pro Light"/>
        </w:rPr>
        <w:t>On the basis of</w:t>
      </w:r>
      <w:proofErr w:type="gramEnd"/>
      <w:r>
        <w:rPr>
          <w:rFonts w:ascii="FS Me Pro Light" w:hAnsi="FS Me Pro Light"/>
        </w:rPr>
        <w:t xml:space="preserve"> the cost uplift values in the tables above, the Viability Report concluded that:</w:t>
      </w:r>
    </w:p>
    <w:p w14:paraId="46A4D0A0" w14:textId="4CFA17DC" w:rsidR="000A534D" w:rsidRDefault="00504B8B" w:rsidP="00960E72">
      <w:pPr>
        <w:rPr>
          <w:rFonts w:ascii="FS Me Pro Light" w:hAnsi="FS Me Pro Light"/>
        </w:rPr>
      </w:pPr>
      <w:r>
        <w:rPr>
          <w:rFonts w:ascii="FS Me Pro Light" w:hAnsi="FS Me Pro Light"/>
        </w:rPr>
        <w:t>“</w:t>
      </w:r>
      <w:r w:rsidRPr="00504B8B">
        <w:rPr>
          <w:rFonts w:ascii="FS Me Pro Light" w:hAnsi="FS Me Pro Light"/>
          <w:i/>
          <w:iCs/>
        </w:rPr>
        <w:t xml:space="preserve">The overall conclusion is that, based on the testing in this report, </w:t>
      </w:r>
      <w:r w:rsidRPr="00504B8B">
        <w:rPr>
          <w:rFonts w:ascii="FS Me Pro Light" w:hAnsi="FS Me Pro Light"/>
          <w:b/>
          <w:bCs/>
          <w:i/>
          <w:iCs/>
        </w:rPr>
        <w:t xml:space="preserve">the additional costs associated with building new dwellings to the standards required in DPD policy SEC 1 can be met without jeopardising viability across </w:t>
      </w:r>
      <w:proofErr w:type="gramStart"/>
      <w:r w:rsidRPr="00504B8B">
        <w:rPr>
          <w:rFonts w:ascii="FS Me Pro Light" w:hAnsi="FS Me Pro Light"/>
          <w:b/>
          <w:bCs/>
          <w:i/>
          <w:iCs/>
        </w:rPr>
        <w:t>the majority of</w:t>
      </w:r>
      <w:proofErr w:type="gramEnd"/>
      <w:r w:rsidRPr="00504B8B">
        <w:rPr>
          <w:rFonts w:ascii="FS Me Pro Light" w:hAnsi="FS Me Pro Light"/>
          <w:b/>
          <w:bCs/>
          <w:i/>
          <w:iCs/>
        </w:rPr>
        <w:t xml:space="preserve"> cases</w:t>
      </w:r>
      <w:r w:rsidRPr="00504B8B">
        <w:rPr>
          <w:rFonts w:ascii="FS Me Pro Light" w:hAnsi="FS Me Pro Light"/>
          <w:i/>
          <w:iCs/>
        </w:rPr>
        <w:t>. The exceptions relate to higher density and older persons development as well as some affordable-led schemes. This conclusion is not dissimilar to the findings of the February 2021 study and suggests that these types of development may not be viable even without the DPD requirements.</w:t>
      </w:r>
      <w:r>
        <w:rPr>
          <w:rFonts w:ascii="FS Me Pro Light" w:hAnsi="FS Me Pro Light"/>
        </w:rPr>
        <w:t>”</w:t>
      </w:r>
    </w:p>
    <w:p w14:paraId="69D9E0DD" w14:textId="77777777" w:rsidR="00332B90" w:rsidRDefault="004D2485" w:rsidP="00960E72">
      <w:pPr>
        <w:rPr>
          <w:rFonts w:ascii="FS Me Pro Light" w:hAnsi="FS Me Pro Light"/>
        </w:rPr>
      </w:pPr>
      <w:r>
        <w:rPr>
          <w:rFonts w:ascii="FS Me Pro Light" w:hAnsi="FS Me Pro Light"/>
        </w:rPr>
        <w:t xml:space="preserve">The </w:t>
      </w:r>
      <w:hyperlink r:id="rId23" w:history="1">
        <w:r w:rsidRPr="002200E5">
          <w:rPr>
            <w:rStyle w:val="Hyperlink"/>
            <w:rFonts w:ascii="FS Me Pro Light" w:hAnsi="FS Me Pro Light"/>
          </w:rPr>
          <w:t xml:space="preserve">B&amp;NES </w:t>
        </w:r>
        <w:r w:rsidR="002200E5" w:rsidRPr="002200E5">
          <w:rPr>
            <w:rStyle w:val="Hyperlink"/>
            <w:rFonts w:ascii="FS Me Pro Light" w:hAnsi="FS Me Pro Light"/>
          </w:rPr>
          <w:t>Viability Study</w:t>
        </w:r>
      </w:hyperlink>
      <w:r w:rsidR="002200E5">
        <w:rPr>
          <w:rFonts w:ascii="FS Me Pro Light" w:hAnsi="FS Me Pro Light"/>
        </w:rPr>
        <w:t xml:space="preserve"> </w:t>
      </w:r>
      <w:r w:rsidR="00A17CF1">
        <w:rPr>
          <w:rFonts w:ascii="FS Me Pro Light" w:hAnsi="FS Me Pro Light"/>
        </w:rPr>
        <w:t xml:space="preserve">produced the same conclusions, showing widespread viability across the majority of typologies. The primary typology that </w:t>
      </w:r>
      <w:r w:rsidR="00DA2308">
        <w:rPr>
          <w:rFonts w:ascii="FS Me Pro Light" w:hAnsi="FS Me Pro Light"/>
        </w:rPr>
        <w:t>was found to not be viable was high-rise flat blocks in rural areas with low land value, w</w:t>
      </w:r>
      <w:r w:rsidR="001E0D76">
        <w:rPr>
          <w:rFonts w:ascii="FS Me Pro Light" w:hAnsi="FS Me Pro Light"/>
        </w:rPr>
        <w:t xml:space="preserve">hich </w:t>
      </w:r>
      <w:r w:rsidR="00A166BA">
        <w:rPr>
          <w:rFonts w:ascii="FS Me Pro Light" w:hAnsi="FS Me Pro Light"/>
        </w:rPr>
        <w:t xml:space="preserve">is not a realistic development option. </w:t>
      </w:r>
    </w:p>
    <w:p w14:paraId="61B89D42" w14:textId="26B708BB" w:rsidR="002B4320" w:rsidRPr="00D7281F" w:rsidRDefault="001224BE" w:rsidP="00960E72">
      <w:pPr>
        <w:rPr>
          <w:rFonts w:ascii="FS Me Pro Light" w:hAnsi="FS Me Pro Light"/>
        </w:rPr>
      </w:pPr>
      <w:r>
        <w:rPr>
          <w:rFonts w:ascii="FS Me Pro Light" w:hAnsi="FS Me Pro Light"/>
        </w:rPr>
        <w:t xml:space="preserve">As the </w:t>
      </w:r>
      <w:hyperlink r:id="rId24" w:history="1">
        <w:r w:rsidRPr="001224BE">
          <w:rPr>
            <w:rStyle w:val="Hyperlink"/>
            <w:rFonts w:ascii="FS Me Pro Light" w:hAnsi="FS Me Pro Light"/>
          </w:rPr>
          <w:t>Etude evidence</w:t>
        </w:r>
      </w:hyperlink>
      <w:r>
        <w:rPr>
          <w:rFonts w:ascii="FS Me Pro Light" w:hAnsi="FS Me Pro Light"/>
        </w:rPr>
        <w:t xml:space="preserve"> sets out, </w:t>
      </w:r>
      <w:r w:rsidR="00150B8B">
        <w:rPr>
          <w:rFonts w:ascii="FS Me Pro Light" w:hAnsi="FS Me Pro Light"/>
        </w:rPr>
        <w:t xml:space="preserve">the </w:t>
      </w:r>
      <w:r w:rsidR="00D7289F">
        <w:rPr>
          <w:rFonts w:ascii="FS Me Pro Light" w:hAnsi="FS Me Pro Light"/>
        </w:rPr>
        <w:t xml:space="preserve">B&amp;NES/Cornwall policy cost uplift is 0.5-2.7% over Part L 2021. The B&amp;NES Viability Study therefore tested at a central 3% scenario but also tested at 5% and 6% to provide additional headroom. </w:t>
      </w:r>
      <w:r w:rsidR="00D7289F" w:rsidRPr="00A15898">
        <w:rPr>
          <w:rFonts w:ascii="FS Me Pro Light" w:hAnsi="FS Me Pro Light"/>
        </w:rPr>
        <w:t xml:space="preserve">The two higher uplift scenarios remained viable across </w:t>
      </w:r>
      <w:proofErr w:type="gramStart"/>
      <w:r w:rsidR="00D7289F" w:rsidRPr="00A15898">
        <w:rPr>
          <w:rFonts w:ascii="FS Me Pro Light" w:hAnsi="FS Me Pro Light"/>
        </w:rPr>
        <w:t>the majority of</w:t>
      </w:r>
      <w:proofErr w:type="gramEnd"/>
      <w:r w:rsidR="00D7289F" w:rsidRPr="00A15898">
        <w:rPr>
          <w:rFonts w:ascii="FS Me Pro Light" w:hAnsi="FS Me Pro Light"/>
        </w:rPr>
        <w:t xml:space="preserve"> typologies</w:t>
      </w:r>
      <w:r w:rsidR="00BA2AD3" w:rsidRPr="00A15898">
        <w:rPr>
          <w:rFonts w:ascii="FS Me Pro Light" w:hAnsi="FS Me Pro Light"/>
        </w:rPr>
        <w:t>.</w:t>
      </w:r>
      <w:r w:rsidR="00BA2AD3">
        <w:rPr>
          <w:rFonts w:ascii="FS Me Pro Light" w:hAnsi="FS Me Pro Light"/>
        </w:rPr>
        <w:t xml:space="preserve"> </w:t>
      </w:r>
    </w:p>
    <w:p w14:paraId="06A72781" w14:textId="51C4D907" w:rsidR="00960E72" w:rsidRPr="00D7281F" w:rsidRDefault="00960E72" w:rsidP="00960E72">
      <w:pPr>
        <w:rPr>
          <w:rFonts w:ascii="FS Me Pro Light" w:hAnsi="FS Me Pro Light"/>
          <w:b/>
          <w:bCs/>
        </w:rPr>
      </w:pPr>
      <w:r w:rsidRPr="00D7281F">
        <w:rPr>
          <w:rFonts w:ascii="FS Me Pro Light" w:hAnsi="FS Me Pro Light"/>
          <w:b/>
          <w:bCs/>
        </w:rPr>
        <w:t>Implications and comments on current costings plan:</w:t>
      </w:r>
    </w:p>
    <w:p w14:paraId="4126BF01" w14:textId="77777777" w:rsidR="00960E72" w:rsidRPr="00D7281F" w:rsidRDefault="00960E72" w:rsidP="00960E72">
      <w:pPr>
        <w:rPr>
          <w:rFonts w:ascii="FS Me Pro Light" w:hAnsi="FS Me Pro Light"/>
        </w:rPr>
      </w:pPr>
      <w:r w:rsidRPr="00D7281F">
        <w:rPr>
          <w:rFonts w:ascii="FS Me Pro Light" w:hAnsi="FS Me Pro Light"/>
        </w:rPr>
        <w:t xml:space="preserve">The viability cost estimate notes the following: </w:t>
      </w:r>
    </w:p>
    <w:p w14:paraId="2DA0EED9" w14:textId="77777777" w:rsidR="00162EB3" w:rsidRPr="00D7281F" w:rsidRDefault="00960E72" w:rsidP="00960E72">
      <w:pPr>
        <w:pStyle w:val="ListParagraph"/>
        <w:numPr>
          <w:ilvl w:val="0"/>
          <w:numId w:val="4"/>
        </w:numPr>
        <w:rPr>
          <w:rFonts w:ascii="FS Me Pro Light" w:hAnsi="FS Me Pro Light"/>
        </w:rPr>
      </w:pPr>
      <w:r w:rsidRPr="00D7281F">
        <w:rPr>
          <w:rFonts w:ascii="FS Me Pro Light" w:hAnsi="FS Me Pro Light"/>
        </w:rPr>
        <w:t xml:space="preserve">This Cost Estimate includes for measures to satisfy Item 4, Future Homes Standard (plus photovoltaic panels). </w:t>
      </w:r>
      <w:proofErr w:type="gramStart"/>
      <w:r w:rsidRPr="00D7281F">
        <w:rPr>
          <w:rFonts w:ascii="FS Me Pro Light" w:hAnsi="FS Me Pro Light"/>
        </w:rPr>
        <w:t>In order to</w:t>
      </w:r>
      <w:proofErr w:type="gramEnd"/>
      <w:r w:rsidRPr="00D7281F">
        <w:rPr>
          <w:rFonts w:ascii="FS Me Pro Light" w:hAnsi="FS Me Pro Light"/>
        </w:rPr>
        <w:t xml:space="preserve"> achieve the equivalent of Zero Carbon and True Zero Carbon (which assume direct connection to renewable energy), carbon offsetting contributions will be necessary to supplement the additional design measures. The estimated contribution is excluded from this estimate and will need to be added to the 'all-in' build cost rate as reported in this estimate, to determine the overall build cost rate to deliver (1) Zero Carbon homes and (2) True Zero Carbon homes.</w:t>
      </w:r>
    </w:p>
    <w:p w14:paraId="69A4134E" w14:textId="4902AED8" w:rsidR="00162EB3" w:rsidRPr="00D7281F" w:rsidRDefault="00960E72" w:rsidP="00162EB3">
      <w:pPr>
        <w:pStyle w:val="ListParagraph"/>
        <w:numPr>
          <w:ilvl w:val="0"/>
          <w:numId w:val="4"/>
        </w:numPr>
        <w:rPr>
          <w:rFonts w:ascii="FS Me Pro Light" w:hAnsi="FS Me Pro Light"/>
        </w:rPr>
      </w:pPr>
      <w:proofErr w:type="gramStart"/>
      <w:r w:rsidRPr="00D7281F">
        <w:rPr>
          <w:rFonts w:ascii="FS Me Pro Light" w:hAnsi="FS Me Pro Light"/>
        </w:rPr>
        <w:t>In order to</w:t>
      </w:r>
      <w:proofErr w:type="gramEnd"/>
      <w:r w:rsidRPr="00D7281F">
        <w:rPr>
          <w:rFonts w:ascii="FS Me Pro Light" w:hAnsi="FS Me Pro Light"/>
        </w:rPr>
        <w:t xml:space="preserve"> achieve the Future Homes Standard, the space heating and domestic hot water (DHW) strategy for all house types</w:t>
      </w:r>
      <w:r w:rsidR="00162EB3" w:rsidRPr="00D7281F">
        <w:rPr>
          <w:rFonts w:ascii="FS Me Pro Light" w:hAnsi="FS Me Pro Light"/>
        </w:rPr>
        <w:t xml:space="preserve"> </w:t>
      </w:r>
      <w:r w:rsidRPr="00D7281F">
        <w:rPr>
          <w:rFonts w:ascii="FS Me Pro Light" w:hAnsi="FS Me Pro Light"/>
        </w:rPr>
        <w:t>(detached, semi-detached, terraced) is to be delivered by individual Air Source Heat Pumps (ASHP). For the apartments, the</w:t>
      </w:r>
      <w:r w:rsidR="00162EB3" w:rsidRPr="00D7281F">
        <w:rPr>
          <w:rFonts w:ascii="FS Me Pro Light" w:hAnsi="FS Me Pro Light"/>
        </w:rPr>
        <w:t xml:space="preserve"> </w:t>
      </w:r>
      <w:r w:rsidRPr="00D7281F">
        <w:rPr>
          <w:rFonts w:ascii="FS Me Pro Light" w:hAnsi="FS Me Pro Light"/>
        </w:rPr>
        <w:t xml:space="preserve">strategy is to install smart night storage heaters (due to </w:t>
      </w:r>
      <w:r w:rsidR="00162EB3" w:rsidRPr="00D7281F">
        <w:rPr>
          <w:rFonts w:ascii="FS Me Pro Light" w:hAnsi="FS Me Pro Light"/>
        </w:rPr>
        <w:t>spatial</w:t>
      </w:r>
      <w:r w:rsidRPr="00D7281F">
        <w:rPr>
          <w:rFonts w:ascii="FS Me Pro Light" w:hAnsi="FS Me Pro Light"/>
        </w:rPr>
        <w:t xml:space="preserve"> constraints to these units). A separate cost exercise has been</w:t>
      </w:r>
      <w:r w:rsidR="00162EB3" w:rsidRPr="00D7281F">
        <w:rPr>
          <w:rFonts w:ascii="FS Me Pro Light" w:hAnsi="FS Me Pro Light"/>
        </w:rPr>
        <w:t xml:space="preserve"> </w:t>
      </w:r>
      <w:r w:rsidRPr="00D7281F">
        <w:rPr>
          <w:rFonts w:ascii="FS Me Pro Light" w:hAnsi="FS Me Pro Light"/>
        </w:rPr>
        <w:t xml:space="preserve">undertaken for the potential to connect to a centralised ASHP </w:t>
      </w:r>
      <w:r w:rsidR="00162EB3" w:rsidRPr="00D7281F">
        <w:rPr>
          <w:rFonts w:ascii="FS Me Pro Light" w:hAnsi="FS Me Pro Light"/>
        </w:rPr>
        <w:t>district</w:t>
      </w:r>
      <w:r w:rsidRPr="00D7281F">
        <w:rPr>
          <w:rFonts w:ascii="FS Me Pro Light" w:hAnsi="FS Me Pro Light"/>
        </w:rPr>
        <w:t xml:space="preserve"> heating system, but this option is not included in this</w:t>
      </w:r>
      <w:r w:rsidR="00162EB3" w:rsidRPr="00D7281F">
        <w:rPr>
          <w:rFonts w:ascii="FS Me Pro Light" w:hAnsi="FS Me Pro Light"/>
        </w:rPr>
        <w:t xml:space="preserve"> </w:t>
      </w:r>
      <w:r w:rsidRPr="00D7281F">
        <w:rPr>
          <w:rFonts w:ascii="FS Me Pro Light" w:hAnsi="FS Me Pro Light"/>
        </w:rPr>
        <w:t>estimate, which assumes a standalone strategy</w:t>
      </w:r>
      <w:r w:rsidR="00162EB3" w:rsidRPr="00D7281F">
        <w:rPr>
          <w:rFonts w:ascii="FS Me Pro Light" w:hAnsi="FS Me Pro Light"/>
        </w:rPr>
        <w:t>.</w:t>
      </w:r>
    </w:p>
    <w:p w14:paraId="7F7660AC" w14:textId="4274D563" w:rsidR="00162EB3" w:rsidRPr="00D7281F" w:rsidRDefault="00162EB3" w:rsidP="00162EB3">
      <w:pPr>
        <w:rPr>
          <w:rFonts w:ascii="FS Me Pro Light" w:hAnsi="FS Me Pro Light"/>
        </w:rPr>
      </w:pPr>
      <w:r w:rsidRPr="00D7281F">
        <w:rPr>
          <w:rFonts w:ascii="FS Me Pro Light" w:hAnsi="FS Me Pro Light"/>
        </w:rPr>
        <w:t xml:space="preserve">We note that this does not comply with the definition of true zero carbon as defined in the Policy Bicester 1 above. </w:t>
      </w:r>
      <w:r w:rsidR="00491BDC">
        <w:rPr>
          <w:rFonts w:ascii="FS Me Pro Light" w:hAnsi="FS Me Pro Light"/>
        </w:rPr>
        <w:t>The a</w:t>
      </w:r>
      <w:r w:rsidRPr="00D7281F">
        <w:rPr>
          <w:rFonts w:ascii="FS Me Pro Light" w:hAnsi="FS Me Pro Light"/>
        </w:rPr>
        <w:t xml:space="preserve">pplicant claims that achieving true zero carbon would harm viability and capacity to achieve other policy objectives on site. </w:t>
      </w:r>
    </w:p>
    <w:p w14:paraId="2CB0EF7A" w14:textId="4CA4E24A" w:rsidR="00162EB3" w:rsidRPr="00D7281F" w:rsidRDefault="00162EB3" w:rsidP="00162EB3">
      <w:pPr>
        <w:rPr>
          <w:rFonts w:ascii="FS Me Pro Light" w:hAnsi="FS Me Pro Light"/>
          <w:i/>
          <w:iCs/>
        </w:rPr>
      </w:pPr>
      <w:r w:rsidRPr="00D7281F">
        <w:rPr>
          <w:rFonts w:ascii="FS Me Pro Light" w:hAnsi="FS Me Pro Light"/>
          <w:i/>
          <w:iCs/>
        </w:rPr>
        <w:t>Bioregional make the following comments on the current design strategy:</w:t>
      </w:r>
    </w:p>
    <w:p w14:paraId="37E0E6C1" w14:textId="45A87EF4" w:rsidR="00162EB3" w:rsidRPr="00D7281F" w:rsidRDefault="00162EB3" w:rsidP="00162EB3">
      <w:pPr>
        <w:rPr>
          <w:rFonts w:ascii="FS Me Pro Light" w:hAnsi="FS Me Pro Light"/>
        </w:rPr>
      </w:pPr>
      <w:r w:rsidRPr="00D7281F">
        <w:rPr>
          <w:rFonts w:ascii="FS Me Pro Light" w:hAnsi="FS Me Pro Light"/>
        </w:rPr>
        <w:t>On heating system design:</w:t>
      </w:r>
    </w:p>
    <w:p w14:paraId="4123CFAA" w14:textId="344F5187" w:rsidR="00162EB3" w:rsidRPr="00D7281F" w:rsidRDefault="00162EB3" w:rsidP="00162EB3">
      <w:pPr>
        <w:pStyle w:val="ListParagraph"/>
        <w:numPr>
          <w:ilvl w:val="0"/>
          <w:numId w:val="5"/>
        </w:numPr>
        <w:rPr>
          <w:rFonts w:ascii="FS Me Pro Light" w:hAnsi="FS Me Pro Light"/>
        </w:rPr>
      </w:pPr>
      <w:r w:rsidRPr="00D7281F">
        <w:rPr>
          <w:rFonts w:ascii="FS Me Pro Light" w:hAnsi="FS Me Pro Light"/>
        </w:rPr>
        <w:t xml:space="preserve">Use of night storage heaters in apartment blocks significantly increases energy and carbon intensity of space heating provision. </w:t>
      </w:r>
    </w:p>
    <w:p w14:paraId="6F35ED29" w14:textId="1748EE44" w:rsidR="00162EB3" w:rsidRPr="00D7281F" w:rsidRDefault="00162EB3" w:rsidP="00162EB3">
      <w:pPr>
        <w:pStyle w:val="ListParagraph"/>
        <w:numPr>
          <w:ilvl w:val="0"/>
          <w:numId w:val="5"/>
        </w:numPr>
        <w:rPr>
          <w:rFonts w:ascii="FS Me Pro Light" w:hAnsi="FS Me Pro Light"/>
        </w:rPr>
      </w:pPr>
      <w:r w:rsidRPr="00D7281F">
        <w:rPr>
          <w:rFonts w:ascii="FS Me Pro Light" w:hAnsi="FS Me Pro Light"/>
        </w:rPr>
        <w:t xml:space="preserve">Immersion heaters for DHW provision significantly increases energy and carbon intensity of DHW </w:t>
      </w:r>
      <w:r w:rsidR="00491BDC" w:rsidRPr="00D7281F">
        <w:rPr>
          <w:rFonts w:ascii="FS Me Pro Light" w:hAnsi="FS Me Pro Light"/>
        </w:rPr>
        <w:t>provision.</w:t>
      </w:r>
    </w:p>
    <w:p w14:paraId="1E42FD32" w14:textId="6722E1C2" w:rsidR="00162EB3" w:rsidRPr="00D7281F" w:rsidRDefault="00162EB3" w:rsidP="00162EB3">
      <w:pPr>
        <w:pStyle w:val="ListParagraph"/>
        <w:numPr>
          <w:ilvl w:val="0"/>
          <w:numId w:val="5"/>
        </w:numPr>
        <w:rPr>
          <w:rFonts w:ascii="FS Me Pro Light" w:hAnsi="FS Me Pro Light"/>
        </w:rPr>
      </w:pPr>
      <w:r w:rsidRPr="00D7281F">
        <w:rPr>
          <w:rFonts w:ascii="FS Me Pro Light" w:hAnsi="FS Me Pro Light"/>
        </w:rPr>
        <w:t xml:space="preserve">Heat pumps typically achieve annual operational efficiencies (combined heating and hot-water) of over 3 (See: </w:t>
      </w:r>
      <w:hyperlink r:id="rId25" w:history="1">
        <w:r w:rsidRPr="00D7281F">
          <w:rPr>
            <w:rStyle w:val="Hyperlink"/>
            <w:rFonts w:ascii="FS Me Pro Light" w:hAnsi="FS Me Pro Light"/>
          </w:rPr>
          <w:t>BRE : Domestic Annual Heat Pump System Efficiency (DAHPSE) - Estimator - BETA (bregroup.com)</w:t>
        </w:r>
      </w:hyperlink>
      <w:r w:rsidRPr="00D7281F">
        <w:rPr>
          <w:rFonts w:ascii="FS Me Pro Light" w:hAnsi="FS Me Pro Light"/>
        </w:rPr>
        <w:t xml:space="preserve"> )</w:t>
      </w:r>
    </w:p>
    <w:p w14:paraId="425FC591" w14:textId="22BC502E" w:rsidR="001D4B3E" w:rsidRPr="001D4B3E" w:rsidRDefault="00383F70" w:rsidP="001D4B3E">
      <w:pPr>
        <w:pStyle w:val="ListParagraph"/>
        <w:numPr>
          <w:ilvl w:val="0"/>
          <w:numId w:val="5"/>
        </w:numPr>
        <w:rPr>
          <w:rFonts w:ascii="FS Me Pro Light" w:hAnsi="FS Me Pro Light"/>
        </w:rPr>
      </w:pPr>
      <w:r>
        <w:rPr>
          <w:rFonts w:ascii="FS Me Pro Light" w:hAnsi="FS Me Pro Light"/>
        </w:rPr>
        <w:t>The a</w:t>
      </w:r>
      <w:r w:rsidR="00EF2382" w:rsidRPr="001D4B3E">
        <w:rPr>
          <w:rFonts w:ascii="FS Me Pro Light" w:hAnsi="FS Me Pro Light"/>
        </w:rPr>
        <w:t>pplicant refers to FH</w:t>
      </w:r>
      <w:r w:rsidR="00B505FD">
        <w:rPr>
          <w:rFonts w:ascii="FS Me Pro Light" w:hAnsi="FS Me Pro Light"/>
        </w:rPr>
        <w:t>S</w:t>
      </w:r>
      <w:r w:rsidR="00EF2382" w:rsidRPr="001D4B3E">
        <w:rPr>
          <w:rFonts w:ascii="FS Me Pro Light" w:hAnsi="FS Me Pro Light"/>
        </w:rPr>
        <w:t xml:space="preserve"> specification as</w:t>
      </w:r>
      <w:r>
        <w:rPr>
          <w:rFonts w:ascii="FS Me Pro Light" w:hAnsi="FS Me Pro Light"/>
        </w:rPr>
        <w:t xml:space="preserve"> its</w:t>
      </w:r>
      <w:r w:rsidR="00EF2382" w:rsidRPr="001D4B3E">
        <w:rPr>
          <w:rFonts w:ascii="FS Me Pro Light" w:hAnsi="FS Me Pro Light"/>
        </w:rPr>
        <w:t xml:space="preserve"> core target. </w:t>
      </w:r>
      <w:r w:rsidR="001D4B3E" w:rsidRPr="001D4B3E">
        <w:rPr>
          <w:rFonts w:ascii="FS Me Pro Light" w:hAnsi="FS Me Pro Light"/>
        </w:rPr>
        <w:t>There is no formal spec</w:t>
      </w:r>
      <w:r w:rsidR="00B505FD">
        <w:rPr>
          <w:rFonts w:ascii="FS Me Pro Light" w:hAnsi="FS Me Pro Light"/>
        </w:rPr>
        <w:t>ification</w:t>
      </w:r>
      <w:r w:rsidR="001D4B3E" w:rsidRPr="001D4B3E">
        <w:rPr>
          <w:rFonts w:ascii="FS Me Pro Light" w:hAnsi="FS Me Pro Light"/>
        </w:rPr>
        <w:t xml:space="preserve"> for the FHS </w:t>
      </w:r>
      <w:r w:rsidRPr="001D4B3E">
        <w:rPr>
          <w:rFonts w:ascii="FS Me Pro Light" w:hAnsi="FS Me Pro Light"/>
        </w:rPr>
        <w:t>yet</w:t>
      </w:r>
      <w:r w:rsidR="001D4B3E" w:rsidRPr="001D4B3E">
        <w:rPr>
          <w:rFonts w:ascii="FS Me Pro Light" w:hAnsi="FS Me Pro Light"/>
        </w:rPr>
        <w:t>, and the current published notional specification is only indicative. However, within that specification, there is</w:t>
      </w:r>
      <w:r w:rsidR="00B505FD">
        <w:rPr>
          <w:rFonts w:ascii="FS Me Pro Light" w:hAnsi="FS Me Pro Light"/>
        </w:rPr>
        <w:t xml:space="preserve"> use of</w:t>
      </w:r>
      <w:r w:rsidR="001D4B3E" w:rsidRPr="001D4B3E">
        <w:rPr>
          <w:rFonts w:ascii="FS Me Pro Light" w:hAnsi="FS Me Pro Light"/>
        </w:rPr>
        <w:t xml:space="preserve"> a heat pump. Furthermore, the Future Homes Hub, </w:t>
      </w:r>
      <w:proofErr w:type="gramStart"/>
      <w:r w:rsidR="001D4B3E" w:rsidRPr="001D4B3E">
        <w:rPr>
          <w:rFonts w:ascii="FS Me Pro Light" w:hAnsi="FS Me Pro Light"/>
        </w:rPr>
        <w:t>all of</w:t>
      </w:r>
      <w:proofErr w:type="gramEnd"/>
      <w:r w:rsidR="001D4B3E" w:rsidRPr="001D4B3E">
        <w:rPr>
          <w:rFonts w:ascii="FS Me Pro Light" w:hAnsi="FS Me Pro Light"/>
        </w:rPr>
        <w:t xml:space="preserve"> the contender specifications contain a heat pump for space heating and DHW apart from one sub-proposal which recommended exploring radiant heating. This option wasn’t considered particularly viable. Electric storage heaters are mentioned in no FHS specifications and are not a valid element in a modern low-energy building, particularly in an eco-town such as this. </w:t>
      </w:r>
      <w:r>
        <w:rPr>
          <w:rFonts w:ascii="FS Me Pro Light" w:hAnsi="FS Me Pro Light"/>
        </w:rPr>
        <w:t>We feel that that</w:t>
      </w:r>
      <w:r w:rsidR="001D4B3E" w:rsidRPr="001D4B3E">
        <w:rPr>
          <w:rFonts w:ascii="FS Me Pro Light" w:hAnsi="FS Me Pro Light"/>
        </w:rPr>
        <w:t xml:space="preserve"> heat pumps for all dwellings </w:t>
      </w:r>
      <w:r>
        <w:rPr>
          <w:rFonts w:ascii="FS Me Pro Light" w:hAnsi="FS Me Pro Light"/>
        </w:rPr>
        <w:t xml:space="preserve">should be </w:t>
      </w:r>
      <w:r w:rsidR="001D4B3E" w:rsidRPr="001D4B3E">
        <w:rPr>
          <w:rFonts w:ascii="FS Me Pro Light" w:hAnsi="FS Me Pro Light"/>
        </w:rPr>
        <w:t>as standard.</w:t>
      </w:r>
    </w:p>
    <w:p w14:paraId="512DDCCC" w14:textId="446E9B4A" w:rsidR="00162EB3" w:rsidRDefault="001F58C8" w:rsidP="00162EB3">
      <w:pPr>
        <w:pStyle w:val="ListParagraph"/>
        <w:numPr>
          <w:ilvl w:val="0"/>
          <w:numId w:val="5"/>
        </w:numPr>
        <w:rPr>
          <w:rFonts w:ascii="FS Me Pro Light" w:hAnsi="FS Me Pro Light"/>
        </w:rPr>
      </w:pPr>
      <w:r>
        <w:rPr>
          <w:rFonts w:ascii="FS Me Pro Light" w:hAnsi="FS Me Pro Light"/>
        </w:rPr>
        <w:t>CIBSE AM16</w:t>
      </w:r>
      <w:r w:rsidR="007B4C07">
        <w:rPr>
          <w:rFonts w:ascii="FS Me Pro Light" w:hAnsi="FS Me Pro Light"/>
        </w:rPr>
        <w:t xml:space="preserve"> provides design guidance on heat pump installation in multi-residential buildings – very common solution in other parts of the </w:t>
      </w:r>
      <w:r w:rsidR="00B505FD">
        <w:rPr>
          <w:rFonts w:ascii="FS Me Pro Light" w:hAnsi="FS Me Pro Light"/>
        </w:rPr>
        <w:t>country.</w:t>
      </w:r>
    </w:p>
    <w:p w14:paraId="137C490B" w14:textId="4D1774CE" w:rsidR="0081300D" w:rsidRPr="0081300D" w:rsidRDefault="0081300D" w:rsidP="0081300D">
      <w:pPr>
        <w:pStyle w:val="ListParagraph"/>
        <w:numPr>
          <w:ilvl w:val="0"/>
          <w:numId w:val="5"/>
        </w:numPr>
        <w:rPr>
          <w:rFonts w:ascii="FS Me Pro Light" w:hAnsi="FS Me Pro Light"/>
        </w:rPr>
      </w:pPr>
      <w:r w:rsidRPr="0081300D">
        <w:rPr>
          <w:rFonts w:ascii="FS Me Pro Light" w:hAnsi="FS Me Pro Light"/>
        </w:rPr>
        <w:t>A more common solution in multi-residential buildings is for ASHP units on the roof, with a LTHW</w:t>
      </w:r>
      <w:r w:rsidRPr="0081300D">
        <w:footnoteReference w:id="2"/>
      </w:r>
      <w:r w:rsidRPr="0081300D">
        <w:rPr>
          <w:rFonts w:ascii="FS Me Pro Light" w:hAnsi="FS Me Pro Light"/>
        </w:rPr>
        <w:t xml:space="preserve"> distribution within the building feeding HIUs</w:t>
      </w:r>
      <w:r w:rsidRPr="0081300D">
        <w:footnoteReference w:id="3"/>
      </w:r>
      <w:r w:rsidRPr="0081300D">
        <w:rPr>
          <w:rFonts w:ascii="FS Me Pro Light" w:hAnsi="FS Me Pro Light"/>
        </w:rPr>
        <w:t xml:space="preserve"> at the unit level. In this solution, the flat can be laid out as per a system boiler, with no low temperature radiators or thermal storage. Rooftop ASHP would reduce the area available for solar PV, but this may be balanced by the 60-70% reduction in electricity needed to run ASHP compared to direct electric. Additionally, the residents will always gain the energy bill savings benefit of ASHP because it reduces their actual electricity use</w:t>
      </w:r>
      <w:r w:rsidR="00E70819">
        <w:rPr>
          <w:rFonts w:ascii="FS Me Pro Light" w:hAnsi="FS Me Pro Light"/>
        </w:rPr>
        <w:t>.</w:t>
      </w:r>
    </w:p>
    <w:p w14:paraId="220AF148" w14:textId="77777777" w:rsidR="0081300D" w:rsidRPr="0081300D" w:rsidRDefault="0081300D" w:rsidP="0081300D">
      <w:pPr>
        <w:pStyle w:val="ListParagraph"/>
        <w:numPr>
          <w:ilvl w:val="0"/>
          <w:numId w:val="5"/>
        </w:numPr>
        <w:rPr>
          <w:rFonts w:ascii="FS Me Pro Light" w:hAnsi="FS Me Pro Light"/>
        </w:rPr>
      </w:pPr>
      <w:r w:rsidRPr="0081300D">
        <w:rPr>
          <w:rFonts w:ascii="FS Me Pro Light" w:hAnsi="FS Me Pro Light"/>
        </w:rPr>
        <w:t>Please see CIBSE AM16 for an overview of heat-pump installation approaches within multi-residential buildings</w:t>
      </w:r>
    </w:p>
    <w:p w14:paraId="2D7242E0" w14:textId="45B155F4" w:rsidR="0081300D" w:rsidRPr="00E70819" w:rsidRDefault="00E70819" w:rsidP="00E70819">
      <w:pPr>
        <w:pStyle w:val="ListParagraph"/>
        <w:numPr>
          <w:ilvl w:val="0"/>
          <w:numId w:val="5"/>
        </w:numPr>
        <w:rPr>
          <w:rFonts w:ascii="FS Me Pro Light" w:hAnsi="FS Me Pro Light"/>
        </w:rPr>
      </w:pPr>
      <w:r>
        <w:rPr>
          <w:rFonts w:ascii="FS Me Pro Light" w:hAnsi="FS Me Pro Light"/>
        </w:rPr>
        <w:t>In addition, t</w:t>
      </w:r>
      <w:r w:rsidR="0081300D" w:rsidRPr="0081300D">
        <w:rPr>
          <w:rFonts w:ascii="FS Me Pro Light" w:hAnsi="FS Me Pro Light"/>
        </w:rPr>
        <w:t xml:space="preserve">he </w:t>
      </w:r>
      <w:proofErr w:type="gramStart"/>
      <w:r w:rsidR="0081300D" w:rsidRPr="0081300D">
        <w:rPr>
          <w:rFonts w:ascii="FS Me Pro Light" w:hAnsi="FS Me Pro Light"/>
        </w:rPr>
        <w:t>life-cycle</w:t>
      </w:r>
      <w:proofErr w:type="gramEnd"/>
      <w:r w:rsidR="0081300D" w:rsidRPr="0081300D">
        <w:rPr>
          <w:rFonts w:ascii="FS Me Pro Light" w:hAnsi="FS Me Pro Light"/>
        </w:rPr>
        <w:t xml:space="preserve"> impacts of a heat-pump are vastly less than any other technology, due to the high efficiency and significant reductions in life-time operational energy use</w:t>
      </w:r>
    </w:p>
    <w:p w14:paraId="1DA521E8" w14:textId="073CBA63" w:rsidR="00162EB3" w:rsidRDefault="00F93571" w:rsidP="00162EB3">
      <w:pPr>
        <w:pStyle w:val="ListParagraph"/>
        <w:numPr>
          <w:ilvl w:val="0"/>
          <w:numId w:val="5"/>
        </w:numPr>
        <w:rPr>
          <w:rFonts w:ascii="FS Me Pro Light" w:hAnsi="FS Me Pro Light"/>
        </w:rPr>
      </w:pPr>
      <w:r>
        <w:rPr>
          <w:rFonts w:ascii="FS Me Pro Light" w:hAnsi="FS Me Pro Light"/>
        </w:rPr>
        <w:t xml:space="preserve">Changing heating strategy would </w:t>
      </w:r>
      <w:r w:rsidR="00BD6E66">
        <w:rPr>
          <w:rFonts w:ascii="FS Me Pro Light" w:hAnsi="FS Me Pro Light"/>
        </w:rPr>
        <w:t xml:space="preserve">make it significantly easier for </w:t>
      </w:r>
      <w:r w:rsidR="00EF2382">
        <w:rPr>
          <w:rFonts w:ascii="FS Me Pro Light" w:hAnsi="FS Me Pro Light"/>
        </w:rPr>
        <w:t xml:space="preserve">applicant to achieve on-site zero carbon </w:t>
      </w:r>
      <w:r w:rsidR="00B505FD">
        <w:rPr>
          <w:rFonts w:ascii="FS Me Pro Light" w:hAnsi="FS Me Pro Light"/>
        </w:rPr>
        <w:t>balance.</w:t>
      </w:r>
    </w:p>
    <w:p w14:paraId="70F225D6" w14:textId="1B49CF01" w:rsidR="00A9642B" w:rsidRPr="00A9642B" w:rsidRDefault="00A9642B" w:rsidP="00A9642B">
      <w:pPr>
        <w:pStyle w:val="ListParagraph"/>
        <w:numPr>
          <w:ilvl w:val="0"/>
          <w:numId w:val="5"/>
        </w:numPr>
        <w:rPr>
          <w:rFonts w:ascii="FS Me Pro Light" w:hAnsi="FS Me Pro Light"/>
        </w:rPr>
      </w:pPr>
      <w:r w:rsidRPr="00A9642B">
        <w:rPr>
          <w:rFonts w:ascii="FS Me Pro Light" w:hAnsi="FS Me Pro Light"/>
        </w:rPr>
        <w:t>Further note that utilisation of ASHP/heat-pumps in all dwellings</w:t>
      </w:r>
      <w:r>
        <w:rPr>
          <w:rFonts w:ascii="FS Me Pro Light" w:hAnsi="FS Me Pro Light"/>
        </w:rPr>
        <w:t>/flats</w:t>
      </w:r>
      <w:r w:rsidRPr="00A9642B">
        <w:rPr>
          <w:rFonts w:ascii="FS Me Pro Light" w:hAnsi="FS Me Pro Light"/>
        </w:rPr>
        <w:t xml:space="preserve"> would reduce peak electricity demand significantly, thereby potentially reducing the current connection costs quoted by SSE – current cost of £713,573.</w:t>
      </w:r>
    </w:p>
    <w:p w14:paraId="13FA8D66" w14:textId="6B2D6241" w:rsidR="00CC48F3" w:rsidRPr="00CC48F3" w:rsidRDefault="00546D38" w:rsidP="00CC48F3">
      <w:pPr>
        <w:rPr>
          <w:rFonts w:ascii="FS Me Pro Light" w:hAnsi="FS Me Pro Light"/>
        </w:rPr>
      </w:pPr>
      <w:r>
        <w:rPr>
          <w:rFonts w:ascii="FS Me Pro Light" w:hAnsi="FS Me Pro Light"/>
        </w:rPr>
        <w:t>On Design options:</w:t>
      </w:r>
    </w:p>
    <w:p w14:paraId="18D4BA89" w14:textId="59ED52F4" w:rsidR="00546D38" w:rsidRPr="00546D38" w:rsidRDefault="006732ED" w:rsidP="00546D38">
      <w:pPr>
        <w:pStyle w:val="ListParagraph"/>
        <w:numPr>
          <w:ilvl w:val="0"/>
          <w:numId w:val="7"/>
        </w:numPr>
        <w:rPr>
          <w:rFonts w:ascii="FS Me Pro Light" w:hAnsi="FS Me Pro Light"/>
        </w:rPr>
      </w:pPr>
      <w:r>
        <w:rPr>
          <w:rFonts w:ascii="FS Me Pro Light" w:hAnsi="FS Me Pro Light"/>
        </w:rPr>
        <w:t xml:space="preserve">Rainwater harvesting included as a measure at </w:t>
      </w:r>
      <w:r w:rsidR="003F0D3F">
        <w:rPr>
          <w:rFonts w:ascii="FS Me Pro Light" w:hAnsi="FS Me Pro Light"/>
        </w:rPr>
        <w:t>£</w:t>
      </w:r>
      <w:r w:rsidR="00B66E0E">
        <w:rPr>
          <w:rFonts w:ascii="FS Me Pro Light" w:hAnsi="FS Me Pro Light"/>
        </w:rPr>
        <w:t>4,710 cost addition per dwelling</w:t>
      </w:r>
      <w:r w:rsidR="001E0424">
        <w:rPr>
          <w:rFonts w:ascii="FS Me Pro Light" w:hAnsi="FS Me Pro Light"/>
        </w:rPr>
        <w:t>, £4,004 per flat</w:t>
      </w:r>
      <w:r w:rsidR="00814697">
        <w:rPr>
          <w:rFonts w:ascii="FS Me Pro Light" w:hAnsi="FS Me Pro Light"/>
        </w:rPr>
        <w:t xml:space="preserve"> (approx. £</w:t>
      </w:r>
      <w:r w:rsidR="004D4CA0">
        <w:rPr>
          <w:rFonts w:ascii="FS Me Pro Light" w:hAnsi="FS Me Pro Light"/>
        </w:rPr>
        <w:t>5-6/ft</w:t>
      </w:r>
      <w:r w:rsidR="004D4CA0">
        <w:rPr>
          <w:rFonts w:ascii="FS Me Pro Light" w:hAnsi="FS Me Pro Light"/>
          <w:vertAlign w:val="superscript"/>
        </w:rPr>
        <w:t>2</w:t>
      </w:r>
      <w:r w:rsidR="004D4CA0">
        <w:rPr>
          <w:rFonts w:ascii="FS Me Pro Light" w:hAnsi="FS Me Pro Light"/>
        </w:rPr>
        <w:t>GIA uplift, which is aro</w:t>
      </w:r>
      <w:r w:rsidR="004D4CA0">
        <w:rPr>
          <w:rFonts w:ascii="FS Me Pro Light" w:hAnsi="FS Me Pro Light"/>
        </w:rPr>
        <w:t>und</w:t>
      </w:r>
      <w:r w:rsidR="004D4CA0">
        <w:rPr>
          <w:rFonts w:ascii="FS Me Pro Light" w:hAnsi="FS Me Pro Light"/>
        </w:rPr>
        <w:t xml:space="preserve"> </w:t>
      </w:r>
      <w:r w:rsidR="000F6253">
        <w:rPr>
          <w:rFonts w:ascii="FS Me Pro Light" w:hAnsi="FS Me Pro Light"/>
        </w:rPr>
        <w:t>5% build cost</w:t>
      </w:r>
      <w:r w:rsidR="00B76EB4">
        <w:rPr>
          <w:rFonts w:ascii="FS Me Pro Light" w:hAnsi="FS Me Pro Light"/>
        </w:rPr>
        <w:t xml:space="preserve"> uplift</w:t>
      </w:r>
      <w:r w:rsidR="000F6253">
        <w:rPr>
          <w:rFonts w:ascii="FS Me Pro Light" w:hAnsi="FS Me Pro Light"/>
        </w:rPr>
        <w:t>)</w:t>
      </w:r>
    </w:p>
    <w:p w14:paraId="263DA001" w14:textId="12CB6E0D" w:rsidR="001E0424" w:rsidRDefault="001E0424" w:rsidP="001E0424">
      <w:pPr>
        <w:pStyle w:val="ListParagraph"/>
        <w:numPr>
          <w:ilvl w:val="0"/>
          <w:numId w:val="7"/>
        </w:numPr>
        <w:rPr>
          <w:rFonts w:ascii="FS Me Pro Light" w:hAnsi="FS Me Pro Light"/>
        </w:rPr>
      </w:pPr>
      <w:r>
        <w:rPr>
          <w:rFonts w:ascii="FS Me Pro Light" w:hAnsi="FS Me Pro Light"/>
        </w:rPr>
        <w:t>Greywater harvesting included as a measure at £6,810 cost addition per dwelling, £5,789 per flat</w:t>
      </w:r>
      <w:r w:rsidR="000F6253">
        <w:rPr>
          <w:rFonts w:ascii="FS Me Pro Light" w:hAnsi="FS Me Pro Light"/>
        </w:rPr>
        <w:t xml:space="preserve"> (approx.  </w:t>
      </w:r>
      <w:r w:rsidR="0053496F">
        <w:rPr>
          <w:rFonts w:ascii="FS Me Pro Light" w:hAnsi="FS Me Pro Light"/>
        </w:rPr>
        <w:t>£</w:t>
      </w:r>
      <w:r w:rsidR="00840A30">
        <w:rPr>
          <w:rFonts w:ascii="FS Me Pro Light" w:hAnsi="FS Me Pro Light"/>
        </w:rPr>
        <w:t>7-8/ft</w:t>
      </w:r>
      <w:r w:rsidR="00840A30">
        <w:rPr>
          <w:rFonts w:ascii="FS Me Pro Light" w:hAnsi="FS Me Pro Light"/>
          <w:vertAlign w:val="superscript"/>
        </w:rPr>
        <w:t>2</w:t>
      </w:r>
      <w:r w:rsidR="00840A30">
        <w:rPr>
          <w:rFonts w:ascii="FS Me Pro Light" w:hAnsi="FS Me Pro Light"/>
        </w:rPr>
        <w:t xml:space="preserve">GIA uplift, around </w:t>
      </w:r>
      <w:r w:rsidR="006C2F5F">
        <w:rPr>
          <w:rFonts w:ascii="FS Me Pro Light" w:hAnsi="FS Me Pro Light"/>
        </w:rPr>
        <w:t>6% build cost</w:t>
      </w:r>
      <w:r w:rsidR="00B76EB4">
        <w:rPr>
          <w:rFonts w:ascii="FS Me Pro Light" w:hAnsi="FS Me Pro Light"/>
        </w:rPr>
        <w:t xml:space="preserve"> uplift</w:t>
      </w:r>
      <w:r w:rsidR="006C2F5F">
        <w:rPr>
          <w:rFonts w:ascii="FS Me Pro Light" w:hAnsi="FS Me Pro Light"/>
        </w:rPr>
        <w:t>)</w:t>
      </w:r>
    </w:p>
    <w:p w14:paraId="35E2429A" w14:textId="457F7F38" w:rsidR="001E0424" w:rsidRPr="00546D38" w:rsidRDefault="00DF63D4" w:rsidP="00546D38">
      <w:pPr>
        <w:pStyle w:val="ListParagraph"/>
        <w:numPr>
          <w:ilvl w:val="0"/>
          <w:numId w:val="7"/>
        </w:numPr>
        <w:rPr>
          <w:rFonts w:ascii="FS Me Pro Light" w:hAnsi="FS Me Pro Light"/>
        </w:rPr>
      </w:pPr>
      <w:r>
        <w:rPr>
          <w:rFonts w:ascii="FS Me Pro Light" w:hAnsi="FS Me Pro Light"/>
        </w:rPr>
        <w:t>Future home spec is estimated at a £21</w:t>
      </w:r>
      <w:r w:rsidR="006330BF">
        <w:rPr>
          <w:rFonts w:ascii="FS Me Pro Light" w:hAnsi="FS Me Pro Light"/>
        </w:rPr>
        <w:t>/ft</w:t>
      </w:r>
      <w:r w:rsidR="006330BF">
        <w:rPr>
          <w:rFonts w:ascii="FS Me Pro Light" w:hAnsi="FS Me Pro Light"/>
          <w:vertAlign w:val="superscript"/>
        </w:rPr>
        <w:t>2</w:t>
      </w:r>
      <w:r w:rsidR="006330BF">
        <w:rPr>
          <w:rFonts w:ascii="FS Me Pro Light" w:hAnsi="FS Me Pro Light"/>
        </w:rPr>
        <w:t xml:space="preserve"> uplift per </w:t>
      </w:r>
      <w:r w:rsidR="00977E04">
        <w:rPr>
          <w:rFonts w:ascii="FS Me Pro Light" w:hAnsi="FS Me Pro Light"/>
        </w:rPr>
        <w:t xml:space="preserve">dwelling, which is around </w:t>
      </w:r>
      <w:r w:rsidR="00700229">
        <w:rPr>
          <w:rFonts w:ascii="FS Me Pro Light" w:hAnsi="FS Me Pro Light"/>
        </w:rPr>
        <w:t>18% build cost uplift.</w:t>
      </w:r>
    </w:p>
    <w:p w14:paraId="0A05AEF6" w14:textId="5C6BDEDF" w:rsidR="00A9642B" w:rsidRPr="00A9642B" w:rsidRDefault="00A9642B" w:rsidP="00A9642B">
      <w:pPr>
        <w:pStyle w:val="ListParagraph"/>
        <w:numPr>
          <w:ilvl w:val="0"/>
          <w:numId w:val="7"/>
        </w:numPr>
        <w:rPr>
          <w:rFonts w:ascii="FS Me Pro Light" w:hAnsi="FS Me Pro Light"/>
        </w:rPr>
      </w:pPr>
      <w:r>
        <w:rPr>
          <w:rFonts w:ascii="FS Me Pro Light" w:hAnsi="FS Me Pro Light"/>
        </w:rPr>
        <w:t xml:space="preserve">Over-all uplift estimated by applicant at 34% of build cost – significantly greater (3x) than the policy cost estimates for true net zero in central Lincolnshire – which is </w:t>
      </w:r>
      <w:r w:rsidR="00A56984">
        <w:rPr>
          <w:rFonts w:ascii="FS Me Pro Light" w:hAnsi="FS Me Pro Light"/>
        </w:rPr>
        <w:t>more stringent than FHS spec suggested by applicant.</w:t>
      </w:r>
      <w:r w:rsidR="00A569F0">
        <w:rPr>
          <w:rFonts w:ascii="FS Me Pro Light" w:hAnsi="FS Me Pro Light"/>
        </w:rPr>
        <w:t xml:space="preserve"> </w:t>
      </w:r>
    </w:p>
    <w:p w14:paraId="0E5756E7" w14:textId="2CC91687" w:rsidR="00A56984" w:rsidRPr="00A9642B" w:rsidRDefault="00A56984" w:rsidP="00A9642B">
      <w:pPr>
        <w:pStyle w:val="ListParagraph"/>
        <w:numPr>
          <w:ilvl w:val="0"/>
          <w:numId w:val="7"/>
        </w:numPr>
        <w:rPr>
          <w:rFonts w:ascii="FS Me Pro Light" w:hAnsi="FS Me Pro Light"/>
        </w:rPr>
      </w:pPr>
      <w:r>
        <w:rPr>
          <w:rFonts w:ascii="FS Me Pro Light" w:hAnsi="FS Me Pro Light"/>
        </w:rPr>
        <w:t xml:space="preserve">Applicant claims night storage heaters are cost neutral compared to gas boilers. This doesn’t reflect the likely cost saving of omitting gas connections, gas meters, wet system pipework etc. </w:t>
      </w:r>
      <w:r w:rsidR="00F92F9E">
        <w:rPr>
          <w:rFonts w:ascii="FS Me Pro Light" w:hAnsi="FS Me Pro Light"/>
        </w:rPr>
        <w:t>Cost savings not adequately accounted for.</w:t>
      </w:r>
    </w:p>
    <w:p w14:paraId="67AA4103" w14:textId="0D6906BD" w:rsidR="00F92F9E" w:rsidRDefault="00F92F9E" w:rsidP="00F92F9E">
      <w:pPr>
        <w:rPr>
          <w:rFonts w:ascii="FS Me Pro Light" w:hAnsi="FS Me Pro Light"/>
        </w:rPr>
      </w:pPr>
      <w:r>
        <w:rPr>
          <w:rFonts w:ascii="FS Me Pro Light" w:hAnsi="FS Me Pro Light"/>
        </w:rPr>
        <w:t xml:space="preserve">Based on the current design, </w:t>
      </w:r>
      <w:r w:rsidR="005C1AAD">
        <w:rPr>
          <w:rFonts w:ascii="FS Me Pro Light" w:hAnsi="FS Me Pro Light"/>
        </w:rPr>
        <w:t xml:space="preserve">we suggest </w:t>
      </w:r>
      <w:r>
        <w:rPr>
          <w:rFonts w:ascii="FS Me Pro Light" w:hAnsi="FS Me Pro Light"/>
        </w:rPr>
        <w:t xml:space="preserve">redirecting the greywater recycling investment into </w:t>
      </w:r>
      <w:r w:rsidR="005C1AAD">
        <w:rPr>
          <w:rFonts w:ascii="FS Me Pro Light" w:hAnsi="FS Me Pro Light"/>
        </w:rPr>
        <w:t xml:space="preserve">further </w:t>
      </w:r>
      <w:r>
        <w:rPr>
          <w:rFonts w:ascii="FS Me Pro Light" w:hAnsi="FS Me Pro Light"/>
        </w:rPr>
        <w:t>energy efficiency</w:t>
      </w:r>
      <w:r w:rsidR="005C1AAD">
        <w:rPr>
          <w:rFonts w:ascii="FS Me Pro Light" w:hAnsi="FS Me Pro Light"/>
        </w:rPr>
        <w:t xml:space="preserve"> measures. Whilst greywater recycling is a </w:t>
      </w:r>
      <w:r w:rsidR="00A569F0">
        <w:rPr>
          <w:rFonts w:ascii="FS Me Pro Light" w:hAnsi="FS Me Pro Light"/>
        </w:rPr>
        <w:t>positive</w:t>
      </w:r>
      <w:r w:rsidR="005C1AAD">
        <w:rPr>
          <w:rFonts w:ascii="FS Me Pro Light" w:hAnsi="FS Me Pro Light"/>
        </w:rPr>
        <w:t xml:space="preserve"> step to take into terms of reducing water consumption, </w:t>
      </w:r>
      <w:r w:rsidR="00D8615E">
        <w:rPr>
          <w:rFonts w:ascii="FS Me Pro Light" w:hAnsi="FS Me Pro Light"/>
        </w:rPr>
        <w:t xml:space="preserve">it would not directly reduce energy use within the dwellings. This re-directing of </w:t>
      </w:r>
      <w:r w:rsidR="00A569F0">
        <w:rPr>
          <w:rFonts w:ascii="FS Me Pro Light" w:hAnsi="FS Me Pro Light"/>
        </w:rPr>
        <w:t>this element could</w:t>
      </w:r>
      <w:r>
        <w:rPr>
          <w:rFonts w:ascii="FS Me Pro Light" w:hAnsi="FS Me Pro Light"/>
        </w:rPr>
        <w:t xml:space="preserve"> </w:t>
      </w:r>
      <w:r w:rsidR="00A569F0">
        <w:rPr>
          <w:rFonts w:ascii="FS Me Pro Light" w:hAnsi="FS Me Pro Light"/>
        </w:rPr>
        <w:t xml:space="preserve">contribute towards the </w:t>
      </w:r>
      <w:r>
        <w:rPr>
          <w:rFonts w:ascii="FS Me Pro Light" w:hAnsi="FS Me Pro Light"/>
        </w:rPr>
        <w:t>following:</w:t>
      </w:r>
    </w:p>
    <w:p w14:paraId="6D5DB407" w14:textId="69D16BF0" w:rsidR="00F92F9E" w:rsidRDefault="005C1AAD" w:rsidP="00F92F9E">
      <w:pPr>
        <w:pStyle w:val="ListParagraph"/>
        <w:numPr>
          <w:ilvl w:val="0"/>
          <w:numId w:val="9"/>
        </w:numPr>
        <w:rPr>
          <w:rFonts w:ascii="FS Me Pro Light" w:hAnsi="FS Me Pro Light"/>
        </w:rPr>
      </w:pPr>
      <w:r>
        <w:rPr>
          <w:rFonts w:ascii="FS Me Pro Light" w:hAnsi="FS Me Pro Light"/>
        </w:rPr>
        <w:t xml:space="preserve">Incorporation of </w:t>
      </w:r>
      <w:r w:rsidRPr="00F92F9E">
        <w:rPr>
          <w:rFonts w:ascii="FS Me Pro Light" w:hAnsi="FS Me Pro Light"/>
        </w:rPr>
        <w:t>M</w:t>
      </w:r>
      <w:r>
        <w:rPr>
          <w:rFonts w:ascii="FS Me Pro Light" w:hAnsi="FS Me Pro Light"/>
        </w:rPr>
        <w:t xml:space="preserve">echanical </w:t>
      </w:r>
      <w:r w:rsidRPr="00F92F9E">
        <w:rPr>
          <w:rFonts w:ascii="FS Me Pro Light" w:hAnsi="FS Me Pro Light"/>
        </w:rPr>
        <w:t>V</w:t>
      </w:r>
      <w:r>
        <w:rPr>
          <w:rFonts w:ascii="FS Me Pro Light" w:hAnsi="FS Me Pro Light"/>
        </w:rPr>
        <w:t xml:space="preserve">entilation and </w:t>
      </w:r>
      <w:r w:rsidR="00F92F9E" w:rsidRPr="00F92F9E">
        <w:rPr>
          <w:rFonts w:ascii="FS Me Pro Light" w:hAnsi="FS Me Pro Light"/>
        </w:rPr>
        <w:t>H</w:t>
      </w:r>
      <w:r>
        <w:rPr>
          <w:rFonts w:ascii="FS Me Pro Light" w:hAnsi="FS Me Pro Light"/>
        </w:rPr>
        <w:t xml:space="preserve">eat </w:t>
      </w:r>
      <w:r w:rsidR="00F92F9E" w:rsidRPr="00F92F9E">
        <w:rPr>
          <w:rFonts w:ascii="FS Me Pro Light" w:hAnsi="FS Me Pro Light"/>
        </w:rPr>
        <w:t>R</w:t>
      </w:r>
      <w:r>
        <w:rPr>
          <w:rFonts w:ascii="FS Me Pro Light" w:hAnsi="FS Me Pro Light"/>
        </w:rPr>
        <w:t>ecovery</w:t>
      </w:r>
      <w:r w:rsidR="00F92F9E" w:rsidRPr="00F92F9E">
        <w:rPr>
          <w:rFonts w:ascii="FS Me Pro Light" w:hAnsi="FS Me Pro Light"/>
        </w:rPr>
        <w:t xml:space="preserve"> for all dwellings</w:t>
      </w:r>
      <w:r>
        <w:rPr>
          <w:rFonts w:ascii="FS Me Pro Light" w:hAnsi="FS Me Pro Light"/>
        </w:rPr>
        <w:t>. Estimate cost of</w:t>
      </w:r>
      <w:r w:rsidR="00F92F9E" w:rsidRPr="00F92F9E">
        <w:rPr>
          <w:rFonts w:ascii="FS Me Pro Light" w:hAnsi="FS Me Pro Light"/>
        </w:rPr>
        <w:t xml:space="preserve"> £2</w:t>
      </w:r>
      <w:r w:rsidR="00274AA9">
        <w:rPr>
          <w:rFonts w:ascii="FS Me Pro Light" w:hAnsi="FS Me Pro Light"/>
        </w:rPr>
        <w:t>,000</w:t>
      </w:r>
      <w:r w:rsidR="00F92F9E" w:rsidRPr="00F92F9E">
        <w:rPr>
          <w:rFonts w:ascii="FS Me Pro Light" w:hAnsi="FS Me Pro Light"/>
        </w:rPr>
        <w:t xml:space="preserve"> per dwelling</w:t>
      </w:r>
    </w:p>
    <w:p w14:paraId="1A612E3B" w14:textId="666FE1C5" w:rsidR="00F92F9E" w:rsidRDefault="00F92F9E" w:rsidP="00F92F9E">
      <w:pPr>
        <w:pStyle w:val="ListParagraph"/>
        <w:numPr>
          <w:ilvl w:val="0"/>
          <w:numId w:val="9"/>
        </w:numPr>
        <w:rPr>
          <w:rFonts w:ascii="FS Me Pro Light" w:hAnsi="FS Me Pro Light"/>
        </w:rPr>
      </w:pPr>
      <w:r>
        <w:rPr>
          <w:rFonts w:ascii="FS Me Pro Light" w:hAnsi="FS Me Pro Light"/>
        </w:rPr>
        <w:t>ASHP installations for the flat</w:t>
      </w:r>
      <w:r w:rsidR="00A569F0">
        <w:rPr>
          <w:rFonts w:ascii="FS Me Pro Light" w:hAnsi="FS Me Pro Light"/>
        </w:rPr>
        <w:t>ted</w:t>
      </w:r>
      <w:r>
        <w:rPr>
          <w:rFonts w:ascii="FS Me Pro Light" w:hAnsi="FS Me Pro Light"/>
        </w:rPr>
        <w:t xml:space="preserve"> </w:t>
      </w:r>
      <w:r w:rsidR="00A569F0">
        <w:rPr>
          <w:rFonts w:ascii="FS Me Pro Light" w:hAnsi="FS Me Pro Light"/>
        </w:rPr>
        <w:t>units</w:t>
      </w:r>
    </w:p>
    <w:p w14:paraId="2F4F513D" w14:textId="440B1A73" w:rsidR="00A569F0" w:rsidRDefault="00A569F0" w:rsidP="00F92F9E">
      <w:pPr>
        <w:pStyle w:val="ListParagraph"/>
        <w:numPr>
          <w:ilvl w:val="0"/>
          <w:numId w:val="9"/>
        </w:numPr>
        <w:rPr>
          <w:rFonts w:ascii="FS Me Pro Light" w:hAnsi="FS Me Pro Light"/>
        </w:rPr>
      </w:pPr>
      <w:r>
        <w:rPr>
          <w:rFonts w:ascii="FS Me Pro Light" w:hAnsi="FS Me Pro Light"/>
        </w:rPr>
        <w:t xml:space="preserve">Increase of building fabric specification to increase energy performance. </w:t>
      </w:r>
    </w:p>
    <w:p w14:paraId="3B4D0926" w14:textId="0BEE3AE5" w:rsidR="00F92F9E" w:rsidRPr="00F92F9E" w:rsidRDefault="006A247D" w:rsidP="00F92F9E">
      <w:pPr>
        <w:pStyle w:val="ListParagraph"/>
        <w:numPr>
          <w:ilvl w:val="0"/>
          <w:numId w:val="9"/>
        </w:numPr>
        <w:rPr>
          <w:rFonts w:ascii="FS Me Pro Light" w:hAnsi="FS Me Pro Light"/>
        </w:rPr>
      </w:pPr>
      <w:r>
        <w:rPr>
          <w:rFonts w:ascii="FS Me Pro Light" w:hAnsi="FS Me Pro Light"/>
        </w:rPr>
        <w:t xml:space="preserve">Possible expansion of </w:t>
      </w:r>
      <w:r w:rsidR="00EE57F2">
        <w:rPr>
          <w:rFonts w:ascii="FS Me Pro Light" w:hAnsi="FS Me Pro Light"/>
        </w:rPr>
        <w:t>PV array provision</w:t>
      </w:r>
      <w:r w:rsidR="00A569F0">
        <w:rPr>
          <w:rFonts w:ascii="FS Me Pro Light" w:hAnsi="FS Me Pro Light"/>
        </w:rPr>
        <w:t xml:space="preserve"> on dwellings</w:t>
      </w:r>
      <w:r w:rsidR="00EE57F2">
        <w:rPr>
          <w:rFonts w:ascii="FS Me Pro Light" w:hAnsi="FS Me Pro Light"/>
        </w:rPr>
        <w:t xml:space="preserve">, at a cost of </w:t>
      </w:r>
      <w:r w:rsidR="00A569F0">
        <w:rPr>
          <w:rFonts w:ascii="FS Me Pro Light" w:hAnsi="FS Me Pro Light"/>
        </w:rPr>
        <w:t>c.</w:t>
      </w:r>
      <w:r w:rsidR="00EE57F2">
        <w:rPr>
          <w:rFonts w:ascii="FS Me Pro Light" w:hAnsi="FS Me Pro Light"/>
        </w:rPr>
        <w:t>£1k/kW of extra provision</w:t>
      </w:r>
    </w:p>
    <w:p w14:paraId="67A60493" w14:textId="77777777" w:rsidR="00EE57F2" w:rsidRPr="00EE57F2" w:rsidRDefault="00EE57F2" w:rsidP="00EE57F2">
      <w:pPr>
        <w:rPr>
          <w:rFonts w:ascii="FS Me Pro Light" w:hAnsi="FS Me Pro Light"/>
        </w:rPr>
      </w:pPr>
    </w:p>
    <w:p w14:paraId="2EF8FFAF" w14:textId="77777777" w:rsidR="00B27718" w:rsidRPr="00D2268B" w:rsidRDefault="00B27718" w:rsidP="00D2268B">
      <w:pPr>
        <w:rPr>
          <w:rFonts w:ascii="FS Me Pro Light" w:hAnsi="FS Me Pro Light"/>
        </w:rPr>
      </w:pPr>
    </w:p>
    <w:p w14:paraId="78AD4D6E" w14:textId="77777777" w:rsidR="00162EB3" w:rsidRPr="00D7281F" w:rsidRDefault="00162EB3" w:rsidP="00EF2382">
      <w:pPr>
        <w:rPr>
          <w:rFonts w:ascii="FS Me Pro Light" w:hAnsi="FS Me Pro Light"/>
        </w:rPr>
      </w:pPr>
    </w:p>
    <w:sectPr w:rsidR="00162EB3" w:rsidRPr="00D7281F" w:rsidSect="0003062A">
      <w:headerReference w:type="default" r:id="rId26"/>
      <w:footerReference w:type="default" r:id="rId27"/>
      <w:pgSz w:w="11906" w:h="16838"/>
      <w:pgMar w:top="2977"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wis Knight" w:date="2023-05-03T12:55:00Z" w:initials="LK">
    <w:p w14:paraId="68892A1C" w14:textId="6863FDD7" w:rsidR="005433CB" w:rsidRDefault="005433CB" w:rsidP="00843273">
      <w:pPr>
        <w:pStyle w:val="CommentText"/>
      </w:pPr>
      <w:r>
        <w:rPr>
          <w:rStyle w:val="CommentReference"/>
        </w:rPr>
        <w:annotationRef/>
      </w:r>
      <w:r>
        <w:fldChar w:fldCharType="begin"/>
      </w:r>
      <w:r>
        <w:instrText xml:space="preserve"> HYPERLINK "mailto:alex.mccann@bioregional.com" </w:instrText>
      </w:r>
      <w:bookmarkStart w:id="1" w:name="_@_CC4559D77E29483390A0015A44AA9858Z"/>
      <w:r>
        <w:fldChar w:fldCharType="separate"/>
      </w:r>
      <w:bookmarkEnd w:id="1"/>
      <w:r w:rsidRPr="005433CB">
        <w:rPr>
          <w:rStyle w:val="Mention"/>
          <w:noProof/>
        </w:rPr>
        <w:t>@Alex McCann</w:t>
      </w:r>
      <w:r>
        <w:fldChar w:fldCharType="end"/>
      </w:r>
      <w:r>
        <w:t xml:space="preserve">  - as the BaNES and Cornwall expert could you add links and summary of evidence for ZC standard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892A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CD852" w16cex:dateUtc="2023-05-03T1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892A1C" w16cid:durableId="27FCD8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4E32" w14:textId="77777777" w:rsidR="003E6F6E" w:rsidRDefault="003E6F6E" w:rsidP="00BE7F1D">
      <w:pPr>
        <w:spacing w:after="0" w:line="240" w:lineRule="auto"/>
      </w:pPr>
      <w:r>
        <w:separator/>
      </w:r>
    </w:p>
  </w:endnote>
  <w:endnote w:type="continuationSeparator" w:id="0">
    <w:p w14:paraId="4CA21323" w14:textId="77777777" w:rsidR="003E6F6E" w:rsidRDefault="003E6F6E" w:rsidP="00BE7F1D">
      <w:pPr>
        <w:spacing w:after="0" w:line="240" w:lineRule="auto"/>
      </w:pPr>
      <w:r>
        <w:continuationSeparator/>
      </w:r>
    </w:p>
  </w:endnote>
  <w:endnote w:type="continuationNotice" w:id="1">
    <w:p w14:paraId="1E8193CC" w14:textId="77777777" w:rsidR="003E6F6E" w:rsidRDefault="003E6F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Pro">
    <w:altName w:val="Calibri"/>
    <w:panose1 w:val="02000506040000020004"/>
    <w:charset w:val="00"/>
    <w:family w:val="modern"/>
    <w:notTrueType/>
    <w:pitch w:val="variable"/>
    <w:sig w:usb0="A00002EF" w:usb1="4000606A" w:usb2="00000000" w:usb3="00000000" w:csb0="0000009F" w:csb1="00000000"/>
  </w:font>
  <w:font w:name="FS Me Pro Light">
    <w:altName w:val="Calibri"/>
    <w:panose1 w:val="02000506030000020004"/>
    <w:charset w:val="00"/>
    <w:family w:val="modern"/>
    <w:notTrueType/>
    <w:pitch w:val="variable"/>
    <w:sig w:usb0="A00002EF" w:usb1="4000606A"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9552"/>
      <w:docPartObj>
        <w:docPartGallery w:val="Page Numbers (Bottom of Page)"/>
        <w:docPartUnique/>
      </w:docPartObj>
    </w:sdtPr>
    <w:sdtEndPr>
      <w:rPr>
        <w:noProof/>
      </w:rPr>
    </w:sdtEndPr>
    <w:sdtContent>
      <w:p w14:paraId="74D3A804" w14:textId="4187381B" w:rsidR="000C124B" w:rsidRDefault="000C124B">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03/05/2023</w:t>
        </w:r>
      </w:p>
    </w:sdtContent>
  </w:sdt>
  <w:p w14:paraId="43EB9DC6" w14:textId="77777777" w:rsidR="000C124B" w:rsidRDefault="000C1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DF82" w14:textId="77777777" w:rsidR="003E6F6E" w:rsidRDefault="003E6F6E" w:rsidP="00BE7F1D">
      <w:pPr>
        <w:spacing w:after="0" w:line="240" w:lineRule="auto"/>
      </w:pPr>
      <w:r>
        <w:separator/>
      </w:r>
    </w:p>
  </w:footnote>
  <w:footnote w:type="continuationSeparator" w:id="0">
    <w:p w14:paraId="077703E4" w14:textId="77777777" w:rsidR="003E6F6E" w:rsidRDefault="003E6F6E" w:rsidP="00BE7F1D">
      <w:pPr>
        <w:spacing w:after="0" w:line="240" w:lineRule="auto"/>
      </w:pPr>
      <w:r>
        <w:continuationSeparator/>
      </w:r>
    </w:p>
  </w:footnote>
  <w:footnote w:type="continuationNotice" w:id="1">
    <w:p w14:paraId="6814737D" w14:textId="77777777" w:rsidR="003E6F6E" w:rsidRDefault="003E6F6E">
      <w:pPr>
        <w:spacing w:after="0" w:line="240" w:lineRule="auto"/>
      </w:pPr>
    </w:p>
  </w:footnote>
  <w:footnote w:id="2">
    <w:p w14:paraId="0EED6170" w14:textId="77777777" w:rsidR="0081300D" w:rsidRPr="00760551" w:rsidRDefault="0081300D" w:rsidP="0081300D">
      <w:pPr>
        <w:pStyle w:val="FootnoteText"/>
        <w:rPr>
          <w:rFonts w:ascii="FS Me Pro Light" w:hAnsi="FS Me Pro Light"/>
          <w:color w:val="707070"/>
          <w:sz w:val="16"/>
          <w:szCs w:val="16"/>
        </w:rPr>
      </w:pPr>
      <w:r w:rsidRPr="00760551">
        <w:rPr>
          <w:rStyle w:val="FootnoteReference"/>
          <w:rFonts w:ascii="FS Me Pro Light" w:hAnsi="FS Me Pro Light"/>
          <w:color w:val="707070"/>
          <w:sz w:val="16"/>
          <w:szCs w:val="16"/>
        </w:rPr>
        <w:footnoteRef/>
      </w:r>
      <w:r w:rsidRPr="00760551">
        <w:rPr>
          <w:rFonts w:ascii="FS Me Pro Light" w:hAnsi="FS Me Pro Light"/>
          <w:color w:val="707070"/>
          <w:sz w:val="16"/>
          <w:szCs w:val="16"/>
        </w:rPr>
        <w:t xml:space="preserve"> Low Temperature Hot Water</w:t>
      </w:r>
    </w:p>
  </w:footnote>
  <w:footnote w:id="3">
    <w:p w14:paraId="43BFBEDC" w14:textId="77777777" w:rsidR="0081300D" w:rsidRPr="003A7F83" w:rsidRDefault="0081300D" w:rsidP="0081300D">
      <w:pPr>
        <w:pStyle w:val="FootnoteText"/>
        <w:rPr>
          <w:rFonts w:ascii="FS Me Pro Light" w:hAnsi="FS Me Pro Light"/>
          <w:sz w:val="16"/>
          <w:szCs w:val="16"/>
        </w:rPr>
      </w:pPr>
      <w:r w:rsidRPr="003A7F83">
        <w:rPr>
          <w:rStyle w:val="FootnoteReference"/>
          <w:rFonts w:ascii="FS Me Pro Light" w:hAnsi="FS Me Pro Light"/>
          <w:color w:val="707070"/>
          <w:sz w:val="16"/>
          <w:szCs w:val="16"/>
        </w:rPr>
        <w:footnoteRef/>
      </w:r>
      <w:r w:rsidRPr="003A7F83">
        <w:rPr>
          <w:rFonts w:ascii="FS Me Pro Light" w:hAnsi="FS Me Pro Light"/>
          <w:color w:val="707070"/>
          <w:sz w:val="16"/>
          <w:szCs w:val="16"/>
        </w:rPr>
        <w:t xml:space="preserve"> Heat Interface Unit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D07C" w14:textId="33AC1C3C" w:rsidR="0003062A" w:rsidRDefault="0003062A">
    <w:pPr>
      <w:pStyle w:val="Header"/>
    </w:pPr>
    <w:r w:rsidRPr="000B3A36">
      <w:rPr>
        <w:rFonts w:ascii="FS Me Pro" w:hAnsi="FS Me Pro"/>
        <w:noProof/>
      </w:rPr>
      <w:drawing>
        <wp:anchor distT="0" distB="0" distL="114300" distR="114300" simplePos="0" relativeHeight="251658240" behindDoc="1" locked="0" layoutInCell="1" allowOverlap="1" wp14:anchorId="6CC40A3A" wp14:editId="37C94A82">
          <wp:simplePos x="0" y="0"/>
          <wp:positionH relativeFrom="margin">
            <wp:posOffset>0</wp:posOffset>
          </wp:positionH>
          <wp:positionV relativeFrom="paragraph">
            <wp:posOffset>169545</wp:posOffset>
          </wp:positionV>
          <wp:extent cx="2324100" cy="714375"/>
          <wp:effectExtent l="0" t="0" r="0" b="9525"/>
          <wp:wrapTight wrapText="bothSides">
            <wp:wrapPolygon edited="0">
              <wp:start x="0" y="0"/>
              <wp:lineTo x="0" y="21312"/>
              <wp:lineTo x="21423" y="21312"/>
              <wp:lineTo x="21423" y="0"/>
              <wp:lineTo x="0" y="0"/>
            </wp:wrapPolygon>
          </wp:wrapTight>
          <wp:docPr id="16" name="Picture 16" descr="Logo&#10;&#10;Description automatically generated">
            <a:extLst xmlns:a="http://schemas.openxmlformats.org/drawingml/2006/main">
              <a:ext uri="{FF2B5EF4-FFF2-40B4-BE49-F238E27FC236}">
                <a16:creationId xmlns:a16="http://schemas.microsoft.com/office/drawing/2014/main" id="{BEFDDBE4-2C7E-49D9-AAAA-BA5F1FD68384}"/>
              </a:ext>
            </a:extLst>
          </wp:docPr>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BEFDDBE4-2C7E-49D9-AAAA-BA5F1FD6838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4100" cy="714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0774"/>
    <w:multiLevelType w:val="hybridMultilevel"/>
    <w:tmpl w:val="53B80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E9735"/>
    <w:multiLevelType w:val="hybridMultilevel"/>
    <w:tmpl w:val="FFFFFFFF"/>
    <w:lvl w:ilvl="0" w:tplc="51021282">
      <w:start w:val="1"/>
      <w:numFmt w:val="decimal"/>
      <w:lvlText w:val="%1."/>
      <w:lvlJc w:val="left"/>
      <w:pPr>
        <w:ind w:left="720" w:hanging="360"/>
      </w:pPr>
    </w:lvl>
    <w:lvl w:ilvl="1" w:tplc="4B708EE4">
      <w:start w:val="1"/>
      <w:numFmt w:val="lowerLetter"/>
      <w:lvlText w:val="%2."/>
      <w:lvlJc w:val="left"/>
      <w:pPr>
        <w:ind w:left="1440" w:hanging="360"/>
      </w:pPr>
    </w:lvl>
    <w:lvl w:ilvl="2" w:tplc="3CD2B2A2">
      <w:start w:val="1"/>
      <w:numFmt w:val="lowerRoman"/>
      <w:lvlText w:val="%3."/>
      <w:lvlJc w:val="right"/>
      <w:pPr>
        <w:ind w:left="2160" w:hanging="180"/>
      </w:pPr>
    </w:lvl>
    <w:lvl w:ilvl="3" w:tplc="979CA2BC">
      <w:start w:val="1"/>
      <w:numFmt w:val="decimal"/>
      <w:lvlText w:val="%4."/>
      <w:lvlJc w:val="left"/>
      <w:pPr>
        <w:ind w:left="2880" w:hanging="360"/>
      </w:pPr>
    </w:lvl>
    <w:lvl w:ilvl="4" w:tplc="9EE42D4E">
      <w:start w:val="1"/>
      <w:numFmt w:val="lowerLetter"/>
      <w:lvlText w:val="%5."/>
      <w:lvlJc w:val="left"/>
      <w:pPr>
        <w:ind w:left="3600" w:hanging="360"/>
      </w:pPr>
    </w:lvl>
    <w:lvl w:ilvl="5" w:tplc="90E63DEC">
      <w:start w:val="1"/>
      <w:numFmt w:val="lowerRoman"/>
      <w:lvlText w:val="%6."/>
      <w:lvlJc w:val="right"/>
      <w:pPr>
        <w:ind w:left="4320" w:hanging="180"/>
      </w:pPr>
    </w:lvl>
    <w:lvl w:ilvl="6" w:tplc="D6D66500">
      <w:start w:val="1"/>
      <w:numFmt w:val="decimal"/>
      <w:lvlText w:val="%7."/>
      <w:lvlJc w:val="left"/>
      <w:pPr>
        <w:ind w:left="5040" w:hanging="360"/>
      </w:pPr>
    </w:lvl>
    <w:lvl w:ilvl="7" w:tplc="45D44E08">
      <w:start w:val="1"/>
      <w:numFmt w:val="lowerLetter"/>
      <w:lvlText w:val="%8."/>
      <w:lvlJc w:val="left"/>
      <w:pPr>
        <w:ind w:left="5760" w:hanging="360"/>
      </w:pPr>
    </w:lvl>
    <w:lvl w:ilvl="8" w:tplc="06E03A6A">
      <w:start w:val="1"/>
      <w:numFmt w:val="lowerRoman"/>
      <w:lvlText w:val="%9."/>
      <w:lvlJc w:val="right"/>
      <w:pPr>
        <w:ind w:left="6480" w:hanging="180"/>
      </w:pPr>
    </w:lvl>
  </w:abstractNum>
  <w:abstractNum w:abstractNumId="2" w15:restartNumberingAfterBreak="0">
    <w:nsid w:val="27A40BB4"/>
    <w:multiLevelType w:val="hybridMultilevel"/>
    <w:tmpl w:val="524E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B7C4C"/>
    <w:multiLevelType w:val="hybridMultilevel"/>
    <w:tmpl w:val="6846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859F7"/>
    <w:multiLevelType w:val="hybridMultilevel"/>
    <w:tmpl w:val="4D9E3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53EFF"/>
    <w:multiLevelType w:val="multilevel"/>
    <w:tmpl w:val="776CE668"/>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68E05D8"/>
    <w:multiLevelType w:val="hybridMultilevel"/>
    <w:tmpl w:val="AC6AF8B2"/>
    <w:lvl w:ilvl="0" w:tplc="2B80289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C27492"/>
    <w:multiLevelType w:val="hybridMultilevel"/>
    <w:tmpl w:val="C6FA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B4744"/>
    <w:multiLevelType w:val="hybridMultilevel"/>
    <w:tmpl w:val="A10E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A202E2"/>
    <w:multiLevelType w:val="hybridMultilevel"/>
    <w:tmpl w:val="954E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141C3"/>
    <w:multiLevelType w:val="hybridMultilevel"/>
    <w:tmpl w:val="1FBE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7E240C"/>
    <w:multiLevelType w:val="hybridMultilevel"/>
    <w:tmpl w:val="C62C02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9045C5"/>
    <w:multiLevelType w:val="hybridMultilevel"/>
    <w:tmpl w:val="92CE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475A52"/>
    <w:multiLevelType w:val="hybridMultilevel"/>
    <w:tmpl w:val="68981956"/>
    <w:lvl w:ilvl="0" w:tplc="2B8028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FEC9C3"/>
    <w:multiLevelType w:val="hybridMultilevel"/>
    <w:tmpl w:val="FFFFFFFF"/>
    <w:lvl w:ilvl="0" w:tplc="9D1E066C">
      <w:start w:val="1"/>
      <w:numFmt w:val="bullet"/>
      <w:lvlText w:val="-"/>
      <w:lvlJc w:val="left"/>
      <w:pPr>
        <w:ind w:left="720" w:hanging="360"/>
      </w:pPr>
      <w:rPr>
        <w:rFonts w:ascii="Calibri" w:hAnsi="Calibri" w:hint="default"/>
      </w:rPr>
    </w:lvl>
    <w:lvl w:ilvl="1" w:tplc="ADE80FE0">
      <w:start w:val="1"/>
      <w:numFmt w:val="bullet"/>
      <w:lvlText w:val="o"/>
      <w:lvlJc w:val="left"/>
      <w:pPr>
        <w:ind w:left="1440" w:hanging="360"/>
      </w:pPr>
      <w:rPr>
        <w:rFonts w:ascii="Courier New" w:hAnsi="Courier New" w:hint="default"/>
      </w:rPr>
    </w:lvl>
    <w:lvl w:ilvl="2" w:tplc="62222FB6">
      <w:start w:val="1"/>
      <w:numFmt w:val="bullet"/>
      <w:lvlText w:val=""/>
      <w:lvlJc w:val="left"/>
      <w:pPr>
        <w:ind w:left="2160" w:hanging="360"/>
      </w:pPr>
      <w:rPr>
        <w:rFonts w:ascii="Wingdings" w:hAnsi="Wingdings" w:hint="default"/>
      </w:rPr>
    </w:lvl>
    <w:lvl w:ilvl="3" w:tplc="BDD4FB42">
      <w:start w:val="1"/>
      <w:numFmt w:val="bullet"/>
      <w:lvlText w:val=""/>
      <w:lvlJc w:val="left"/>
      <w:pPr>
        <w:ind w:left="2880" w:hanging="360"/>
      </w:pPr>
      <w:rPr>
        <w:rFonts w:ascii="Symbol" w:hAnsi="Symbol" w:hint="default"/>
      </w:rPr>
    </w:lvl>
    <w:lvl w:ilvl="4" w:tplc="D81A1B3A">
      <w:start w:val="1"/>
      <w:numFmt w:val="bullet"/>
      <w:lvlText w:val="o"/>
      <w:lvlJc w:val="left"/>
      <w:pPr>
        <w:ind w:left="3600" w:hanging="360"/>
      </w:pPr>
      <w:rPr>
        <w:rFonts w:ascii="Courier New" w:hAnsi="Courier New" w:hint="default"/>
      </w:rPr>
    </w:lvl>
    <w:lvl w:ilvl="5" w:tplc="040456D6">
      <w:start w:val="1"/>
      <w:numFmt w:val="bullet"/>
      <w:lvlText w:val=""/>
      <w:lvlJc w:val="left"/>
      <w:pPr>
        <w:ind w:left="4320" w:hanging="360"/>
      </w:pPr>
      <w:rPr>
        <w:rFonts w:ascii="Wingdings" w:hAnsi="Wingdings" w:hint="default"/>
      </w:rPr>
    </w:lvl>
    <w:lvl w:ilvl="6" w:tplc="B4C479DE">
      <w:start w:val="1"/>
      <w:numFmt w:val="bullet"/>
      <w:lvlText w:val=""/>
      <w:lvlJc w:val="left"/>
      <w:pPr>
        <w:ind w:left="5040" w:hanging="360"/>
      </w:pPr>
      <w:rPr>
        <w:rFonts w:ascii="Symbol" w:hAnsi="Symbol" w:hint="default"/>
      </w:rPr>
    </w:lvl>
    <w:lvl w:ilvl="7" w:tplc="94C84360">
      <w:start w:val="1"/>
      <w:numFmt w:val="bullet"/>
      <w:lvlText w:val="o"/>
      <w:lvlJc w:val="left"/>
      <w:pPr>
        <w:ind w:left="5760" w:hanging="360"/>
      </w:pPr>
      <w:rPr>
        <w:rFonts w:ascii="Courier New" w:hAnsi="Courier New" w:hint="default"/>
      </w:rPr>
    </w:lvl>
    <w:lvl w:ilvl="8" w:tplc="13003286">
      <w:start w:val="1"/>
      <w:numFmt w:val="bullet"/>
      <w:lvlText w:val=""/>
      <w:lvlJc w:val="left"/>
      <w:pPr>
        <w:ind w:left="6480" w:hanging="360"/>
      </w:pPr>
      <w:rPr>
        <w:rFonts w:ascii="Wingdings" w:hAnsi="Wingdings" w:hint="default"/>
      </w:rPr>
    </w:lvl>
  </w:abstractNum>
  <w:num w:numId="1" w16cid:durableId="719741934">
    <w:abstractNumId w:val="12"/>
  </w:num>
  <w:num w:numId="2" w16cid:durableId="1540387318">
    <w:abstractNumId w:val="3"/>
  </w:num>
  <w:num w:numId="3" w16cid:durableId="1801419062">
    <w:abstractNumId w:val="8"/>
  </w:num>
  <w:num w:numId="4" w16cid:durableId="1332835638">
    <w:abstractNumId w:val="11"/>
  </w:num>
  <w:num w:numId="5" w16cid:durableId="1319729168">
    <w:abstractNumId w:val="10"/>
  </w:num>
  <w:num w:numId="6" w16cid:durableId="685711306">
    <w:abstractNumId w:val="4"/>
  </w:num>
  <w:num w:numId="7" w16cid:durableId="1699037977">
    <w:abstractNumId w:val="9"/>
  </w:num>
  <w:num w:numId="8" w16cid:durableId="741484023">
    <w:abstractNumId w:val="6"/>
  </w:num>
  <w:num w:numId="9" w16cid:durableId="590510170">
    <w:abstractNumId w:val="13"/>
  </w:num>
  <w:num w:numId="10" w16cid:durableId="1957329404">
    <w:abstractNumId w:val="0"/>
  </w:num>
  <w:num w:numId="11" w16cid:durableId="1570967573">
    <w:abstractNumId w:val="1"/>
  </w:num>
  <w:num w:numId="12" w16cid:durableId="797601567">
    <w:abstractNumId w:val="14"/>
  </w:num>
  <w:num w:numId="13" w16cid:durableId="982197977">
    <w:abstractNumId w:val="7"/>
  </w:num>
  <w:num w:numId="14" w16cid:durableId="428815801">
    <w:abstractNumId w:val="2"/>
  </w:num>
  <w:num w:numId="15" w16cid:durableId="120409380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wis Knight">
    <w15:presenceInfo w15:providerId="AD" w15:userId="S::lewis.knight@bioregional.com::5b5626d9-fbe8-4ef6-9b80-1aae1ffd93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DF"/>
    <w:rsid w:val="00000C14"/>
    <w:rsid w:val="00022AAE"/>
    <w:rsid w:val="0003062A"/>
    <w:rsid w:val="000309CD"/>
    <w:rsid w:val="00034474"/>
    <w:rsid w:val="00047000"/>
    <w:rsid w:val="00063BF3"/>
    <w:rsid w:val="00072B80"/>
    <w:rsid w:val="00090457"/>
    <w:rsid w:val="000A534D"/>
    <w:rsid w:val="000B47A6"/>
    <w:rsid w:val="000C124B"/>
    <w:rsid w:val="000D68FD"/>
    <w:rsid w:val="000E70E5"/>
    <w:rsid w:val="000F6253"/>
    <w:rsid w:val="00105566"/>
    <w:rsid w:val="001117BD"/>
    <w:rsid w:val="00113A3F"/>
    <w:rsid w:val="001153AF"/>
    <w:rsid w:val="001224BE"/>
    <w:rsid w:val="00127F8E"/>
    <w:rsid w:val="00133AFC"/>
    <w:rsid w:val="00150B8B"/>
    <w:rsid w:val="00154321"/>
    <w:rsid w:val="00162EB3"/>
    <w:rsid w:val="00182362"/>
    <w:rsid w:val="00193C94"/>
    <w:rsid w:val="001A01CD"/>
    <w:rsid w:val="001D4B3E"/>
    <w:rsid w:val="001D5447"/>
    <w:rsid w:val="001E0424"/>
    <w:rsid w:val="001E0D76"/>
    <w:rsid w:val="001F316E"/>
    <w:rsid w:val="001F58C8"/>
    <w:rsid w:val="001F7083"/>
    <w:rsid w:val="00200625"/>
    <w:rsid w:val="002132B4"/>
    <w:rsid w:val="00217B90"/>
    <w:rsid w:val="002200E5"/>
    <w:rsid w:val="00257330"/>
    <w:rsid w:val="00264469"/>
    <w:rsid w:val="00274AA9"/>
    <w:rsid w:val="0027680E"/>
    <w:rsid w:val="002A0414"/>
    <w:rsid w:val="002A7B17"/>
    <w:rsid w:val="002B4320"/>
    <w:rsid w:val="002B5B9F"/>
    <w:rsid w:val="002B79C4"/>
    <w:rsid w:val="002C1817"/>
    <w:rsid w:val="002D2596"/>
    <w:rsid w:val="002D26A1"/>
    <w:rsid w:val="002E264B"/>
    <w:rsid w:val="002F1A03"/>
    <w:rsid w:val="00305D24"/>
    <w:rsid w:val="003060AE"/>
    <w:rsid w:val="0030621D"/>
    <w:rsid w:val="00307F9E"/>
    <w:rsid w:val="00315415"/>
    <w:rsid w:val="003221D7"/>
    <w:rsid w:val="00332B90"/>
    <w:rsid w:val="003417EC"/>
    <w:rsid w:val="003433A7"/>
    <w:rsid w:val="00360B53"/>
    <w:rsid w:val="00361672"/>
    <w:rsid w:val="0036643C"/>
    <w:rsid w:val="00383811"/>
    <w:rsid w:val="00383F70"/>
    <w:rsid w:val="003925C9"/>
    <w:rsid w:val="003A4C12"/>
    <w:rsid w:val="003A7F9B"/>
    <w:rsid w:val="003B767E"/>
    <w:rsid w:val="003B7F31"/>
    <w:rsid w:val="003C7322"/>
    <w:rsid w:val="003D4125"/>
    <w:rsid w:val="003E6F6E"/>
    <w:rsid w:val="003E717C"/>
    <w:rsid w:val="003F0D3F"/>
    <w:rsid w:val="003F320D"/>
    <w:rsid w:val="00407E33"/>
    <w:rsid w:val="00421187"/>
    <w:rsid w:val="004355AC"/>
    <w:rsid w:val="00435BEC"/>
    <w:rsid w:val="00442EE9"/>
    <w:rsid w:val="00444BFB"/>
    <w:rsid w:val="004625BD"/>
    <w:rsid w:val="00466BF6"/>
    <w:rsid w:val="00483A0D"/>
    <w:rsid w:val="00487169"/>
    <w:rsid w:val="004879D1"/>
    <w:rsid w:val="00491145"/>
    <w:rsid w:val="00491BDC"/>
    <w:rsid w:val="004B3236"/>
    <w:rsid w:val="004C0A35"/>
    <w:rsid w:val="004D2485"/>
    <w:rsid w:val="004D4CA0"/>
    <w:rsid w:val="004D78C4"/>
    <w:rsid w:val="004E6346"/>
    <w:rsid w:val="00504B8B"/>
    <w:rsid w:val="00516B2D"/>
    <w:rsid w:val="0053496F"/>
    <w:rsid w:val="005433CB"/>
    <w:rsid w:val="00545FA6"/>
    <w:rsid w:val="00546D38"/>
    <w:rsid w:val="0055594B"/>
    <w:rsid w:val="00597B95"/>
    <w:rsid w:val="005B1462"/>
    <w:rsid w:val="005B5B17"/>
    <w:rsid w:val="005C1AAD"/>
    <w:rsid w:val="005C29AC"/>
    <w:rsid w:val="005C29F3"/>
    <w:rsid w:val="005C7CCD"/>
    <w:rsid w:val="005D4B91"/>
    <w:rsid w:val="005E008E"/>
    <w:rsid w:val="006069E4"/>
    <w:rsid w:val="00623862"/>
    <w:rsid w:val="006330BF"/>
    <w:rsid w:val="0065468D"/>
    <w:rsid w:val="00654C24"/>
    <w:rsid w:val="006732ED"/>
    <w:rsid w:val="00681369"/>
    <w:rsid w:val="006A0B98"/>
    <w:rsid w:val="006A247D"/>
    <w:rsid w:val="006C07DF"/>
    <w:rsid w:val="006C2495"/>
    <w:rsid w:val="006C2F5F"/>
    <w:rsid w:val="006D64F5"/>
    <w:rsid w:val="006F226E"/>
    <w:rsid w:val="00700229"/>
    <w:rsid w:val="007172A1"/>
    <w:rsid w:val="007230C1"/>
    <w:rsid w:val="00723F7F"/>
    <w:rsid w:val="00724391"/>
    <w:rsid w:val="00726421"/>
    <w:rsid w:val="007336D5"/>
    <w:rsid w:val="007346A3"/>
    <w:rsid w:val="00737A40"/>
    <w:rsid w:val="00741EBC"/>
    <w:rsid w:val="007766FD"/>
    <w:rsid w:val="00781C62"/>
    <w:rsid w:val="00791DC6"/>
    <w:rsid w:val="007A47FD"/>
    <w:rsid w:val="007A595B"/>
    <w:rsid w:val="007B0DB3"/>
    <w:rsid w:val="007B1B04"/>
    <w:rsid w:val="007B1B79"/>
    <w:rsid w:val="007B4C07"/>
    <w:rsid w:val="007C2620"/>
    <w:rsid w:val="007C665B"/>
    <w:rsid w:val="007E1EC9"/>
    <w:rsid w:val="008073AD"/>
    <w:rsid w:val="0081300D"/>
    <w:rsid w:val="00814697"/>
    <w:rsid w:val="00835753"/>
    <w:rsid w:val="00840A30"/>
    <w:rsid w:val="00843273"/>
    <w:rsid w:val="00870373"/>
    <w:rsid w:val="00871281"/>
    <w:rsid w:val="008925C5"/>
    <w:rsid w:val="008A46EE"/>
    <w:rsid w:val="008D0751"/>
    <w:rsid w:val="008D2A7F"/>
    <w:rsid w:val="009027E8"/>
    <w:rsid w:val="00905055"/>
    <w:rsid w:val="00905C3C"/>
    <w:rsid w:val="00916692"/>
    <w:rsid w:val="009350D0"/>
    <w:rsid w:val="0093566D"/>
    <w:rsid w:val="00937CAC"/>
    <w:rsid w:val="00941A93"/>
    <w:rsid w:val="00960E72"/>
    <w:rsid w:val="009764F9"/>
    <w:rsid w:val="00977E04"/>
    <w:rsid w:val="009A1299"/>
    <w:rsid w:val="009A678D"/>
    <w:rsid w:val="009C0082"/>
    <w:rsid w:val="009C2808"/>
    <w:rsid w:val="009F26C1"/>
    <w:rsid w:val="009F2C76"/>
    <w:rsid w:val="009F4919"/>
    <w:rsid w:val="009F4C3A"/>
    <w:rsid w:val="00A15898"/>
    <w:rsid w:val="00A166BA"/>
    <w:rsid w:val="00A17CF1"/>
    <w:rsid w:val="00A366C8"/>
    <w:rsid w:val="00A56984"/>
    <w:rsid w:val="00A569F0"/>
    <w:rsid w:val="00A66E97"/>
    <w:rsid w:val="00A82F4E"/>
    <w:rsid w:val="00A9642B"/>
    <w:rsid w:val="00A972AC"/>
    <w:rsid w:val="00AA0725"/>
    <w:rsid w:val="00AA6D55"/>
    <w:rsid w:val="00AC0EBB"/>
    <w:rsid w:val="00AC2086"/>
    <w:rsid w:val="00AC2158"/>
    <w:rsid w:val="00AC5F30"/>
    <w:rsid w:val="00AE5599"/>
    <w:rsid w:val="00AF40E5"/>
    <w:rsid w:val="00B03EB0"/>
    <w:rsid w:val="00B23B8E"/>
    <w:rsid w:val="00B27718"/>
    <w:rsid w:val="00B32E17"/>
    <w:rsid w:val="00B505FD"/>
    <w:rsid w:val="00B64B38"/>
    <w:rsid w:val="00B66E0E"/>
    <w:rsid w:val="00B76507"/>
    <w:rsid w:val="00B76EB4"/>
    <w:rsid w:val="00B93D86"/>
    <w:rsid w:val="00BA0541"/>
    <w:rsid w:val="00BA185F"/>
    <w:rsid w:val="00BA2AD3"/>
    <w:rsid w:val="00BA45DF"/>
    <w:rsid w:val="00BA5CCE"/>
    <w:rsid w:val="00BB048C"/>
    <w:rsid w:val="00BB0558"/>
    <w:rsid w:val="00BB4791"/>
    <w:rsid w:val="00BC22A3"/>
    <w:rsid w:val="00BC3D3B"/>
    <w:rsid w:val="00BD1630"/>
    <w:rsid w:val="00BD6E66"/>
    <w:rsid w:val="00BE779A"/>
    <w:rsid w:val="00BE7F1D"/>
    <w:rsid w:val="00C023F4"/>
    <w:rsid w:val="00C200AA"/>
    <w:rsid w:val="00C21E5E"/>
    <w:rsid w:val="00C25904"/>
    <w:rsid w:val="00C26118"/>
    <w:rsid w:val="00C32F40"/>
    <w:rsid w:val="00C70EC9"/>
    <w:rsid w:val="00C9093D"/>
    <w:rsid w:val="00C96B92"/>
    <w:rsid w:val="00CA21BD"/>
    <w:rsid w:val="00CB07EB"/>
    <w:rsid w:val="00CB5BBA"/>
    <w:rsid w:val="00CC48F3"/>
    <w:rsid w:val="00CD4BD1"/>
    <w:rsid w:val="00D03FD7"/>
    <w:rsid w:val="00D066C5"/>
    <w:rsid w:val="00D2268B"/>
    <w:rsid w:val="00D43AEF"/>
    <w:rsid w:val="00D60234"/>
    <w:rsid w:val="00D71E36"/>
    <w:rsid w:val="00D7281F"/>
    <w:rsid w:val="00D7289F"/>
    <w:rsid w:val="00D82902"/>
    <w:rsid w:val="00D8615E"/>
    <w:rsid w:val="00DA2308"/>
    <w:rsid w:val="00DB191E"/>
    <w:rsid w:val="00DB4C01"/>
    <w:rsid w:val="00DC0036"/>
    <w:rsid w:val="00DC11D1"/>
    <w:rsid w:val="00DC4C19"/>
    <w:rsid w:val="00DD214C"/>
    <w:rsid w:val="00DD454C"/>
    <w:rsid w:val="00DF63D4"/>
    <w:rsid w:val="00E03383"/>
    <w:rsid w:val="00E53D82"/>
    <w:rsid w:val="00E70819"/>
    <w:rsid w:val="00E77DE5"/>
    <w:rsid w:val="00E87200"/>
    <w:rsid w:val="00E94D8B"/>
    <w:rsid w:val="00EB7550"/>
    <w:rsid w:val="00EE554F"/>
    <w:rsid w:val="00EE57F2"/>
    <w:rsid w:val="00EF2382"/>
    <w:rsid w:val="00EF3632"/>
    <w:rsid w:val="00F05E14"/>
    <w:rsid w:val="00F15A59"/>
    <w:rsid w:val="00F25B17"/>
    <w:rsid w:val="00F30470"/>
    <w:rsid w:val="00F439F6"/>
    <w:rsid w:val="00F43BD5"/>
    <w:rsid w:val="00F51AFA"/>
    <w:rsid w:val="00F82094"/>
    <w:rsid w:val="00F9131D"/>
    <w:rsid w:val="00F92F9E"/>
    <w:rsid w:val="00F93571"/>
    <w:rsid w:val="00FA3176"/>
    <w:rsid w:val="00FB7DE1"/>
    <w:rsid w:val="00FC2F56"/>
    <w:rsid w:val="00FD7B94"/>
    <w:rsid w:val="00FF19E7"/>
    <w:rsid w:val="00FF33DB"/>
    <w:rsid w:val="087E70FF"/>
    <w:rsid w:val="112C8BCB"/>
    <w:rsid w:val="18284847"/>
    <w:rsid w:val="1A990B4F"/>
    <w:rsid w:val="22AC6F61"/>
    <w:rsid w:val="26110DA5"/>
    <w:rsid w:val="2F9D9999"/>
    <w:rsid w:val="376C9D39"/>
    <w:rsid w:val="4F6B81F9"/>
    <w:rsid w:val="51D98F72"/>
    <w:rsid w:val="6AB6B77A"/>
    <w:rsid w:val="6FB035B3"/>
    <w:rsid w:val="7DF3A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443A"/>
  <w15:chartTrackingRefBased/>
  <w15:docId w15:val="{D99CDECC-A24F-4D09-99F2-245BD834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5DF"/>
    <w:pPr>
      <w:ind w:left="720"/>
      <w:contextualSpacing/>
    </w:pPr>
  </w:style>
  <w:style w:type="character" w:styleId="Hyperlink">
    <w:name w:val="Hyperlink"/>
    <w:basedOn w:val="DefaultParagraphFont"/>
    <w:uiPriority w:val="99"/>
    <w:unhideWhenUsed/>
    <w:rsid w:val="00960E72"/>
    <w:rPr>
      <w:color w:val="0563C1"/>
      <w:u w:val="single"/>
    </w:rPr>
  </w:style>
  <w:style w:type="character" w:styleId="FollowedHyperlink">
    <w:name w:val="FollowedHyperlink"/>
    <w:basedOn w:val="DefaultParagraphFont"/>
    <w:uiPriority w:val="99"/>
    <w:semiHidden/>
    <w:unhideWhenUsed/>
    <w:rsid w:val="00960E72"/>
    <w:rPr>
      <w:color w:val="954F72" w:themeColor="followedHyperlink"/>
      <w:u w:val="single"/>
    </w:rPr>
  </w:style>
  <w:style w:type="character" w:styleId="FootnoteReference">
    <w:name w:val="footnote reference"/>
    <w:basedOn w:val="DefaultParagraphFont"/>
    <w:uiPriority w:val="99"/>
    <w:semiHidden/>
    <w:unhideWhenUsed/>
    <w:rsid w:val="00BE7F1D"/>
    <w:rPr>
      <w:vertAlign w:val="superscript"/>
    </w:rPr>
  </w:style>
  <w:style w:type="paragraph" w:styleId="Header">
    <w:name w:val="header"/>
    <w:basedOn w:val="Normal"/>
    <w:link w:val="HeaderChar"/>
    <w:uiPriority w:val="99"/>
    <w:unhideWhenUsed/>
    <w:rsid w:val="002C1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817"/>
  </w:style>
  <w:style w:type="paragraph" w:styleId="Footer">
    <w:name w:val="footer"/>
    <w:basedOn w:val="Normal"/>
    <w:link w:val="FooterChar"/>
    <w:uiPriority w:val="99"/>
    <w:unhideWhenUsed/>
    <w:rsid w:val="002C1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817"/>
  </w:style>
  <w:style w:type="character" w:styleId="CommentReference">
    <w:name w:val="annotation reference"/>
    <w:basedOn w:val="DefaultParagraphFont"/>
    <w:uiPriority w:val="99"/>
    <w:semiHidden/>
    <w:unhideWhenUsed/>
    <w:rsid w:val="005433CB"/>
    <w:rPr>
      <w:sz w:val="16"/>
      <w:szCs w:val="16"/>
    </w:rPr>
  </w:style>
  <w:style w:type="paragraph" w:styleId="CommentText">
    <w:name w:val="annotation text"/>
    <w:basedOn w:val="Normal"/>
    <w:link w:val="CommentTextChar"/>
    <w:uiPriority w:val="99"/>
    <w:unhideWhenUsed/>
    <w:rsid w:val="005433CB"/>
    <w:pPr>
      <w:spacing w:line="240" w:lineRule="auto"/>
    </w:pPr>
    <w:rPr>
      <w:sz w:val="20"/>
      <w:szCs w:val="20"/>
    </w:rPr>
  </w:style>
  <w:style w:type="character" w:customStyle="1" w:styleId="CommentTextChar">
    <w:name w:val="Comment Text Char"/>
    <w:basedOn w:val="DefaultParagraphFont"/>
    <w:link w:val="CommentText"/>
    <w:uiPriority w:val="99"/>
    <w:rsid w:val="005433CB"/>
    <w:rPr>
      <w:sz w:val="20"/>
      <w:szCs w:val="20"/>
    </w:rPr>
  </w:style>
  <w:style w:type="paragraph" w:styleId="CommentSubject">
    <w:name w:val="annotation subject"/>
    <w:basedOn w:val="CommentText"/>
    <w:next w:val="CommentText"/>
    <w:link w:val="CommentSubjectChar"/>
    <w:uiPriority w:val="99"/>
    <w:semiHidden/>
    <w:unhideWhenUsed/>
    <w:rsid w:val="005433CB"/>
    <w:rPr>
      <w:b/>
      <w:bCs/>
    </w:rPr>
  </w:style>
  <w:style w:type="character" w:customStyle="1" w:styleId="CommentSubjectChar">
    <w:name w:val="Comment Subject Char"/>
    <w:basedOn w:val="CommentTextChar"/>
    <w:link w:val="CommentSubject"/>
    <w:uiPriority w:val="99"/>
    <w:semiHidden/>
    <w:rsid w:val="005433CB"/>
    <w:rPr>
      <w:b/>
      <w:bCs/>
      <w:sz w:val="20"/>
      <w:szCs w:val="20"/>
    </w:rPr>
  </w:style>
  <w:style w:type="character" w:styleId="Mention">
    <w:name w:val="Mention"/>
    <w:basedOn w:val="DefaultParagraphFont"/>
    <w:uiPriority w:val="99"/>
    <w:unhideWhenUsed/>
    <w:rsid w:val="005433CB"/>
    <w:rPr>
      <w:color w:val="2B579A"/>
      <w:shd w:val="clear" w:color="auto" w:fill="E1DFDD"/>
    </w:rPr>
  </w:style>
  <w:style w:type="paragraph" w:styleId="FootnoteText">
    <w:name w:val="footnote text"/>
    <w:basedOn w:val="Normal"/>
    <w:link w:val="FootnoteTextChar"/>
    <w:uiPriority w:val="99"/>
    <w:semiHidden/>
    <w:unhideWhenUsed/>
    <w:rsid w:val="0081300D"/>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81300D"/>
    <w:rPr>
      <w:kern w:val="0"/>
      <w:sz w:val="20"/>
      <w:szCs w:val="20"/>
      <w14:ligatures w14:val="none"/>
    </w:rPr>
  </w:style>
  <w:style w:type="character" w:styleId="UnresolvedMention">
    <w:name w:val="Unresolved Mention"/>
    <w:basedOn w:val="DefaultParagraphFont"/>
    <w:uiPriority w:val="99"/>
    <w:semiHidden/>
    <w:unhideWhenUsed/>
    <w:rsid w:val="007E1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9015">
      <w:bodyDiv w:val="1"/>
      <w:marLeft w:val="0"/>
      <w:marRight w:val="0"/>
      <w:marTop w:val="0"/>
      <w:marBottom w:val="0"/>
      <w:divBdr>
        <w:top w:val="none" w:sz="0" w:space="0" w:color="auto"/>
        <w:left w:val="none" w:sz="0" w:space="0" w:color="auto"/>
        <w:bottom w:val="none" w:sz="0" w:space="0" w:color="auto"/>
        <w:right w:val="none" w:sz="0" w:space="0" w:color="auto"/>
      </w:divBdr>
    </w:div>
    <w:div w:id="64829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swenergyhub.org.uk/wp-content/uploads/2021/09/20200359-Climate-Emergency-DPD-Technical-evidence-base-Rev-G.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n-kesteven.gov.uk/sites/default/files/2023-03/CLC006%20Task%20G%20-%20Feasibility.pdf" TargetMode="External"/><Relationship Id="rId17" Type="http://schemas.microsoft.com/office/2018/08/relationships/commentsExtensible" Target="commentsExtensible.xml"/><Relationship Id="rId25" Type="http://schemas.openxmlformats.org/officeDocument/2006/relationships/hyperlink" Target="https://tools.bregroup.com/heatpumpefficiency/index.jsp"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cornwall.gov.uk/media/vtigrrk3/sd06-ce-dpd-viability-report-nov-2021.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kesteven.gov.uk/sites/default/files/2023-03/CLC004%20Task%20C%20-%20Emissions%20Reductions%20Targets.pdf" TargetMode="External"/><Relationship Id="rId24" Type="http://schemas.openxmlformats.org/officeDocument/2006/relationships/hyperlink" Target="https://www.swenergyhub.org.uk/wp-content/uploads/2021/09/20200359-Climate-Emergency-DPD-Technical-evidence-base-Rev-G.pdf"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s://beta.bathnes.gov.uk/sites/default/files/2021-08/B%26NES%20LPPU%20Viability%20Study.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wenergyhub.org.uk/wp-content/uploads/2021/09/20200359-Climate-Emergency-DPD-Residential-energy-technical-evidence-base-appendices-Rev-G.pdf"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3.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ocumenttasks/documenttasks1.xml><?xml version="1.0" encoding="utf-8"?>
<t:Tasks xmlns:t="http://schemas.microsoft.com/office/tasks/2019/documenttasks" xmlns:oel="http://schemas.microsoft.com/office/2019/extlst">
  <t:Task id="{D4C0784F-A7D4-4EEB-8BDB-A314A5CF3D68}">
    <t:Anchor>
      <t:Comment id="670881874"/>
    </t:Anchor>
    <t:History>
      <t:Event id="{6007CBB0-E217-473F-A521-BE1371F93B0C}" time="2023-05-03T11:55:46.067Z">
        <t:Attribution userId="S::lewis.knight@bioregional.com::5b5626d9-fbe8-4ef6-9b80-1aae1ffd9368" userProvider="AD" userName="Lewis Knight"/>
        <t:Anchor>
          <t:Comment id="670881874"/>
        </t:Anchor>
        <t:Create/>
      </t:Event>
      <t:Event id="{CB4C80E1-1140-4F97-89C7-5DD5D2C7D0C7}" time="2023-05-03T11:55:46.067Z">
        <t:Attribution userId="S::lewis.knight@bioregional.com::5b5626d9-fbe8-4ef6-9b80-1aae1ffd9368" userProvider="AD" userName="Lewis Knight"/>
        <t:Anchor>
          <t:Comment id="670881874"/>
        </t:Anchor>
        <t:Assign userId="S::alex.mccann@bioregional.com::719dc502-da49-45da-a595-9f85a3e54416" userProvider="AD" userName="Alex McCann"/>
      </t:Event>
      <t:Event id="{A4888607-F568-46DB-85B4-640C5709DD35}" time="2023-05-03T11:55:46.067Z">
        <t:Attribution userId="S::lewis.knight@bioregional.com::5b5626d9-fbe8-4ef6-9b80-1aae1ffd9368" userProvider="AD" userName="Lewis Knight"/>
        <t:Anchor>
          <t:Comment id="670881874"/>
        </t:Anchor>
        <t:SetTitle title="@Alex McCann - as the BaNES and Cornwall expert could you add links and summary of evidence for ZC standar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42B4AE30DBC34B4F9B41237A2B62C2B5" ma:contentTypeVersion="23" ma:contentTypeDescription="Create a new document." ma:contentTypeScope="" ma:versionID="c113fe3e4783cc12b0a97c29557107c4">
  <xsd:schema xmlns:xsd="http://www.w3.org/2001/XMLSchema" xmlns:xs="http://www.w3.org/2001/XMLSchema" xmlns:p="http://schemas.microsoft.com/office/2006/metadata/properties" xmlns:ns2="d139e483-d87a-495f-8d20-7e98dcba8250" xmlns:ns3="beb5f9db-700e-46f6-9619-606e64819023" targetNamespace="http://schemas.microsoft.com/office/2006/metadata/properties" ma:root="true" ma:fieldsID="5288e19ed215584c4d7ba23bc2ae6be3" ns2:_="" ns3:_="">
    <xsd:import namespace="d139e483-d87a-495f-8d20-7e98dcba8250"/>
    <xsd:import namespace="beb5f9db-700e-46f6-9619-606e64819023"/>
    <xsd:element name="properties">
      <xsd:complexType>
        <xsd:sequence>
          <xsd:element name="documentManagement">
            <xsd:complexType>
              <xsd:all>
                <xsd:element ref="ns2:_dlc_DocId" minOccurs="0"/>
                <xsd:element ref="ns2:_dlc_DocIdUrl" minOccurs="0"/>
                <xsd:element ref="ns2:_dlc_DocIdPersistId" minOccurs="0"/>
                <xsd:element ref="ns3:je65c0423e194c7c99170c77c1e4185c" minOccurs="0"/>
                <xsd:element ref="ns2:TaxCatchAll" minOccurs="0"/>
                <xsd:element ref="ns3:a366a2fb9ac24274bbb47ca7a169f2b0" minOccurs="0"/>
                <xsd:element ref="ns3:o7b4898cd54c4aa085e57c561512d6c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Thumbnail"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9e483-d87a-495f-8d20-7e98dcba82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8263e77d-c346-460a-9005-52e427a171a3}" ma:internalName="TaxCatchAll" ma:showField="CatchAllData" ma:web="d139e483-d87a-495f-8d20-7e98dcba825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5f9db-700e-46f6-9619-606e64819023" elementFormDefault="qualified">
    <xsd:import namespace="http://schemas.microsoft.com/office/2006/documentManagement/types"/>
    <xsd:import namespace="http://schemas.microsoft.com/office/infopath/2007/PartnerControls"/>
    <xsd:element name="je65c0423e194c7c99170c77c1e4185c" ma:index="12" nillable="true" ma:taxonomy="true" ma:internalName="je65c0423e194c7c99170c77c1e4185c" ma:taxonomyFieldName="Status" ma:displayName="Status" ma:default="" ma:fieldId="{3e65c042-3e19-4c7c-9917-0c77c1e4185c}" ma:sspId="e3111af7-ee59-437b-8484-2572115ad19f" ma:termSetId="6b8bdff8-006c-4f7d-9712-ed5d46ca249e" ma:anchorId="00000000-0000-0000-0000-000000000000" ma:open="false" ma:isKeyword="false">
      <xsd:complexType>
        <xsd:sequence>
          <xsd:element ref="pc:Terms" minOccurs="0" maxOccurs="1"/>
        </xsd:sequence>
      </xsd:complexType>
    </xsd:element>
    <xsd:element name="a366a2fb9ac24274bbb47ca7a169f2b0" ma:index="15" nillable="true" ma:taxonomy="true" ma:internalName="a366a2fb9ac24274bbb47ca7a169f2b0" ma:taxonomyFieldName="Project_x0020_Type" ma:displayName="Project Type" ma:default="" ma:fieldId="{a366a2fb-9ac2-4274-bbb4-7ca7a169f2b0}" ma:sspId="e3111af7-ee59-437b-8484-2572115ad19f" ma:termSetId="f40b6320-de39-4d88-8d1f-1a70a2edf7bf" ma:anchorId="00000000-0000-0000-0000-000000000000" ma:open="false" ma:isKeyword="false">
      <xsd:complexType>
        <xsd:sequence>
          <xsd:element ref="pc:Terms" minOccurs="0" maxOccurs="1"/>
        </xsd:sequence>
      </xsd:complexType>
    </xsd:element>
    <xsd:element name="o7b4898cd54c4aa085e57c561512d6c0" ma:index="17" nillable="true" ma:taxonomy="true" ma:internalName="o7b4898cd54c4aa085e57c561512d6c0" ma:taxonomyFieldName="Financial_x0020_Year" ma:displayName="Financial Year" ma:default="" ma:fieldId="{87b4898c-d54c-4aa0-85e5-7c561512d6c0}" ma:sspId="e3111af7-ee59-437b-8484-2572115ad19f" ma:termSetId="49d2f0e3-44db-413d-b011-9b473e317c64"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Thumbnail" ma:index="30" nillable="true" ma:displayName="Thumbnail" ma:format="Thumbnail" ma:internalName="Thumbnail">
      <xsd:simpleType>
        <xsd:restriction base="dms:Unknown"/>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e3111af7-ee59-437b-8484-2572115ad19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b5f9db-700e-46f6-9619-606e64819023">
      <Terms xmlns="http://schemas.microsoft.com/office/infopath/2007/PartnerControls"/>
    </lcf76f155ced4ddcb4097134ff3c332f>
    <Thumbnail xmlns="beb5f9db-700e-46f6-9619-606e64819023" xsi:nil="true"/>
    <a366a2fb9ac24274bbb47ca7a169f2b0 xmlns="beb5f9db-700e-46f6-9619-606e64819023">
      <Terms xmlns="http://schemas.microsoft.com/office/infopath/2007/PartnerControls"/>
    </a366a2fb9ac24274bbb47ca7a169f2b0>
    <je65c0423e194c7c99170c77c1e4185c xmlns="beb5f9db-700e-46f6-9619-606e64819023">
      <Terms xmlns="http://schemas.microsoft.com/office/infopath/2007/PartnerControls"/>
    </je65c0423e194c7c99170c77c1e4185c>
    <o7b4898cd54c4aa085e57c561512d6c0 xmlns="beb5f9db-700e-46f6-9619-606e64819023">
      <Terms xmlns="http://schemas.microsoft.com/office/infopath/2007/PartnerControls"/>
    </o7b4898cd54c4aa085e57c561512d6c0>
    <TaxCatchAll xmlns="d139e483-d87a-495f-8d20-7e98dcba825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7FA57A-98E5-4F08-9F3A-695334CB0BC9}">
  <ds:schemaRefs>
    <ds:schemaRef ds:uri="http://schemas.microsoft.com/sharepoint/events"/>
  </ds:schemaRefs>
</ds:datastoreItem>
</file>

<file path=customXml/itemProps2.xml><?xml version="1.0" encoding="utf-8"?>
<ds:datastoreItem xmlns:ds="http://schemas.openxmlformats.org/officeDocument/2006/customXml" ds:itemID="{DB9E680F-8A70-4144-B0BF-54D1AFAA0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9e483-d87a-495f-8d20-7e98dcba8250"/>
    <ds:schemaRef ds:uri="beb5f9db-700e-46f6-9619-606e64819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37DC9-3D25-4401-ADCA-D51311DE7F84}">
  <ds:schemaRefs>
    <ds:schemaRef ds:uri="http://schemas.microsoft.com/office/2006/metadata/properties"/>
    <ds:schemaRef ds:uri="http://schemas.microsoft.com/office/infopath/2007/PartnerControls"/>
    <ds:schemaRef ds:uri="beb5f9db-700e-46f6-9619-606e64819023"/>
    <ds:schemaRef ds:uri="d139e483-d87a-495f-8d20-7e98dcba8250"/>
  </ds:schemaRefs>
</ds:datastoreItem>
</file>

<file path=customXml/itemProps4.xml><?xml version="1.0" encoding="utf-8"?>
<ds:datastoreItem xmlns:ds="http://schemas.openxmlformats.org/officeDocument/2006/customXml" ds:itemID="{19491ACA-87B6-4FB4-9859-6D00615698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24498</CharactersWithSpaces>
  <SharedDoc>false</SharedDoc>
  <HLinks>
    <vt:vector size="30" baseType="variant">
      <vt:variant>
        <vt:i4>3342396</vt:i4>
      </vt:variant>
      <vt:variant>
        <vt:i4>9</vt:i4>
      </vt:variant>
      <vt:variant>
        <vt:i4>0</vt:i4>
      </vt:variant>
      <vt:variant>
        <vt:i4>5</vt:i4>
      </vt:variant>
      <vt:variant>
        <vt:lpwstr>https://tools.bregroup.com/heatpumpefficiency/index.jsp</vt:lpwstr>
      </vt:variant>
      <vt:variant>
        <vt:lpwstr/>
      </vt:variant>
      <vt:variant>
        <vt:i4>1507349</vt:i4>
      </vt:variant>
      <vt:variant>
        <vt:i4>6</vt:i4>
      </vt:variant>
      <vt:variant>
        <vt:i4>0</vt:i4>
      </vt:variant>
      <vt:variant>
        <vt:i4>5</vt:i4>
      </vt:variant>
      <vt:variant>
        <vt:lpwstr>https://www.n-kesteven.gov.uk/sites/default/files/2023-03/CLC006 Task G - Feasibility.pdf</vt:lpwstr>
      </vt:variant>
      <vt:variant>
        <vt:lpwstr/>
      </vt:variant>
      <vt:variant>
        <vt:i4>7602303</vt:i4>
      </vt:variant>
      <vt:variant>
        <vt:i4>3</vt:i4>
      </vt:variant>
      <vt:variant>
        <vt:i4>0</vt:i4>
      </vt:variant>
      <vt:variant>
        <vt:i4>5</vt:i4>
      </vt:variant>
      <vt:variant>
        <vt:lpwstr>https://www.n-kesteven.gov.uk/sites/default/files/2023-03/CLC004 Task C - Emissions Reductions Targets.pdf</vt:lpwstr>
      </vt:variant>
      <vt:variant>
        <vt:lpwstr/>
      </vt:variant>
      <vt:variant>
        <vt:i4>2556018</vt:i4>
      </vt:variant>
      <vt:variant>
        <vt:i4>0</vt:i4>
      </vt:variant>
      <vt:variant>
        <vt:i4>0</vt:i4>
      </vt:variant>
      <vt:variant>
        <vt:i4>5</vt:i4>
      </vt:variant>
      <vt:variant>
        <vt:lpwstr>https://bioregional.sharepoint.com/oplsite/OPL Projects/21-0020 Cherwell Sustainability Advice 2021/Firethorn Viability/Source (data table 1 in BEIS Green Book supplementary guidance: valuation of energy use and greenhouse gas emissions for appraisal, October 2021 release)</vt:lpwstr>
      </vt:variant>
      <vt:variant>
        <vt:lpwstr/>
      </vt:variant>
      <vt:variant>
        <vt:i4>2752547</vt:i4>
      </vt:variant>
      <vt:variant>
        <vt:i4>0</vt:i4>
      </vt:variant>
      <vt:variant>
        <vt:i4>0</vt:i4>
      </vt:variant>
      <vt:variant>
        <vt:i4>5</vt:i4>
      </vt:variant>
      <vt:variant>
        <vt:lpwstr>https://www.theccc.org.uk/wp-content/uploads/2020/12/Sector-summary-Electricity-generation.pdf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Sheldon</dc:creator>
  <cp:keywords/>
  <dc:description/>
  <cp:lastModifiedBy>Lewis Knight</cp:lastModifiedBy>
  <cp:revision>2</cp:revision>
  <dcterms:created xsi:type="dcterms:W3CDTF">2023-05-03T15:28:00Z</dcterms:created>
  <dcterms:modified xsi:type="dcterms:W3CDTF">2023-05-03T15:28:00Z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0x01010042B4AE30DBC34B4F9B41237A2B62C2B5</vt:lpwstr>
  </property>
  <property fmtid="{D5CDD505-2E9C-101B-9397-08002B2CF9AE}" pid="3" name="Financial Year">
    <vt:lpwstr/>
  </property>
  <property fmtid="{D5CDD505-2E9C-101B-9397-08002B2CF9AE}" pid="4" name="Status">
    <vt:lpwstr/>
  </property>
  <property fmtid="{D5CDD505-2E9C-101B-9397-08002B2CF9AE}" pid="5" name="Project Type">
    <vt:lpwstr/>
  </property>
  <property fmtid="{D5CDD505-2E9C-101B-9397-08002B2CF9AE}" pid="6" name="MediaServiceImageTags">
    <vt:lpwstr/>
  </property>
</Properties>
</file>