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07D4D" w14:textId="77777777" w:rsidR="00DB3A5E" w:rsidRPr="00907C2C" w:rsidRDefault="00DB3A5E" w:rsidP="00822925">
      <w:pPr>
        <w:pStyle w:val="SPRUStandard"/>
        <w:jc w:val="right"/>
        <w:rPr>
          <w:lang w:val="en-US"/>
        </w:rPr>
      </w:pPr>
    </w:p>
    <w:p w14:paraId="64639A88" w14:textId="77777777" w:rsidR="00DB3A5E" w:rsidRDefault="00DB3A5E" w:rsidP="00822925">
      <w:pPr>
        <w:pStyle w:val="SPRUStandard"/>
        <w:jc w:val="right"/>
      </w:pPr>
    </w:p>
    <w:p w14:paraId="5C2C5003" w14:textId="77777777" w:rsidR="00DB3A5E" w:rsidRDefault="00DB3A5E" w:rsidP="00822925">
      <w:pPr>
        <w:pStyle w:val="SPRUStandard"/>
        <w:jc w:val="right"/>
      </w:pPr>
    </w:p>
    <w:p w14:paraId="2B065F8E" w14:textId="77777777" w:rsidR="00714CDF" w:rsidRDefault="00714CDF" w:rsidP="00822925">
      <w:pPr>
        <w:pStyle w:val="SPRUStandard"/>
        <w:jc w:val="right"/>
      </w:pPr>
    </w:p>
    <w:p w14:paraId="2E8C839C" w14:textId="1787F3D1" w:rsidR="00714CDF" w:rsidRDefault="00714CDF" w:rsidP="00822925">
      <w:pPr>
        <w:pStyle w:val="SPRUStandard"/>
        <w:jc w:val="right"/>
      </w:pPr>
    </w:p>
    <w:p w14:paraId="55A14A01" w14:textId="77777777" w:rsidR="0070197E" w:rsidRDefault="0070197E" w:rsidP="00822925">
      <w:pPr>
        <w:pStyle w:val="SPRUStandard"/>
        <w:jc w:val="right"/>
      </w:pPr>
    </w:p>
    <w:p w14:paraId="0C5DB707" w14:textId="77777777" w:rsidR="002135FA" w:rsidRDefault="002135FA" w:rsidP="002135FA">
      <w:pPr>
        <w:widowControl w:val="0"/>
        <w:spacing w:after="0" w:line="240" w:lineRule="auto"/>
        <w:jc w:val="right"/>
        <w:rPr>
          <w:rFonts w:ascii="Arial" w:hAnsi="Arial" w:cs="Arial"/>
          <w:b/>
          <w:noProof/>
          <w:szCs w:val="20"/>
        </w:rPr>
      </w:pPr>
      <w:r w:rsidRPr="00E62293">
        <w:rPr>
          <w:rFonts w:ascii="Arial" w:hAnsi="Arial" w:cs="Arial"/>
          <w:b/>
          <w:noProof/>
          <w:szCs w:val="20"/>
        </w:rPr>
        <w:t>T</w:t>
      </w:r>
      <w:r>
        <w:rPr>
          <w:rFonts w:ascii="Arial" w:hAnsi="Arial" w:cs="Arial"/>
          <w:b/>
          <w:noProof/>
          <w:szCs w:val="20"/>
        </w:rPr>
        <w:t>own and Country Planning Act 1990</w:t>
      </w:r>
      <w:r w:rsidRPr="00E62293">
        <w:rPr>
          <w:rFonts w:ascii="Arial" w:hAnsi="Arial" w:cs="Arial"/>
          <w:b/>
          <w:noProof/>
          <w:szCs w:val="20"/>
        </w:rPr>
        <w:t xml:space="preserve"> (as amended)</w:t>
      </w:r>
    </w:p>
    <w:p w14:paraId="0243363A" w14:textId="77777777" w:rsidR="002135FA" w:rsidRDefault="002135FA" w:rsidP="002135FA">
      <w:pPr>
        <w:widowControl w:val="0"/>
        <w:spacing w:after="0" w:line="240" w:lineRule="auto"/>
        <w:jc w:val="right"/>
        <w:rPr>
          <w:rFonts w:ascii="Arial" w:hAnsi="Arial" w:cs="Arial"/>
          <w:b/>
          <w:noProof/>
          <w:szCs w:val="20"/>
        </w:rPr>
      </w:pPr>
    </w:p>
    <w:p w14:paraId="678408C3" w14:textId="77777777" w:rsidR="002135FA" w:rsidRDefault="002135FA" w:rsidP="002135FA">
      <w:pPr>
        <w:widowControl w:val="0"/>
        <w:spacing w:after="0" w:line="240" w:lineRule="auto"/>
        <w:jc w:val="right"/>
        <w:rPr>
          <w:rFonts w:ascii="Arial" w:hAnsi="Arial" w:cs="Arial"/>
          <w:b/>
          <w:noProof/>
          <w:szCs w:val="20"/>
        </w:rPr>
      </w:pPr>
    </w:p>
    <w:p w14:paraId="4F511BCD" w14:textId="77777777" w:rsidR="002135FA" w:rsidRDefault="002135FA" w:rsidP="002135FA">
      <w:pPr>
        <w:widowControl w:val="0"/>
        <w:spacing w:after="0" w:line="240" w:lineRule="auto"/>
        <w:jc w:val="right"/>
        <w:rPr>
          <w:rFonts w:ascii="Arial" w:hAnsi="Arial" w:cs="Arial"/>
          <w:b/>
          <w:noProof/>
          <w:szCs w:val="20"/>
        </w:rPr>
      </w:pPr>
    </w:p>
    <w:p w14:paraId="75A454B9" w14:textId="27A0E13B" w:rsidR="002135FA" w:rsidRDefault="002135FA" w:rsidP="002135FA">
      <w:pPr>
        <w:widowControl w:val="0"/>
        <w:spacing w:after="0" w:line="240" w:lineRule="auto"/>
        <w:jc w:val="right"/>
        <w:rPr>
          <w:rFonts w:ascii="Arial" w:hAnsi="Arial" w:cs="Arial"/>
          <w:b/>
          <w:noProof/>
          <w:szCs w:val="20"/>
        </w:rPr>
      </w:pPr>
    </w:p>
    <w:p w14:paraId="61ED583E" w14:textId="77777777" w:rsidR="0070197E" w:rsidRDefault="0070197E" w:rsidP="002135FA">
      <w:pPr>
        <w:widowControl w:val="0"/>
        <w:spacing w:after="0" w:line="240" w:lineRule="auto"/>
        <w:jc w:val="right"/>
        <w:rPr>
          <w:rFonts w:ascii="Arial" w:hAnsi="Arial" w:cs="Arial"/>
          <w:b/>
          <w:noProof/>
          <w:szCs w:val="20"/>
        </w:rPr>
      </w:pPr>
    </w:p>
    <w:p w14:paraId="6CA683A3" w14:textId="77777777" w:rsidR="00F21BB1" w:rsidRDefault="002135FA" w:rsidP="002135FA">
      <w:pPr>
        <w:spacing w:after="0" w:line="240" w:lineRule="auto"/>
        <w:jc w:val="right"/>
        <w:rPr>
          <w:rFonts w:ascii="Arial" w:eastAsia="Times New Roman" w:hAnsi="Arial" w:cs="Times New Roman"/>
          <w:b/>
          <w:sz w:val="32"/>
          <w:szCs w:val="32"/>
          <w:lang w:eastAsia="en-GB"/>
        </w:rPr>
      </w:pPr>
      <w:r w:rsidRPr="00621ACD">
        <w:rPr>
          <w:rFonts w:ascii="Arial" w:eastAsia="Times New Roman" w:hAnsi="Arial" w:cs="Times New Roman"/>
          <w:b/>
          <w:sz w:val="32"/>
          <w:szCs w:val="32"/>
          <w:lang w:eastAsia="en-GB"/>
        </w:rPr>
        <w:t>Proof of Evidence on Five Year Supply of Housing</w:t>
      </w:r>
    </w:p>
    <w:p w14:paraId="5C378734" w14:textId="0F07A3E2" w:rsidR="002135FA" w:rsidRPr="00621ACD" w:rsidRDefault="002135FA" w:rsidP="002135FA">
      <w:pPr>
        <w:spacing w:after="0" w:line="240" w:lineRule="auto"/>
        <w:jc w:val="right"/>
        <w:rPr>
          <w:rFonts w:ascii="Arial" w:eastAsia="Times New Roman" w:hAnsi="Arial" w:cs="Times New Roman"/>
          <w:b/>
          <w:sz w:val="32"/>
          <w:szCs w:val="32"/>
          <w:lang w:eastAsia="en-GB"/>
        </w:rPr>
      </w:pPr>
      <w:r>
        <w:rPr>
          <w:rFonts w:ascii="Arial" w:eastAsia="Times New Roman" w:hAnsi="Arial" w:cs="Times New Roman"/>
          <w:b/>
          <w:sz w:val="32"/>
          <w:szCs w:val="32"/>
          <w:lang w:eastAsia="en-GB"/>
        </w:rPr>
        <w:t xml:space="preserve">On </w:t>
      </w:r>
      <w:r w:rsidR="0070197E">
        <w:rPr>
          <w:rFonts w:ascii="Arial" w:eastAsia="Times New Roman" w:hAnsi="Arial" w:cs="Times New Roman"/>
          <w:b/>
          <w:sz w:val="32"/>
          <w:szCs w:val="32"/>
          <w:lang w:eastAsia="en-GB"/>
        </w:rPr>
        <w:t xml:space="preserve">behalf </w:t>
      </w:r>
      <w:r w:rsidR="0070197E" w:rsidRPr="00621ACD">
        <w:rPr>
          <w:rFonts w:ascii="Arial" w:eastAsia="Times New Roman" w:hAnsi="Arial" w:cs="Times New Roman"/>
          <w:b/>
          <w:sz w:val="32"/>
          <w:szCs w:val="32"/>
          <w:lang w:eastAsia="en-GB"/>
        </w:rPr>
        <w:t>of</w:t>
      </w:r>
      <w:r w:rsidRPr="00621ACD">
        <w:rPr>
          <w:rFonts w:ascii="Arial" w:eastAsia="Times New Roman" w:hAnsi="Arial" w:cs="Times New Roman"/>
          <w:b/>
          <w:sz w:val="32"/>
          <w:szCs w:val="32"/>
          <w:lang w:eastAsia="en-GB"/>
        </w:rPr>
        <w:t xml:space="preserve"> </w:t>
      </w:r>
      <w:r w:rsidR="00BA0DC4">
        <w:rPr>
          <w:rFonts w:ascii="Arial" w:eastAsia="Times New Roman" w:hAnsi="Arial" w:cs="Times New Roman"/>
          <w:b/>
          <w:sz w:val="32"/>
          <w:szCs w:val="32"/>
          <w:lang w:eastAsia="en-GB"/>
        </w:rPr>
        <w:t>Cherwell District Council</w:t>
      </w:r>
      <w:r w:rsidRPr="00621ACD">
        <w:rPr>
          <w:rFonts w:ascii="Arial" w:eastAsia="Times New Roman" w:hAnsi="Arial" w:cs="Times New Roman"/>
          <w:b/>
          <w:sz w:val="32"/>
          <w:szCs w:val="32"/>
          <w:lang w:eastAsia="en-GB"/>
        </w:rPr>
        <w:t xml:space="preserve"> </w:t>
      </w:r>
    </w:p>
    <w:p w14:paraId="594ABFD7" w14:textId="77777777" w:rsidR="002135FA" w:rsidRPr="00E62293" w:rsidRDefault="002135FA" w:rsidP="002135FA">
      <w:pPr>
        <w:widowControl w:val="0"/>
        <w:spacing w:after="0" w:line="240" w:lineRule="auto"/>
        <w:jc w:val="right"/>
        <w:rPr>
          <w:rFonts w:ascii="Arial" w:hAnsi="Arial" w:cs="Arial"/>
          <w:noProof/>
          <w:szCs w:val="20"/>
        </w:rPr>
      </w:pPr>
    </w:p>
    <w:p w14:paraId="23AE6ECD" w14:textId="77777777" w:rsidR="002135FA" w:rsidRPr="00E62293" w:rsidRDefault="002135FA" w:rsidP="002135FA">
      <w:pPr>
        <w:widowControl w:val="0"/>
        <w:spacing w:after="0" w:line="240" w:lineRule="auto"/>
        <w:jc w:val="right"/>
        <w:rPr>
          <w:rFonts w:ascii="Arial" w:hAnsi="Arial" w:cs="Arial"/>
          <w:noProof/>
          <w:szCs w:val="20"/>
        </w:rPr>
      </w:pPr>
    </w:p>
    <w:p w14:paraId="75DD8430" w14:textId="77777777" w:rsidR="002135FA" w:rsidRDefault="002135FA" w:rsidP="002135FA">
      <w:pPr>
        <w:widowControl w:val="0"/>
        <w:spacing w:after="0" w:line="240" w:lineRule="auto"/>
        <w:jc w:val="right"/>
        <w:rPr>
          <w:rFonts w:ascii="Arial" w:hAnsi="Arial" w:cs="Arial"/>
          <w:noProof/>
          <w:szCs w:val="20"/>
        </w:rPr>
      </w:pPr>
    </w:p>
    <w:p w14:paraId="4E251DD9" w14:textId="695F2B1F" w:rsidR="002135FA" w:rsidRDefault="002135FA" w:rsidP="002135FA">
      <w:pPr>
        <w:widowControl w:val="0"/>
        <w:spacing w:after="0" w:line="240" w:lineRule="auto"/>
        <w:jc w:val="right"/>
        <w:rPr>
          <w:rFonts w:ascii="Arial" w:hAnsi="Arial" w:cs="Arial"/>
          <w:noProof/>
          <w:szCs w:val="20"/>
        </w:rPr>
      </w:pPr>
    </w:p>
    <w:p w14:paraId="030633FC" w14:textId="77777777" w:rsidR="0070197E" w:rsidRPr="00E62293" w:rsidRDefault="0070197E" w:rsidP="002135FA">
      <w:pPr>
        <w:widowControl w:val="0"/>
        <w:spacing w:after="0" w:line="240" w:lineRule="auto"/>
        <w:jc w:val="right"/>
        <w:rPr>
          <w:rFonts w:ascii="Arial" w:hAnsi="Arial" w:cs="Arial"/>
          <w:noProof/>
          <w:szCs w:val="20"/>
        </w:rPr>
      </w:pPr>
    </w:p>
    <w:p w14:paraId="3835C456" w14:textId="27C4FC49" w:rsidR="00745C78" w:rsidRPr="00713BCA" w:rsidRDefault="00745C78" w:rsidP="00BE5488">
      <w:pPr>
        <w:widowControl w:val="0"/>
        <w:spacing w:after="0" w:line="240" w:lineRule="auto"/>
        <w:jc w:val="right"/>
        <w:rPr>
          <w:rFonts w:ascii="Arial" w:hAnsi="Arial" w:cs="Arial"/>
          <w:b/>
          <w:bCs/>
          <w:noProof/>
          <w:szCs w:val="20"/>
        </w:rPr>
      </w:pPr>
      <w:bookmarkStart w:id="0" w:name="_Hlk67406222"/>
      <w:bookmarkStart w:id="1" w:name="_Hlk71615235"/>
      <w:r w:rsidRPr="00713BCA">
        <w:rPr>
          <w:rFonts w:ascii="Arial" w:hAnsi="Arial" w:cs="Arial"/>
          <w:b/>
          <w:bCs/>
          <w:noProof/>
          <w:szCs w:val="20"/>
        </w:rPr>
        <w:t>In the following appeal:</w:t>
      </w:r>
    </w:p>
    <w:p w14:paraId="27DD8F1A" w14:textId="77777777" w:rsidR="00BA0DC4" w:rsidRDefault="00BA0DC4" w:rsidP="009E53E9">
      <w:pPr>
        <w:widowControl w:val="0"/>
        <w:spacing w:after="0" w:line="240" w:lineRule="auto"/>
        <w:jc w:val="right"/>
        <w:rPr>
          <w:rFonts w:ascii="Arial" w:hAnsi="Arial" w:cs="Arial"/>
          <w:i/>
          <w:iCs/>
          <w:noProof/>
          <w:szCs w:val="20"/>
        </w:rPr>
      </w:pPr>
      <w:r w:rsidRPr="00BA0DC4">
        <w:rPr>
          <w:rFonts w:ascii="Arial" w:hAnsi="Arial" w:cs="Arial"/>
          <w:i/>
          <w:iCs/>
          <w:noProof/>
          <w:szCs w:val="20"/>
        </w:rPr>
        <w:t>Outline planning application for up to 530 residential dwellings (within Use Class C3), open space provision, access, drainage and all associated works and operations including but not limited to demolition, earthworks, and engineering operations, with the details of appearance, landscaping, layout, and scale reserved for later determination</w:t>
      </w:r>
    </w:p>
    <w:p w14:paraId="1741E2EC" w14:textId="4960F681" w:rsidR="002135FA" w:rsidRPr="00960E03" w:rsidRDefault="009E53E9" w:rsidP="009E53E9">
      <w:pPr>
        <w:widowControl w:val="0"/>
        <w:spacing w:after="0" w:line="240" w:lineRule="auto"/>
        <w:jc w:val="right"/>
        <w:rPr>
          <w:rFonts w:ascii="Arial" w:hAnsi="Arial" w:cs="Arial"/>
          <w:b/>
          <w:bCs/>
          <w:noProof/>
          <w:szCs w:val="20"/>
        </w:rPr>
      </w:pPr>
      <w:r>
        <w:rPr>
          <w:rFonts w:ascii="Arial" w:hAnsi="Arial" w:cs="Arial"/>
          <w:b/>
          <w:bCs/>
          <w:noProof/>
          <w:szCs w:val="20"/>
        </w:rPr>
        <w:t xml:space="preserve">Land </w:t>
      </w:r>
      <w:r w:rsidR="00BA0DC4">
        <w:rPr>
          <w:rFonts w:ascii="Arial" w:hAnsi="Arial" w:cs="Arial"/>
          <w:b/>
          <w:bCs/>
          <w:noProof/>
          <w:szCs w:val="20"/>
        </w:rPr>
        <w:t>at North West Bicester, Charlotte Avenue</w:t>
      </w:r>
    </w:p>
    <w:p w14:paraId="55AB2314" w14:textId="77777777" w:rsidR="002135FA" w:rsidRPr="00E62293" w:rsidRDefault="002135FA" w:rsidP="002135FA">
      <w:pPr>
        <w:pStyle w:val="SPRU121paragraph"/>
        <w:ind w:firstLine="0"/>
        <w:rPr>
          <w:noProof/>
        </w:rPr>
      </w:pPr>
    </w:p>
    <w:p w14:paraId="216DA653" w14:textId="2004F75B" w:rsidR="002135FA" w:rsidRDefault="002135FA" w:rsidP="002135FA">
      <w:pPr>
        <w:widowControl w:val="0"/>
        <w:spacing w:after="0" w:line="240" w:lineRule="auto"/>
        <w:jc w:val="right"/>
        <w:rPr>
          <w:rFonts w:ascii="Arial" w:hAnsi="Arial" w:cs="Arial"/>
          <w:noProof/>
          <w:szCs w:val="20"/>
        </w:rPr>
      </w:pPr>
    </w:p>
    <w:p w14:paraId="7992295C" w14:textId="77777777" w:rsidR="0070197E" w:rsidRPr="00E62293" w:rsidRDefault="0070197E" w:rsidP="002135FA">
      <w:pPr>
        <w:widowControl w:val="0"/>
        <w:spacing w:after="0" w:line="240" w:lineRule="auto"/>
        <w:jc w:val="right"/>
        <w:rPr>
          <w:rFonts w:ascii="Arial" w:hAnsi="Arial" w:cs="Arial"/>
          <w:noProof/>
          <w:szCs w:val="20"/>
        </w:rPr>
      </w:pPr>
    </w:p>
    <w:p w14:paraId="28492623" w14:textId="5BB43770" w:rsidR="002135FA" w:rsidRPr="00F21BB1" w:rsidRDefault="002135FA" w:rsidP="00F21BB1">
      <w:pPr>
        <w:widowControl w:val="0"/>
        <w:spacing w:line="240" w:lineRule="auto"/>
        <w:ind w:left="1069"/>
        <w:jc w:val="right"/>
        <w:rPr>
          <w:rFonts w:ascii="Arial" w:hAnsi="Arial" w:cs="Arial"/>
          <w:b/>
          <w:bCs/>
          <w:noProof/>
          <w:szCs w:val="20"/>
        </w:rPr>
      </w:pPr>
      <w:r w:rsidRPr="00E62293">
        <w:rPr>
          <w:rFonts w:ascii="Arial" w:hAnsi="Arial" w:cs="Arial"/>
          <w:b/>
          <w:noProof/>
          <w:szCs w:val="20"/>
        </w:rPr>
        <w:t>PINS R</w:t>
      </w:r>
      <w:r>
        <w:rPr>
          <w:rFonts w:ascii="Arial" w:hAnsi="Arial" w:cs="Arial"/>
          <w:b/>
          <w:noProof/>
          <w:szCs w:val="20"/>
        </w:rPr>
        <w:t>eference:</w:t>
      </w:r>
      <w:r w:rsidR="00F21BB1" w:rsidRPr="00F21BB1">
        <w:rPr>
          <w:rFonts w:ascii="Verdana" w:eastAsia="Times New Roman" w:hAnsi="Verdana" w:cs="Times New Roman"/>
          <w:bCs/>
          <w:color w:val="333333"/>
          <w:spacing w:val="-15"/>
          <w:sz w:val="32"/>
          <w:szCs w:val="32"/>
          <w:lang w:eastAsia="en-GB"/>
        </w:rPr>
        <w:t xml:space="preserve"> </w:t>
      </w:r>
      <w:bookmarkEnd w:id="0"/>
      <w:r w:rsidR="00BA0DC4" w:rsidRPr="00BA0DC4">
        <w:rPr>
          <w:rFonts w:ascii="Arial" w:hAnsi="Arial" w:cs="Arial"/>
          <w:b/>
          <w:bCs/>
          <w:noProof/>
          <w:szCs w:val="20"/>
        </w:rPr>
        <w:t>APP/C3105/W/23/3315849</w:t>
      </w:r>
    </w:p>
    <w:p w14:paraId="6197780B" w14:textId="77777777" w:rsidR="0070197E" w:rsidRPr="00E62293" w:rsidRDefault="0070197E" w:rsidP="002135FA">
      <w:pPr>
        <w:widowControl w:val="0"/>
        <w:spacing w:after="0" w:line="240" w:lineRule="auto"/>
        <w:jc w:val="right"/>
        <w:rPr>
          <w:rFonts w:ascii="Arial" w:hAnsi="Arial" w:cs="Arial"/>
          <w:noProof/>
          <w:szCs w:val="20"/>
        </w:rPr>
      </w:pPr>
    </w:p>
    <w:p w14:paraId="4CD5F9E6" w14:textId="2F0B4604" w:rsidR="002135FA" w:rsidRPr="00621ACD" w:rsidRDefault="00BE5488" w:rsidP="002135FA">
      <w:pPr>
        <w:widowControl w:val="0"/>
        <w:spacing w:after="0" w:line="240" w:lineRule="auto"/>
        <w:jc w:val="right"/>
        <w:rPr>
          <w:rFonts w:ascii="Arial" w:hAnsi="Arial" w:cs="Arial"/>
          <w:b/>
          <w:sz w:val="28"/>
          <w:szCs w:val="28"/>
        </w:rPr>
      </w:pPr>
      <w:r>
        <w:rPr>
          <w:rFonts w:ascii="Arial" w:hAnsi="Arial" w:cs="Arial"/>
          <w:b/>
          <w:sz w:val="28"/>
          <w:szCs w:val="28"/>
        </w:rPr>
        <w:t>Jon Goodall MA (</w:t>
      </w:r>
      <w:proofErr w:type="spellStart"/>
      <w:r>
        <w:rPr>
          <w:rFonts w:ascii="Arial" w:hAnsi="Arial" w:cs="Arial"/>
          <w:b/>
          <w:sz w:val="28"/>
          <w:szCs w:val="28"/>
        </w:rPr>
        <w:t>Cantab</w:t>
      </w:r>
      <w:proofErr w:type="spellEnd"/>
      <w:r>
        <w:rPr>
          <w:rFonts w:ascii="Arial" w:hAnsi="Arial" w:cs="Arial"/>
          <w:b/>
          <w:sz w:val="28"/>
          <w:szCs w:val="28"/>
        </w:rPr>
        <w:t>) MSc MRTPI</w:t>
      </w:r>
    </w:p>
    <w:p w14:paraId="47E0DA79" w14:textId="77777777" w:rsidR="002135FA" w:rsidRPr="00E62293" w:rsidRDefault="002135FA" w:rsidP="002135FA">
      <w:pPr>
        <w:widowControl w:val="0"/>
        <w:spacing w:after="0" w:line="240" w:lineRule="auto"/>
        <w:jc w:val="right"/>
        <w:rPr>
          <w:rFonts w:ascii="Arial" w:hAnsi="Arial" w:cs="Arial"/>
          <w:b/>
          <w:szCs w:val="20"/>
        </w:rPr>
      </w:pPr>
      <w:r w:rsidRPr="00E62293">
        <w:rPr>
          <w:rFonts w:ascii="Arial" w:hAnsi="Arial" w:cs="Arial"/>
          <w:b/>
          <w:szCs w:val="20"/>
        </w:rPr>
        <w:t>Strategic Planning Research Unit</w:t>
      </w:r>
    </w:p>
    <w:p w14:paraId="182A3FB5" w14:textId="77777777" w:rsidR="002135FA" w:rsidRPr="00E62293" w:rsidRDefault="002135FA" w:rsidP="002135FA">
      <w:pPr>
        <w:widowControl w:val="0"/>
        <w:spacing w:after="0" w:line="240" w:lineRule="auto"/>
        <w:jc w:val="right"/>
        <w:rPr>
          <w:rFonts w:ascii="Arial" w:hAnsi="Arial" w:cs="Arial"/>
          <w:b/>
          <w:szCs w:val="20"/>
        </w:rPr>
      </w:pPr>
      <w:r w:rsidRPr="00E62293">
        <w:rPr>
          <w:rFonts w:ascii="Arial" w:hAnsi="Arial" w:cs="Arial"/>
          <w:b/>
          <w:szCs w:val="20"/>
        </w:rPr>
        <w:t>DLP Planning Ltd</w:t>
      </w:r>
    </w:p>
    <w:p w14:paraId="27DABDE0" w14:textId="4D1871B6" w:rsidR="002135FA" w:rsidRPr="00E62293" w:rsidRDefault="00BE5488" w:rsidP="002135FA">
      <w:pPr>
        <w:widowControl w:val="0"/>
        <w:spacing w:after="0" w:line="240" w:lineRule="auto"/>
        <w:jc w:val="right"/>
        <w:rPr>
          <w:rFonts w:ascii="Arial" w:hAnsi="Arial" w:cs="Arial"/>
          <w:b/>
          <w:noProof/>
          <w:szCs w:val="20"/>
        </w:rPr>
      </w:pPr>
      <w:r>
        <w:rPr>
          <w:rFonts w:ascii="Arial" w:hAnsi="Arial" w:cs="Arial"/>
          <w:b/>
          <w:noProof/>
          <w:szCs w:val="20"/>
        </w:rPr>
        <w:t>Bedford</w:t>
      </w:r>
    </w:p>
    <w:p w14:paraId="0DB2F9EB" w14:textId="77777777" w:rsidR="002135FA" w:rsidRPr="00E62293" w:rsidRDefault="002135FA" w:rsidP="002135FA">
      <w:pPr>
        <w:widowControl w:val="0"/>
        <w:spacing w:after="0" w:line="240" w:lineRule="auto"/>
        <w:jc w:val="right"/>
        <w:rPr>
          <w:rFonts w:ascii="Arial" w:hAnsi="Arial" w:cs="Arial"/>
          <w:b/>
          <w:szCs w:val="20"/>
        </w:rPr>
      </w:pPr>
    </w:p>
    <w:p w14:paraId="262A610C" w14:textId="77777777" w:rsidR="002135FA" w:rsidRPr="00E62293" w:rsidRDefault="002135FA" w:rsidP="002135FA">
      <w:pPr>
        <w:widowControl w:val="0"/>
        <w:spacing w:after="0" w:line="240" w:lineRule="auto"/>
        <w:jc w:val="right"/>
        <w:rPr>
          <w:rFonts w:ascii="Arial" w:hAnsi="Arial" w:cs="Arial"/>
          <w:b/>
          <w:szCs w:val="20"/>
        </w:rPr>
      </w:pPr>
    </w:p>
    <w:p w14:paraId="42D9D76F" w14:textId="77777777" w:rsidR="002135FA" w:rsidRDefault="002135FA" w:rsidP="002135FA">
      <w:pPr>
        <w:widowControl w:val="0"/>
        <w:spacing w:after="0" w:line="240" w:lineRule="auto"/>
        <w:jc w:val="right"/>
        <w:rPr>
          <w:rFonts w:ascii="Arial" w:hAnsi="Arial" w:cs="Arial"/>
          <w:b/>
          <w:szCs w:val="20"/>
        </w:rPr>
      </w:pPr>
    </w:p>
    <w:p w14:paraId="3A2AA181" w14:textId="0AE51823" w:rsidR="002135FA" w:rsidRDefault="002135FA" w:rsidP="002135FA">
      <w:pPr>
        <w:widowControl w:val="0"/>
        <w:spacing w:after="0" w:line="240" w:lineRule="auto"/>
        <w:jc w:val="right"/>
        <w:rPr>
          <w:rFonts w:ascii="Arial" w:hAnsi="Arial" w:cs="Arial"/>
          <w:b/>
          <w:szCs w:val="20"/>
        </w:rPr>
      </w:pPr>
    </w:p>
    <w:p w14:paraId="11DBBDE6" w14:textId="77777777" w:rsidR="0070197E" w:rsidRDefault="0070197E" w:rsidP="002135FA">
      <w:pPr>
        <w:widowControl w:val="0"/>
        <w:spacing w:after="0" w:line="240" w:lineRule="auto"/>
        <w:jc w:val="right"/>
        <w:rPr>
          <w:rFonts w:ascii="Arial" w:hAnsi="Arial" w:cs="Arial"/>
          <w:b/>
          <w:szCs w:val="20"/>
        </w:rPr>
      </w:pPr>
    </w:p>
    <w:p w14:paraId="2B5C5472" w14:textId="19DC26FC" w:rsidR="002135FA" w:rsidRDefault="00BA0DC4" w:rsidP="00276D81">
      <w:pPr>
        <w:widowControl w:val="0"/>
        <w:spacing w:after="0" w:line="240" w:lineRule="auto"/>
        <w:jc w:val="right"/>
      </w:pPr>
      <w:r>
        <w:rPr>
          <w:rFonts w:ascii="Arial" w:hAnsi="Arial" w:cs="Arial"/>
          <w:szCs w:val="20"/>
        </w:rPr>
        <w:t>May</w:t>
      </w:r>
      <w:r w:rsidR="00F21BB1">
        <w:rPr>
          <w:rFonts w:ascii="Arial" w:hAnsi="Arial" w:cs="Arial"/>
          <w:szCs w:val="20"/>
        </w:rPr>
        <w:t xml:space="preserve"> 2023</w:t>
      </w:r>
    </w:p>
    <w:bookmarkEnd w:id="1"/>
    <w:p w14:paraId="6F03F543" w14:textId="77777777" w:rsidR="00E1783C" w:rsidRDefault="00E1783C" w:rsidP="00822925">
      <w:pPr>
        <w:pStyle w:val="SPRUStandard"/>
        <w:jc w:val="right"/>
        <w:sectPr w:rsidR="00E1783C" w:rsidSect="00625A22">
          <w:headerReference w:type="default" r:id="rId11"/>
          <w:footerReference w:type="default" r:id="rId12"/>
          <w:headerReference w:type="first" r:id="rId13"/>
          <w:pgSz w:w="11907" w:h="16840" w:code="9"/>
          <w:pgMar w:top="2268" w:right="1134" w:bottom="1134" w:left="1350" w:header="567" w:footer="720" w:gutter="0"/>
          <w:cols w:space="708"/>
          <w:titlePg/>
          <w:docGrid w:linePitch="299"/>
        </w:sectPr>
      </w:pPr>
    </w:p>
    <w:p w14:paraId="07ABF46D" w14:textId="4B89580E" w:rsidR="002135FA" w:rsidRDefault="002135FA" w:rsidP="00822925">
      <w:pPr>
        <w:pStyle w:val="SPRUStandard"/>
        <w:jc w:val="right"/>
      </w:pPr>
    </w:p>
    <w:p w14:paraId="35F072D9" w14:textId="3788C036" w:rsidR="0070197E" w:rsidRPr="00836F61" w:rsidRDefault="0070197E" w:rsidP="0070197E">
      <w:pPr>
        <w:spacing w:after="0" w:line="240" w:lineRule="auto"/>
        <w:jc w:val="right"/>
        <w:rPr>
          <w:rFonts w:ascii="Arial" w:eastAsia="Times New Roman" w:hAnsi="Arial" w:cs="Arial"/>
          <w:b/>
          <w:szCs w:val="24"/>
          <w:lang w:eastAsia="en-GB"/>
        </w:rPr>
      </w:pPr>
      <w:bookmarkStart w:id="2" w:name="_Hlk67406282"/>
      <w:r w:rsidRPr="00836F61">
        <w:rPr>
          <w:rFonts w:ascii="Arial" w:eastAsia="Times New Roman" w:hAnsi="Arial" w:cs="Times New Roman"/>
          <w:b/>
          <w:szCs w:val="24"/>
          <w:lang w:eastAsia="en-GB"/>
        </w:rPr>
        <w:t>I</w:t>
      </w:r>
      <w:r>
        <w:rPr>
          <w:rFonts w:ascii="Arial" w:eastAsia="Times New Roman" w:hAnsi="Arial" w:cs="Times New Roman"/>
          <w:b/>
          <w:szCs w:val="24"/>
          <w:lang w:eastAsia="en-GB"/>
        </w:rPr>
        <w:t>nspectorate Ref</w:t>
      </w:r>
      <w:r w:rsidRPr="00836F61">
        <w:rPr>
          <w:rFonts w:ascii="Arial" w:eastAsia="Times New Roman" w:hAnsi="Arial" w:cs="Times New Roman"/>
          <w:b/>
          <w:szCs w:val="24"/>
          <w:lang w:eastAsia="en-GB"/>
        </w:rPr>
        <w:t xml:space="preserve">: </w:t>
      </w:r>
      <w:r w:rsidR="00BA0DC4" w:rsidRPr="00BA0DC4">
        <w:rPr>
          <w:rFonts w:ascii="Arial" w:hAnsi="Arial" w:cs="Arial"/>
          <w:b/>
          <w:bCs/>
          <w:noProof/>
          <w:szCs w:val="20"/>
        </w:rPr>
        <w:t>APP/C3105/W/23/3315849</w:t>
      </w:r>
    </w:p>
    <w:p w14:paraId="0E8F5C62" w14:textId="77777777" w:rsidR="00276D81" w:rsidRDefault="00276D81" w:rsidP="0070197E">
      <w:pPr>
        <w:spacing w:after="0" w:line="240" w:lineRule="auto"/>
        <w:jc w:val="right"/>
        <w:rPr>
          <w:rFonts w:ascii="Arial" w:eastAsia="Times New Roman" w:hAnsi="Arial" w:cs="Times New Roman"/>
          <w:b/>
          <w:szCs w:val="24"/>
          <w:lang w:eastAsia="en-GB"/>
        </w:rPr>
      </w:pPr>
    </w:p>
    <w:p w14:paraId="1E700F5D" w14:textId="3229F25F" w:rsidR="0070197E" w:rsidRDefault="0070197E" w:rsidP="0070197E">
      <w:pPr>
        <w:spacing w:after="0" w:line="240" w:lineRule="auto"/>
        <w:jc w:val="right"/>
        <w:rPr>
          <w:rFonts w:ascii="Arial" w:eastAsia="Times New Roman" w:hAnsi="Arial" w:cs="Times New Roman"/>
          <w:b/>
          <w:szCs w:val="24"/>
          <w:lang w:eastAsia="en-GB"/>
        </w:rPr>
      </w:pPr>
      <w:r w:rsidRPr="00836F61">
        <w:rPr>
          <w:rFonts w:ascii="Arial" w:eastAsia="Times New Roman" w:hAnsi="Arial" w:cs="Times New Roman"/>
          <w:b/>
          <w:szCs w:val="24"/>
          <w:lang w:eastAsia="en-GB"/>
        </w:rPr>
        <w:t>P</w:t>
      </w:r>
      <w:r>
        <w:rPr>
          <w:rFonts w:ascii="Arial" w:eastAsia="Times New Roman" w:hAnsi="Arial" w:cs="Times New Roman"/>
          <w:b/>
          <w:szCs w:val="24"/>
          <w:lang w:eastAsia="en-GB"/>
        </w:rPr>
        <w:t>lanning Application Ref</w:t>
      </w:r>
      <w:r w:rsidRPr="00836F61">
        <w:rPr>
          <w:rFonts w:ascii="Arial" w:eastAsia="Times New Roman" w:hAnsi="Arial" w:cs="Times New Roman"/>
          <w:b/>
          <w:szCs w:val="24"/>
          <w:lang w:eastAsia="en-GB"/>
        </w:rPr>
        <w:t>:</w:t>
      </w:r>
      <w:r>
        <w:rPr>
          <w:rFonts w:ascii="Arial" w:eastAsia="Times New Roman" w:hAnsi="Arial" w:cs="Times New Roman"/>
          <w:b/>
          <w:szCs w:val="24"/>
          <w:lang w:eastAsia="en-GB"/>
        </w:rPr>
        <w:t xml:space="preserve"> </w:t>
      </w:r>
      <w:bookmarkStart w:id="3" w:name="_Hlk64363717"/>
      <w:r w:rsidR="00BA0DC4" w:rsidRPr="00BA0DC4">
        <w:rPr>
          <w:rFonts w:ascii="Arial" w:eastAsia="Times New Roman" w:hAnsi="Arial" w:cs="Times New Roman"/>
          <w:b/>
          <w:szCs w:val="24"/>
          <w:lang w:eastAsia="en-GB"/>
        </w:rPr>
        <w:t>21/01630/OUT</w:t>
      </w:r>
    </w:p>
    <w:bookmarkEnd w:id="3"/>
    <w:p w14:paraId="177629BA" w14:textId="77777777" w:rsidR="00DE2634" w:rsidRPr="00836F61" w:rsidRDefault="00DE2634" w:rsidP="0070197E">
      <w:pPr>
        <w:spacing w:after="0" w:line="240" w:lineRule="auto"/>
        <w:jc w:val="right"/>
        <w:rPr>
          <w:rFonts w:ascii="Arial" w:eastAsia="Times New Roman" w:hAnsi="Arial" w:cs="Times New Roman"/>
          <w:b/>
          <w:szCs w:val="24"/>
          <w:lang w:eastAsia="en-GB"/>
        </w:rPr>
      </w:pPr>
    </w:p>
    <w:p w14:paraId="4C0A1DD4" w14:textId="77777777" w:rsidR="0070197E" w:rsidRPr="00836F61" w:rsidRDefault="0070197E" w:rsidP="0070197E">
      <w:pPr>
        <w:spacing w:after="0" w:line="240" w:lineRule="auto"/>
        <w:rPr>
          <w:rFonts w:ascii="Arial" w:eastAsia="Times New Roman" w:hAnsi="Arial" w:cs="Times New Roman"/>
          <w:szCs w:val="24"/>
          <w:lang w:eastAsia="en-GB"/>
        </w:rPr>
      </w:pPr>
    </w:p>
    <w:p w14:paraId="3B272CF3" w14:textId="77777777" w:rsidR="0070197E" w:rsidRPr="00836F61" w:rsidRDefault="0070197E" w:rsidP="0070197E">
      <w:pPr>
        <w:spacing w:after="0" w:line="240" w:lineRule="auto"/>
        <w:jc w:val="right"/>
        <w:rPr>
          <w:rFonts w:ascii="Arial" w:eastAsia="Times New Roman" w:hAnsi="Arial" w:cs="Times New Roman"/>
          <w:b/>
          <w:szCs w:val="24"/>
          <w:lang w:eastAsia="en-GB"/>
        </w:rPr>
      </w:pPr>
      <w:r w:rsidRPr="00836F61">
        <w:rPr>
          <w:rFonts w:ascii="Arial" w:eastAsia="Times New Roman" w:hAnsi="Arial" w:cs="Times New Roman"/>
          <w:b/>
          <w:szCs w:val="24"/>
          <w:lang w:eastAsia="en-GB"/>
        </w:rPr>
        <w:tab/>
      </w:r>
    </w:p>
    <w:p w14:paraId="68F4456F" w14:textId="39C67608" w:rsidR="0070197E" w:rsidRDefault="0070197E" w:rsidP="0070197E">
      <w:pPr>
        <w:spacing w:after="0" w:line="240" w:lineRule="auto"/>
        <w:jc w:val="right"/>
        <w:rPr>
          <w:rFonts w:ascii="Arial" w:eastAsia="Times New Roman" w:hAnsi="Arial" w:cs="Arial"/>
          <w:b/>
          <w:szCs w:val="24"/>
          <w:lang w:eastAsia="en-GB"/>
        </w:rPr>
      </w:pPr>
      <w:r w:rsidRPr="00836F61">
        <w:rPr>
          <w:rFonts w:ascii="Arial" w:eastAsia="Times New Roman" w:hAnsi="Arial" w:cs="Times New Roman"/>
          <w:b/>
          <w:szCs w:val="24"/>
          <w:lang w:eastAsia="en-GB"/>
        </w:rPr>
        <w:t>A</w:t>
      </w:r>
      <w:r>
        <w:rPr>
          <w:rFonts w:ascii="Arial" w:eastAsia="Times New Roman" w:hAnsi="Arial" w:cs="Times New Roman"/>
          <w:b/>
          <w:szCs w:val="24"/>
          <w:lang w:eastAsia="en-GB"/>
        </w:rPr>
        <w:t>ppeal Site</w:t>
      </w:r>
      <w:r w:rsidRPr="00836F61">
        <w:rPr>
          <w:rFonts w:ascii="Arial" w:eastAsia="Times New Roman" w:hAnsi="Arial" w:cs="Times New Roman"/>
          <w:b/>
          <w:szCs w:val="24"/>
          <w:lang w:eastAsia="en-GB"/>
        </w:rPr>
        <w:t>:</w:t>
      </w:r>
      <w:r w:rsidRPr="00836F61">
        <w:rPr>
          <w:rFonts w:ascii="Arial" w:eastAsia="Times New Roman" w:hAnsi="Arial" w:cs="Arial"/>
          <w:b/>
          <w:szCs w:val="24"/>
          <w:lang w:eastAsia="en-GB"/>
        </w:rPr>
        <w:t xml:space="preserve"> </w:t>
      </w:r>
      <w:r w:rsidR="00BA0DC4" w:rsidRPr="00BA0DC4">
        <w:rPr>
          <w:rFonts w:ascii="Arial" w:hAnsi="Arial" w:cs="Arial"/>
          <w:b/>
          <w:bCs/>
          <w:noProof/>
          <w:szCs w:val="20"/>
        </w:rPr>
        <w:t>Land at North West Bicester, Charlotte Avenue</w:t>
      </w:r>
    </w:p>
    <w:p w14:paraId="70CBFF1C" w14:textId="77777777" w:rsidR="00276D81" w:rsidRPr="00836F61" w:rsidRDefault="00276D81" w:rsidP="0070197E">
      <w:pPr>
        <w:spacing w:after="0" w:line="240" w:lineRule="auto"/>
        <w:jc w:val="right"/>
        <w:rPr>
          <w:rFonts w:ascii="Arial" w:eastAsia="Times New Roman" w:hAnsi="Arial" w:cs="Arial"/>
          <w:b/>
          <w:szCs w:val="24"/>
          <w:lang w:eastAsia="en-GB"/>
        </w:rPr>
      </w:pPr>
    </w:p>
    <w:p w14:paraId="7E18A762" w14:textId="12D5057E" w:rsidR="0070197E" w:rsidRDefault="0070197E" w:rsidP="0070197E">
      <w:pPr>
        <w:spacing w:after="0" w:line="240" w:lineRule="auto"/>
        <w:jc w:val="right"/>
        <w:rPr>
          <w:rFonts w:ascii="Arial" w:eastAsia="Times New Roman" w:hAnsi="Arial" w:cs="Arial"/>
          <w:b/>
          <w:szCs w:val="24"/>
          <w:lang w:eastAsia="en-GB"/>
        </w:rPr>
      </w:pPr>
    </w:p>
    <w:p w14:paraId="12DA68AB" w14:textId="77777777" w:rsidR="0070197E" w:rsidRDefault="0070197E" w:rsidP="0070197E">
      <w:pPr>
        <w:spacing w:after="0" w:line="240" w:lineRule="auto"/>
        <w:jc w:val="right"/>
        <w:rPr>
          <w:rFonts w:ascii="Arial" w:eastAsia="Times New Roman" w:hAnsi="Arial" w:cs="Arial"/>
          <w:b/>
          <w:szCs w:val="24"/>
          <w:lang w:eastAsia="en-GB"/>
        </w:rPr>
      </w:pPr>
    </w:p>
    <w:p w14:paraId="5FEE2A95" w14:textId="77777777" w:rsidR="0070197E" w:rsidRPr="00836F61" w:rsidRDefault="0070197E" w:rsidP="0070197E">
      <w:pPr>
        <w:spacing w:after="0" w:line="240" w:lineRule="auto"/>
        <w:jc w:val="right"/>
        <w:rPr>
          <w:rFonts w:ascii="Arial" w:eastAsia="Times New Roman" w:hAnsi="Arial" w:cs="Arial"/>
          <w:b/>
          <w:szCs w:val="24"/>
          <w:lang w:eastAsia="en-GB"/>
        </w:rPr>
      </w:pPr>
    </w:p>
    <w:p w14:paraId="4EE47463" w14:textId="77777777" w:rsidR="0070197E" w:rsidRDefault="0070197E" w:rsidP="0070197E">
      <w:pPr>
        <w:spacing w:after="0" w:line="240" w:lineRule="auto"/>
        <w:jc w:val="right"/>
        <w:rPr>
          <w:rFonts w:ascii="Arial" w:eastAsia="Times New Roman" w:hAnsi="Arial" w:cs="Arial"/>
          <w:b/>
          <w:szCs w:val="24"/>
          <w:lang w:eastAsia="en-GB"/>
        </w:rPr>
      </w:pPr>
      <w:r w:rsidRPr="00836F61">
        <w:rPr>
          <w:rFonts w:ascii="Arial" w:eastAsia="Times New Roman" w:hAnsi="Arial" w:cs="Arial"/>
          <w:b/>
          <w:szCs w:val="24"/>
          <w:lang w:eastAsia="en-GB"/>
        </w:rPr>
        <w:t>T</w:t>
      </w:r>
      <w:r>
        <w:rPr>
          <w:rFonts w:ascii="Arial" w:eastAsia="Times New Roman" w:hAnsi="Arial" w:cs="Arial"/>
          <w:b/>
          <w:szCs w:val="24"/>
          <w:lang w:eastAsia="en-GB"/>
        </w:rPr>
        <w:t xml:space="preserve">own and Country Planning Act 1990 </w:t>
      </w:r>
    </w:p>
    <w:p w14:paraId="2D51E723" w14:textId="77777777" w:rsidR="0070197E" w:rsidRPr="00836F61" w:rsidRDefault="0070197E" w:rsidP="0070197E">
      <w:pPr>
        <w:spacing w:after="0" w:line="240" w:lineRule="auto"/>
        <w:jc w:val="right"/>
        <w:rPr>
          <w:rFonts w:ascii="Arial" w:eastAsia="Times New Roman" w:hAnsi="Arial" w:cs="Arial"/>
          <w:b/>
          <w:szCs w:val="24"/>
          <w:lang w:eastAsia="en-GB"/>
        </w:rPr>
      </w:pPr>
      <w:r>
        <w:rPr>
          <w:rFonts w:ascii="Arial" w:eastAsia="Times New Roman" w:hAnsi="Arial" w:cs="Arial"/>
          <w:b/>
          <w:szCs w:val="24"/>
          <w:lang w:eastAsia="en-GB"/>
        </w:rPr>
        <w:t>Section 78</w:t>
      </w:r>
    </w:p>
    <w:p w14:paraId="3A1CF624" w14:textId="77777777" w:rsidR="0070197E" w:rsidRPr="00836F61" w:rsidRDefault="0070197E" w:rsidP="0070197E">
      <w:pPr>
        <w:spacing w:after="0" w:line="240" w:lineRule="auto"/>
        <w:jc w:val="right"/>
        <w:rPr>
          <w:rFonts w:ascii="Arial" w:eastAsia="Times New Roman" w:hAnsi="Arial" w:cs="Arial"/>
          <w:b/>
          <w:szCs w:val="24"/>
          <w:lang w:eastAsia="en-GB"/>
        </w:rPr>
      </w:pPr>
    </w:p>
    <w:p w14:paraId="041BA769" w14:textId="77777777" w:rsidR="0070197E" w:rsidRPr="00836F61" w:rsidRDefault="0070197E" w:rsidP="0070197E">
      <w:pPr>
        <w:spacing w:after="0" w:line="240" w:lineRule="auto"/>
        <w:jc w:val="right"/>
        <w:rPr>
          <w:rFonts w:ascii="Arial" w:eastAsia="Times New Roman" w:hAnsi="Arial" w:cs="Times New Roman"/>
          <w:b/>
          <w:szCs w:val="24"/>
          <w:lang w:eastAsia="en-GB"/>
        </w:rPr>
      </w:pPr>
    </w:p>
    <w:p w14:paraId="33F222F0" w14:textId="77777777" w:rsidR="0070197E" w:rsidRPr="00836F61" w:rsidRDefault="0070197E" w:rsidP="0070197E">
      <w:pPr>
        <w:spacing w:after="0" w:line="240" w:lineRule="auto"/>
        <w:rPr>
          <w:rFonts w:ascii="Arial" w:eastAsia="Times New Roman" w:hAnsi="Arial" w:cs="Times New Roman"/>
          <w:szCs w:val="24"/>
          <w:lang w:eastAsia="en-GB"/>
        </w:rPr>
      </w:pPr>
    </w:p>
    <w:p w14:paraId="6B332913" w14:textId="52D82056" w:rsidR="0070197E" w:rsidRDefault="0070197E" w:rsidP="0070197E">
      <w:pPr>
        <w:spacing w:after="0" w:line="240" w:lineRule="auto"/>
        <w:jc w:val="right"/>
        <w:rPr>
          <w:rFonts w:ascii="Arial" w:eastAsia="Times New Roman" w:hAnsi="Arial" w:cs="Times New Roman"/>
          <w:b/>
          <w:szCs w:val="24"/>
          <w:lang w:eastAsia="en-GB"/>
        </w:rPr>
      </w:pPr>
      <w:r>
        <w:rPr>
          <w:rFonts w:ascii="Arial" w:eastAsia="Times New Roman" w:hAnsi="Arial" w:cs="Times New Roman"/>
          <w:b/>
          <w:szCs w:val="24"/>
          <w:lang w:eastAsia="en-GB"/>
        </w:rPr>
        <w:t xml:space="preserve">Proof of Evidence on the Five-Year Supply of Housing </w:t>
      </w:r>
    </w:p>
    <w:p w14:paraId="24BBC094" w14:textId="1AC8F673" w:rsidR="0070197E" w:rsidRPr="00836F61" w:rsidRDefault="0070197E" w:rsidP="0070197E">
      <w:pPr>
        <w:spacing w:after="0" w:line="240" w:lineRule="auto"/>
        <w:jc w:val="right"/>
        <w:rPr>
          <w:rFonts w:ascii="Arial" w:eastAsia="Times New Roman" w:hAnsi="Arial" w:cs="Times New Roman"/>
          <w:b/>
          <w:szCs w:val="24"/>
          <w:lang w:eastAsia="en-GB"/>
        </w:rPr>
      </w:pPr>
      <w:r>
        <w:rPr>
          <w:rFonts w:ascii="Arial" w:eastAsia="Times New Roman" w:hAnsi="Arial" w:cs="Times New Roman"/>
          <w:b/>
          <w:szCs w:val="24"/>
          <w:lang w:eastAsia="en-GB"/>
        </w:rPr>
        <w:t xml:space="preserve">in Respect of </w:t>
      </w:r>
      <w:r w:rsidR="00BA0DC4">
        <w:rPr>
          <w:rFonts w:ascii="Arial" w:eastAsia="Times New Roman" w:hAnsi="Arial" w:cs="Times New Roman"/>
          <w:b/>
          <w:szCs w:val="24"/>
          <w:lang w:eastAsia="en-GB"/>
        </w:rPr>
        <w:t>Cherwell District Council</w:t>
      </w:r>
    </w:p>
    <w:p w14:paraId="51D7BF36" w14:textId="0B44998D" w:rsidR="0070197E" w:rsidRDefault="0070197E" w:rsidP="0070197E">
      <w:pPr>
        <w:spacing w:after="0" w:line="240" w:lineRule="auto"/>
        <w:jc w:val="right"/>
        <w:rPr>
          <w:rFonts w:ascii="Arial" w:eastAsia="Times New Roman" w:hAnsi="Arial" w:cs="Times New Roman"/>
          <w:b/>
          <w:szCs w:val="24"/>
          <w:lang w:eastAsia="en-GB"/>
        </w:rPr>
      </w:pPr>
    </w:p>
    <w:p w14:paraId="5CCF6577" w14:textId="77777777" w:rsidR="0070197E" w:rsidRDefault="0070197E" w:rsidP="0070197E">
      <w:pPr>
        <w:spacing w:after="0" w:line="240" w:lineRule="auto"/>
        <w:jc w:val="right"/>
        <w:rPr>
          <w:rFonts w:ascii="Arial" w:eastAsia="Times New Roman" w:hAnsi="Arial" w:cs="Times New Roman"/>
          <w:b/>
          <w:szCs w:val="24"/>
          <w:lang w:eastAsia="en-GB"/>
        </w:rPr>
      </w:pPr>
    </w:p>
    <w:p w14:paraId="1B7460D2" w14:textId="77777777" w:rsidR="0070197E" w:rsidRPr="00836F61" w:rsidRDefault="0070197E" w:rsidP="0070197E">
      <w:pPr>
        <w:spacing w:after="0" w:line="240" w:lineRule="auto"/>
        <w:jc w:val="right"/>
        <w:rPr>
          <w:rFonts w:ascii="Arial" w:eastAsia="Times New Roman" w:hAnsi="Arial" w:cs="Times New Roman"/>
          <w:b/>
          <w:szCs w:val="24"/>
          <w:lang w:eastAsia="en-GB"/>
        </w:rPr>
      </w:pPr>
    </w:p>
    <w:p w14:paraId="5AB322EB" w14:textId="77777777" w:rsidR="0070197E" w:rsidRPr="00836F61" w:rsidRDefault="0070197E" w:rsidP="0070197E">
      <w:pPr>
        <w:spacing w:after="0" w:line="240" w:lineRule="auto"/>
        <w:jc w:val="right"/>
        <w:rPr>
          <w:rFonts w:ascii="Arial" w:eastAsia="Times New Roman" w:hAnsi="Arial" w:cs="Times New Roman"/>
          <w:b/>
          <w:szCs w:val="24"/>
          <w:lang w:eastAsia="en-GB"/>
        </w:rPr>
      </w:pPr>
      <w:r w:rsidRPr="00836F61">
        <w:rPr>
          <w:rFonts w:ascii="Arial" w:eastAsia="Times New Roman" w:hAnsi="Arial" w:cs="Times New Roman"/>
          <w:b/>
          <w:szCs w:val="24"/>
          <w:lang w:eastAsia="en-GB"/>
        </w:rPr>
        <w:t>Prepared on behalf of</w:t>
      </w:r>
    </w:p>
    <w:p w14:paraId="254F67EA" w14:textId="23781979" w:rsidR="0070197E" w:rsidRPr="00836F61" w:rsidRDefault="00BA0DC4" w:rsidP="0070197E">
      <w:pPr>
        <w:spacing w:after="0" w:line="240" w:lineRule="auto"/>
        <w:jc w:val="right"/>
        <w:rPr>
          <w:rFonts w:ascii="Arial" w:eastAsia="Times New Roman" w:hAnsi="Arial" w:cs="Times New Roman"/>
          <w:szCs w:val="24"/>
          <w:lang w:eastAsia="en-GB"/>
        </w:rPr>
      </w:pPr>
      <w:r>
        <w:rPr>
          <w:rFonts w:ascii="Arial" w:eastAsia="Times New Roman" w:hAnsi="Arial" w:cs="Arial"/>
          <w:b/>
          <w:bCs/>
          <w:color w:val="000000"/>
          <w:lang w:eastAsia="en-GB"/>
        </w:rPr>
        <w:t>Cherwell District Council</w:t>
      </w:r>
    </w:p>
    <w:p w14:paraId="72524DFA" w14:textId="77777777" w:rsidR="0070197E" w:rsidRPr="00836F61" w:rsidRDefault="0070197E" w:rsidP="0070197E">
      <w:pPr>
        <w:spacing w:after="0" w:line="240" w:lineRule="auto"/>
        <w:jc w:val="right"/>
        <w:rPr>
          <w:rFonts w:ascii="Arial" w:eastAsia="Times New Roman" w:hAnsi="Arial" w:cs="Times New Roman"/>
          <w:b/>
          <w:szCs w:val="24"/>
          <w:lang w:eastAsia="en-GB"/>
        </w:rPr>
      </w:pPr>
    </w:p>
    <w:p w14:paraId="5A866515" w14:textId="77777777" w:rsidR="0070197E" w:rsidRDefault="0070197E" w:rsidP="0070197E">
      <w:pPr>
        <w:spacing w:after="0" w:line="240" w:lineRule="auto"/>
        <w:jc w:val="right"/>
        <w:rPr>
          <w:rFonts w:ascii="Arial" w:eastAsia="Times New Roman" w:hAnsi="Arial" w:cs="Times New Roman"/>
          <w:b/>
          <w:szCs w:val="24"/>
          <w:lang w:eastAsia="en-GB"/>
        </w:rPr>
      </w:pPr>
    </w:p>
    <w:p w14:paraId="70E0BACE" w14:textId="77777777" w:rsidR="0070197E" w:rsidRPr="00836F61" w:rsidRDefault="0070197E" w:rsidP="0070197E">
      <w:pPr>
        <w:spacing w:after="0" w:line="240" w:lineRule="auto"/>
        <w:jc w:val="right"/>
        <w:rPr>
          <w:rFonts w:ascii="Arial" w:eastAsia="Times New Roman" w:hAnsi="Arial" w:cs="Times New Roman"/>
          <w:b/>
          <w:szCs w:val="24"/>
          <w:lang w:eastAsia="en-GB"/>
        </w:rPr>
      </w:pPr>
    </w:p>
    <w:p w14:paraId="786B6B6A" w14:textId="77777777" w:rsidR="0070197E" w:rsidRPr="00836F61" w:rsidRDefault="0070197E" w:rsidP="0070197E">
      <w:pPr>
        <w:spacing w:after="0" w:line="240" w:lineRule="auto"/>
        <w:jc w:val="right"/>
        <w:rPr>
          <w:rFonts w:ascii="Arial" w:eastAsia="Times New Roman" w:hAnsi="Arial" w:cs="Times New Roman"/>
          <w:b/>
          <w:szCs w:val="24"/>
          <w:lang w:eastAsia="en-GB"/>
        </w:rPr>
      </w:pPr>
      <w:r w:rsidRPr="00836F61">
        <w:rPr>
          <w:rFonts w:ascii="Arial" w:eastAsia="Times New Roman" w:hAnsi="Arial" w:cs="Times New Roman"/>
          <w:b/>
          <w:szCs w:val="24"/>
          <w:lang w:eastAsia="en-GB"/>
        </w:rPr>
        <w:t>Evidence</w:t>
      </w:r>
      <w:r>
        <w:rPr>
          <w:rFonts w:ascii="Arial" w:eastAsia="Times New Roman" w:hAnsi="Arial" w:cs="Times New Roman"/>
          <w:b/>
          <w:szCs w:val="24"/>
          <w:lang w:eastAsia="en-GB"/>
        </w:rPr>
        <w:t xml:space="preserve"> </w:t>
      </w:r>
      <w:r w:rsidRPr="00836F61">
        <w:rPr>
          <w:rFonts w:ascii="Arial" w:eastAsia="Times New Roman" w:hAnsi="Arial" w:cs="Times New Roman"/>
          <w:b/>
          <w:szCs w:val="24"/>
          <w:lang w:eastAsia="en-GB"/>
        </w:rPr>
        <w:t>of</w:t>
      </w:r>
    </w:p>
    <w:p w14:paraId="4C04C801" w14:textId="443F2A8D" w:rsidR="0070197E" w:rsidRPr="00836F61" w:rsidRDefault="00BE5488" w:rsidP="0070197E">
      <w:pPr>
        <w:spacing w:after="0" w:line="240" w:lineRule="auto"/>
        <w:jc w:val="right"/>
        <w:rPr>
          <w:rFonts w:ascii="Arial" w:eastAsia="Times New Roman" w:hAnsi="Arial" w:cs="Times New Roman"/>
          <w:b/>
          <w:szCs w:val="24"/>
          <w:lang w:eastAsia="en-GB"/>
        </w:rPr>
      </w:pPr>
      <w:r>
        <w:rPr>
          <w:rFonts w:ascii="Arial" w:eastAsia="Times New Roman" w:hAnsi="Arial" w:cs="Times New Roman"/>
          <w:b/>
          <w:szCs w:val="24"/>
          <w:lang w:eastAsia="en-GB"/>
        </w:rPr>
        <w:t>Jon Goodall MA (</w:t>
      </w:r>
      <w:proofErr w:type="spellStart"/>
      <w:r>
        <w:rPr>
          <w:rFonts w:ascii="Arial" w:eastAsia="Times New Roman" w:hAnsi="Arial" w:cs="Times New Roman"/>
          <w:b/>
          <w:szCs w:val="24"/>
          <w:lang w:eastAsia="en-GB"/>
        </w:rPr>
        <w:t>Cantab</w:t>
      </w:r>
      <w:proofErr w:type="spellEnd"/>
      <w:r>
        <w:rPr>
          <w:rFonts w:ascii="Arial" w:eastAsia="Times New Roman" w:hAnsi="Arial" w:cs="Times New Roman"/>
          <w:b/>
          <w:szCs w:val="24"/>
          <w:lang w:eastAsia="en-GB"/>
        </w:rPr>
        <w:t>) MSc MRTPI</w:t>
      </w:r>
    </w:p>
    <w:p w14:paraId="6E79AA00" w14:textId="3AE72739" w:rsidR="0070197E" w:rsidRPr="00836F61" w:rsidRDefault="00BA463C" w:rsidP="00BA463C">
      <w:pPr>
        <w:tabs>
          <w:tab w:val="left" w:pos="5628"/>
        </w:tabs>
        <w:spacing w:after="0" w:line="240" w:lineRule="auto"/>
        <w:rPr>
          <w:rFonts w:ascii="Arial" w:eastAsia="Times New Roman" w:hAnsi="Arial" w:cs="Times New Roman"/>
          <w:b/>
          <w:szCs w:val="24"/>
          <w:lang w:eastAsia="en-GB"/>
        </w:rPr>
      </w:pPr>
      <w:r>
        <w:rPr>
          <w:rFonts w:ascii="Arial" w:eastAsia="Times New Roman" w:hAnsi="Arial" w:cs="Times New Roman"/>
          <w:b/>
          <w:szCs w:val="24"/>
          <w:lang w:eastAsia="en-GB"/>
        </w:rPr>
        <w:tab/>
      </w:r>
    </w:p>
    <w:p w14:paraId="4C7BA175" w14:textId="77777777" w:rsidR="0070197E" w:rsidRPr="00836F61" w:rsidRDefault="0070197E" w:rsidP="0070197E">
      <w:pPr>
        <w:spacing w:after="0" w:line="240" w:lineRule="auto"/>
        <w:jc w:val="right"/>
        <w:rPr>
          <w:rFonts w:ascii="Arial" w:eastAsia="Times New Roman" w:hAnsi="Arial" w:cs="Times New Roman"/>
          <w:szCs w:val="24"/>
          <w:lang w:eastAsia="en-GB"/>
        </w:rPr>
      </w:pPr>
    </w:p>
    <w:p w14:paraId="3DEDEF3A" w14:textId="77777777" w:rsidR="0070197E" w:rsidRPr="00836F61" w:rsidRDefault="0070197E" w:rsidP="0070197E">
      <w:pPr>
        <w:spacing w:after="0" w:line="240" w:lineRule="auto"/>
        <w:jc w:val="right"/>
        <w:rPr>
          <w:rFonts w:ascii="Arial" w:eastAsia="Times New Roman" w:hAnsi="Arial" w:cs="Times New Roman"/>
          <w:szCs w:val="24"/>
          <w:lang w:eastAsia="en-GB"/>
        </w:rPr>
      </w:pPr>
    </w:p>
    <w:p w14:paraId="6BFF6939" w14:textId="77777777" w:rsidR="0070197E" w:rsidRPr="00836F61" w:rsidRDefault="0070197E" w:rsidP="0070197E">
      <w:pPr>
        <w:spacing w:after="0" w:line="240" w:lineRule="auto"/>
        <w:jc w:val="right"/>
        <w:rPr>
          <w:rFonts w:ascii="Arial" w:eastAsia="Times New Roman" w:hAnsi="Arial" w:cs="Times New Roman"/>
          <w:szCs w:val="24"/>
          <w:lang w:eastAsia="en-GB"/>
        </w:rPr>
      </w:pPr>
      <w:r w:rsidRPr="00836F61">
        <w:rPr>
          <w:rFonts w:ascii="Arial" w:eastAsia="Times New Roman" w:hAnsi="Arial" w:cs="Times New Roman"/>
          <w:szCs w:val="24"/>
          <w:lang w:eastAsia="en-GB"/>
        </w:rPr>
        <w:t>Strategic Planning Research Unit</w:t>
      </w:r>
    </w:p>
    <w:p w14:paraId="610B85D8" w14:textId="77777777" w:rsidR="00D658B2" w:rsidRPr="00D658B2" w:rsidRDefault="00D658B2" w:rsidP="00D658B2">
      <w:pPr>
        <w:spacing w:after="0" w:line="240" w:lineRule="auto"/>
        <w:jc w:val="right"/>
        <w:rPr>
          <w:rFonts w:ascii="Arial" w:eastAsia="Times New Roman" w:hAnsi="Arial" w:cs="Times New Roman"/>
          <w:szCs w:val="24"/>
          <w:lang w:eastAsia="en-GB"/>
        </w:rPr>
      </w:pPr>
      <w:r w:rsidRPr="00D658B2">
        <w:rPr>
          <w:rFonts w:ascii="Arial" w:eastAsia="Times New Roman" w:hAnsi="Arial" w:cs="Times New Roman"/>
          <w:szCs w:val="24"/>
          <w:lang w:eastAsia="en-GB"/>
        </w:rPr>
        <w:t>4 Abbey Court</w:t>
      </w:r>
    </w:p>
    <w:p w14:paraId="121A9B72" w14:textId="77777777" w:rsidR="00D658B2" w:rsidRPr="00D658B2" w:rsidRDefault="00D658B2" w:rsidP="00D658B2">
      <w:pPr>
        <w:spacing w:after="0" w:line="240" w:lineRule="auto"/>
        <w:jc w:val="right"/>
        <w:rPr>
          <w:rFonts w:ascii="Arial" w:eastAsia="Times New Roman" w:hAnsi="Arial" w:cs="Times New Roman"/>
          <w:szCs w:val="24"/>
          <w:lang w:eastAsia="en-GB"/>
        </w:rPr>
      </w:pPr>
      <w:r w:rsidRPr="00D658B2">
        <w:rPr>
          <w:rFonts w:ascii="Arial" w:eastAsia="Times New Roman" w:hAnsi="Arial" w:cs="Times New Roman"/>
          <w:szCs w:val="24"/>
          <w:lang w:eastAsia="en-GB"/>
        </w:rPr>
        <w:t>Fraser Road</w:t>
      </w:r>
    </w:p>
    <w:p w14:paraId="21CA0E14" w14:textId="77777777" w:rsidR="00D658B2" w:rsidRPr="00D658B2" w:rsidRDefault="00D658B2" w:rsidP="00D658B2">
      <w:pPr>
        <w:spacing w:after="0" w:line="240" w:lineRule="auto"/>
        <w:jc w:val="right"/>
        <w:rPr>
          <w:rFonts w:ascii="Arial" w:eastAsia="Times New Roman" w:hAnsi="Arial" w:cs="Times New Roman"/>
          <w:szCs w:val="24"/>
          <w:lang w:eastAsia="en-GB"/>
        </w:rPr>
      </w:pPr>
      <w:r w:rsidRPr="00D658B2">
        <w:rPr>
          <w:rFonts w:ascii="Arial" w:eastAsia="Times New Roman" w:hAnsi="Arial" w:cs="Times New Roman"/>
          <w:szCs w:val="24"/>
          <w:lang w:eastAsia="en-GB"/>
        </w:rPr>
        <w:t>Priory Business Park</w:t>
      </w:r>
    </w:p>
    <w:p w14:paraId="5F8AC871" w14:textId="77777777" w:rsidR="00D658B2" w:rsidRPr="00D658B2" w:rsidRDefault="00D658B2" w:rsidP="00D658B2">
      <w:pPr>
        <w:spacing w:after="0" w:line="240" w:lineRule="auto"/>
        <w:jc w:val="right"/>
        <w:rPr>
          <w:rFonts w:ascii="Arial" w:eastAsia="Times New Roman" w:hAnsi="Arial" w:cs="Times New Roman"/>
          <w:szCs w:val="24"/>
          <w:lang w:eastAsia="en-GB"/>
        </w:rPr>
      </w:pPr>
      <w:r w:rsidRPr="00D658B2">
        <w:rPr>
          <w:rFonts w:ascii="Arial" w:eastAsia="Times New Roman" w:hAnsi="Arial" w:cs="Times New Roman"/>
          <w:szCs w:val="24"/>
          <w:lang w:eastAsia="en-GB"/>
        </w:rPr>
        <w:t>Bedford</w:t>
      </w:r>
    </w:p>
    <w:p w14:paraId="49FBB2D7" w14:textId="12A8C87E" w:rsidR="0070197E" w:rsidRDefault="00D658B2" w:rsidP="00D658B2">
      <w:pPr>
        <w:spacing w:after="0" w:line="240" w:lineRule="auto"/>
        <w:jc w:val="right"/>
        <w:rPr>
          <w:rFonts w:ascii="Arial" w:eastAsia="Times New Roman" w:hAnsi="Arial" w:cs="Times New Roman"/>
          <w:szCs w:val="24"/>
          <w:lang w:eastAsia="en-GB"/>
        </w:rPr>
      </w:pPr>
      <w:r w:rsidRPr="00D658B2">
        <w:rPr>
          <w:rFonts w:ascii="Arial" w:eastAsia="Times New Roman" w:hAnsi="Arial" w:cs="Times New Roman"/>
          <w:szCs w:val="24"/>
          <w:lang w:eastAsia="en-GB"/>
        </w:rPr>
        <w:t>MK44 3WH</w:t>
      </w:r>
    </w:p>
    <w:p w14:paraId="7020567F" w14:textId="77777777" w:rsidR="00D658B2" w:rsidRPr="00836F61" w:rsidRDefault="00D658B2" w:rsidP="00D658B2">
      <w:pPr>
        <w:spacing w:after="0" w:line="240" w:lineRule="auto"/>
        <w:jc w:val="right"/>
        <w:rPr>
          <w:rFonts w:ascii="Arial" w:eastAsia="Times New Roman" w:hAnsi="Arial" w:cs="Times New Roman"/>
          <w:szCs w:val="24"/>
          <w:lang w:eastAsia="en-GB"/>
        </w:rPr>
      </w:pPr>
    </w:p>
    <w:p w14:paraId="5808CA8E" w14:textId="1E43904A" w:rsidR="0070197E" w:rsidRPr="00836F61" w:rsidRDefault="0070197E" w:rsidP="0070197E">
      <w:pPr>
        <w:spacing w:after="0" w:line="240" w:lineRule="auto"/>
        <w:jc w:val="right"/>
        <w:rPr>
          <w:rFonts w:ascii="Arial" w:eastAsia="Times New Roman" w:hAnsi="Arial" w:cs="Times New Roman"/>
          <w:szCs w:val="24"/>
          <w:lang w:eastAsia="en-GB"/>
        </w:rPr>
      </w:pPr>
      <w:r w:rsidRPr="00836F61">
        <w:rPr>
          <w:rFonts w:ascii="Arial" w:eastAsia="Times New Roman" w:hAnsi="Arial" w:cs="Times New Roman"/>
          <w:szCs w:val="24"/>
          <w:lang w:eastAsia="en-GB"/>
        </w:rPr>
        <w:t xml:space="preserve">Tel: </w:t>
      </w:r>
      <w:r w:rsidR="00D658B2" w:rsidRPr="00D658B2">
        <w:rPr>
          <w:rFonts w:ascii="Arial" w:eastAsia="Times New Roman" w:hAnsi="Arial" w:cs="Times New Roman"/>
          <w:szCs w:val="24"/>
          <w:lang w:eastAsia="en-GB"/>
        </w:rPr>
        <w:t>01234 832 740</w:t>
      </w:r>
    </w:p>
    <w:p w14:paraId="5AA2708F" w14:textId="4BBA5BA6" w:rsidR="0070197E" w:rsidRDefault="0070197E" w:rsidP="0070197E">
      <w:pPr>
        <w:spacing w:after="0" w:line="240" w:lineRule="auto"/>
        <w:jc w:val="right"/>
        <w:rPr>
          <w:rFonts w:ascii="Arial" w:eastAsia="Times New Roman" w:hAnsi="Arial" w:cs="Times New Roman"/>
          <w:szCs w:val="24"/>
          <w:lang w:eastAsia="en-GB"/>
        </w:rPr>
      </w:pPr>
      <w:r w:rsidRPr="00836F61">
        <w:rPr>
          <w:rFonts w:ascii="Arial" w:eastAsia="Times New Roman" w:hAnsi="Arial" w:cs="Times New Roman"/>
          <w:szCs w:val="24"/>
          <w:lang w:eastAsia="en-GB"/>
        </w:rPr>
        <w:t xml:space="preserve">Fax: </w:t>
      </w:r>
      <w:r w:rsidR="00D658B2" w:rsidRPr="00D658B2">
        <w:rPr>
          <w:rFonts w:ascii="Arial" w:eastAsia="Times New Roman" w:hAnsi="Arial" w:cs="Times New Roman"/>
          <w:szCs w:val="24"/>
          <w:lang w:eastAsia="en-GB"/>
        </w:rPr>
        <w:t>01234 831 266</w:t>
      </w:r>
    </w:p>
    <w:p w14:paraId="475AC399" w14:textId="77777777" w:rsidR="00D658B2" w:rsidRPr="00836F61" w:rsidRDefault="00D658B2" w:rsidP="0070197E">
      <w:pPr>
        <w:spacing w:after="0" w:line="240" w:lineRule="auto"/>
        <w:jc w:val="right"/>
        <w:rPr>
          <w:rFonts w:ascii="Arial" w:eastAsia="Times New Roman" w:hAnsi="Arial" w:cs="Times New Roman"/>
          <w:szCs w:val="24"/>
          <w:lang w:eastAsia="en-GB"/>
        </w:rPr>
      </w:pPr>
    </w:p>
    <w:p w14:paraId="24C50EDE" w14:textId="77777777" w:rsidR="0070197E" w:rsidRPr="00836F61" w:rsidRDefault="0070197E" w:rsidP="0070197E">
      <w:pPr>
        <w:spacing w:after="0" w:line="240" w:lineRule="auto"/>
        <w:jc w:val="right"/>
        <w:rPr>
          <w:rFonts w:ascii="Arial" w:eastAsia="Times New Roman" w:hAnsi="Arial" w:cs="Times New Roman"/>
          <w:szCs w:val="24"/>
          <w:lang w:eastAsia="en-GB"/>
        </w:rPr>
      </w:pPr>
      <w:r w:rsidRPr="00836F61">
        <w:rPr>
          <w:rFonts w:ascii="Arial" w:eastAsia="Times New Roman" w:hAnsi="Arial" w:cs="Times New Roman"/>
          <w:szCs w:val="24"/>
          <w:lang w:eastAsia="en-GB"/>
        </w:rPr>
        <w:t xml:space="preserve">  www.dlpconsultants.co.uk</w:t>
      </w:r>
    </w:p>
    <w:p w14:paraId="36D82A39" w14:textId="77777777" w:rsidR="0070197E" w:rsidRDefault="0070197E" w:rsidP="0070197E">
      <w:pPr>
        <w:spacing w:after="0" w:line="240" w:lineRule="auto"/>
        <w:jc w:val="right"/>
        <w:rPr>
          <w:rFonts w:ascii="Arial" w:eastAsia="Times New Roman" w:hAnsi="Arial" w:cs="Times New Roman"/>
          <w:szCs w:val="24"/>
          <w:lang w:eastAsia="en-GB"/>
        </w:rPr>
      </w:pPr>
    </w:p>
    <w:p w14:paraId="1DD8A2CD" w14:textId="77777777" w:rsidR="0070197E" w:rsidRDefault="0070197E" w:rsidP="0070197E">
      <w:pPr>
        <w:spacing w:after="0" w:line="240" w:lineRule="auto"/>
        <w:jc w:val="right"/>
        <w:rPr>
          <w:rFonts w:ascii="Arial" w:eastAsia="Times New Roman" w:hAnsi="Arial" w:cs="Times New Roman"/>
          <w:szCs w:val="24"/>
          <w:lang w:eastAsia="en-GB"/>
        </w:rPr>
      </w:pPr>
    </w:p>
    <w:p w14:paraId="1AEA6100" w14:textId="77777777" w:rsidR="0070197E" w:rsidRPr="00836F61" w:rsidRDefault="0070197E" w:rsidP="0070197E">
      <w:pPr>
        <w:spacing w:after="0" w:line="240" w:lineRule="auto"/>
        <w:jc w:val="right"/>
        <w:rPr>
          <w:rFonts w:ascii="Arial" w:eastAsia="Times New Roman" w:hAnsi="Arial" w:cs="Times New Roman"/>
          <w:szCs w:val="24"/>
          <w:lang w:eastAsia="en-GB"/>
        </w:rPr>
      </w:pPr>
    </w:p>
    <w:p w14:paraId="2C97FE44" w14:textId="3CA93D28" w:rsidR="0070197E" w:rsidRPr="00836F61" w:rsidRDefault="00BA0DC4" w:rsidP="0070197E">
      <w:pPr>
        <w:spacing w:after="0" w:line="240" w:lineRule="auto"/>
        <w:jc w:val="right"/>
        <w:rPr>
          <w:rFonts w:ascii="Arial" w:eastAsia="Times New Roman" w:hAnsi="Arial" w:cs="Times New Roman"/>
          <w:b/>
          <w:szCs w:val="24"/>
          <w:lang w:eastAsia="en-GB"/>
        </w:rPr>
      </w:pPr>
      <w:r>
        <w:rPr>
          <w:rFonts w:ascii="Arial" w:eastAsia="Times New Roman" w:hAnsi="Arial" w:cs="Times New Roman"/>
          <w:b/>
          <w:szCs w:val="24"/>
          <w:lang w:eastAsia="en-GB"/>
        </w:rPr>
        <w:t>May</w:t>
      </w:r>
      <w:r w:rsidR="00F21BB1">
        <w:rPr>
          <w:rFonts w:ascii="Arial" w:eastAsia="Times New Roman" w:hAnsi="Arial" w:cs="Times New Roman"/>
          <w:b/>
          <w:szCs w:val="24"/>
          <w:lang w:eastAsia="en-GB"/>
        </w:rPr>
        <w:t xml:space="preserve"> 2023</w:t>
      </w:r>
    </w:p>
    <w:bookmarkEnd w:id="2"/>
    <w:p w14:paraId="49BF3C13" w14:textId="77777777" w:rsidR="002135FA" w:rsidRDefault="002135FA" w:rsidP="00822925">
      <w:pPr>
        <w:pStyle w:val="SPRUStandard"/>
        <w:jc w:val="right"/>
      </w:pPr>
    </w:p>
    <w:p w14:paraId="7D6949FB" w14:textId="77777777" w:rsidR="009923C4" w:rsidRDefault="009923C4" w:rsidP="00A21A7B">
      <w:pPr>
        <w:pStyle w:val="SPRUStandard"/>
        <w:tabs>
          <w:tab w:val="left" w:pos="5595"/>
        </w:tabs>
        <w:ind w:right="-284"/>
        <w:rPr>
          <w:b/>
          <w:sz w:val="24"/>
          <w:szCs w:val="24"/>
        </w:rPr>
        <w:sectPr w:rsidR="009923C4" w:rsidSect="00E1783C">
          <w:headerReference w:type="default" r:id="rId14"/>
          <w:footerReference w:type="default" r:id="rId15"/>
          <w:pgSz w:w="11907" w:h="16840" w:code="9"/>
          <w:pgMar w:top="2268" w:right="1134" w:bottom="1134" w:left="1134" w:header="567" w:footer="720" w:gutter="0"/>
          <w:cols w:space="708"/>
          <w:docGrid w:linePitch="299"/>
        </w:sectPr>
      </w:pPr>
    </w:p>
    <w:p w14:paraId="1DC17C1A" w14:textId="77777777" w:rsidR="001D570E" w:rsidRDefault="001D570E" w:rsidP="00A21A7B">
      <w:pPr>
        <w:pStyle w:val="SPRUStandard"/>
        <w:tabs>
          <w:tab w:val="left" w:pos="5595"/>
        </w:tabs>
        <w:ind w:right="-284"/>
        <w:rPr>
          <w:b/>
          <w:sz w:val="24"/>
          <w:szCs w:val="24"/>
        </w:rPr>
      </w:pPr>
    </w:p>
    <w:p w14:paraId="22C2B3D5" w14:textId="77777777" w:rsidR="00564887" w:rsidRPr="00564887" w:rsidRDefault="00564887" w:rsidP="00232D80">
      <w:pPr>
        <w:pStyle w:val="SPRUStandard"/>
        <w:tabs>
          <w:tab w:val="left" w:pos="8789"/>
        </w:tabs>
        <w:ind w:right="-284"/>
        <w:rPr>
          <w:b/>
          <w:sz w:val="24"/>
          <w:szCs w:val="24"/>
        </w:rPr>
      </w:pPr>
      <w:r w:rsidRPr="00564887">
        <w:rPr>
          <w:b/>
          <w:sz w:val="24"/>
          <w:szCs w:val="24"/>
        </w:rPr>
        <w:t>CONTENTS</w:t>
      </w:r>
      <w:r w:rsidRPr="00564887">
        <w:rPr>
          <w:b/>
          <w:sz w:val="24"/>
          <w:szCs w:val="24"/>
        </w:rPr>
        <w:tab/>
        <w:t>PAGE</w:t>
      </w:r>
    </w:p>
    <w:bookmarkStart w:id="7" w:name="_Toc528328665" w:displacedByCustomXml="next"/>
    <w:bookmarkEnd w:id="7" w:displacedByCustomXml="next"/>
    <w:bookmarkStart w:id="8" w:name="_Toc528317492" w:displacedByCustomXml="next"/>
    <w:bookmarkStart w:id="9" w:name="_Toc528317430" w:displacedByCustomXml="next"/>
    <w:bookmarkStart w:id="10" w:name="_Toc528316817" w:displacedByCustomXml="next"/>
    <w:sdt>
      <w:sdtPr>
        <w:rPr>
          <w:rFonts w:asciiTheme="minorHAnsi" w:hAnsiTheme="minorHAnsi"/>
          <w:lang w:val="en-GB"/>
        </w:rPr>
        <w:id w:val="85132805"/>
        <w:docPartObj>
          <w:docPartGallery w:val="Table of Contents"/>
          <w:docPartUnique/>
        </w:docPartObj>
      </w:sdtPr>
      <w:sdtEndPr>
        <w:rPr>
          <w:b/>
          <w:bCs/>
          <w:noProof/>
        </w:rPr>
      </w:sdtEndPr>
      <w:sdtContent>
        <w:p w14:paraId="2279C9AC" w14:textId="77777777" w:rsidR="00C61E89" w:rsidRDefault="00C61E89" w:rsidP="00C61E89">
          <w:pPr>
            <w:pStyle w:val="TOCHeading"/>
            <w:numPr>
              <w:ilvl w:val="0"/>
              <w:numId w:val="0"/>
            </w:numPr>
            <w:ind w:left="737"/>
          </w:pPr>
        </w:p>
        <w:p w14:paraId="46FD1ECA" w14:textId="42774E66" w:rsidR="00E422F9" w:rsidRDefault="00C61E89">
          <w:pPr>
            <w:pStyle w:val="TOC1"/>
            <w:rPr>
              <w:rFonts w:asciiTheme="minorHAnsi" w:eastAsiaTheme="minorEastAsia" w:hAnsiTheme="minorHAnsi" w:cstheme="minorBidi"/>
              <w:b w:val="0"/>
              <w:bCs w:val="0"/>
              <w:noProof/>
              <w:kern w:val="2"/>
              <w:szCs w:val="22"/>
              <w:lang w:eastAsia="en-GB"/>
              <w14:ligatures w14:val="standardContextual"/>
            </w:rPr>
          </w:pPr>
          <w:r>
            <w:rPr>
              <w:noProof/>
            </w:rPr>
            <w:fldChar w:fldCharType="begin"/>
          </w:r>
          <w:r>
            <w:rPr>
              <w:noProof/>
            </w:rPr>
            <w:instrText xml:space="preserve"> TOC \o "1-3" \h \z \u </w:instrText>
          </w:r>
          <w:r>
            <w:rPr>
              <w:noProof/>
            </w:rPr>
            <w:fldChar w:fldCharType="separate"/>
          </w:r>
          <w:hyperlink w:anchor="_Toc134515169" w:history="1">
            <w:r w:rsidR="00E422F9" w:rsidRPr="00647159">
              <w:rPr>
                <w:rStyle w:val="Hyperlink"/>
                <w:noProof/>
              </w:rPr>
              <w:t>1.0</w:t>
            </w:r>
            <w:r w:rsidR="00E422F9">
              <w:rPr>
                <w:rFonts w:asciiTheme="minorHAnsi" w:eastAsiaTheme="minorEastAsia" w:hAnsiTheme="minorHAnsi" w:cstheme="minorBidi"/>
                <w:b w:val="0"/>
                <w:bCs w:val="0"/>
                <w:noProof/>
                <w:kern w:val="2"/>
                <w:szCs w:val="22"/>
                <w:lang w:eastAsia="en-GB"/>
                <w14:ligatures w14:val="standardContextual"/>
              </w:rPr>
              <w:tab/>
            </w:r>
            <w:r w:rsidR="00E422F9" w:rsidRPr="00647159">
              <w:rPr>
                <w:rStyle w:val="Hyperlink"/>
                <w:noProof/>
              </w:rPr>
              <w:t>Experience and Scope of Evidence</w:t>
            </w:r>
            <w:r w:rsidR="00E422F9">
              <w:rPr>
                <w:noProof/>
                <w:webHidden/>
              </w:rPr>
              <w:tab/>
            </w:r>
            <w:r w:rsidR="00E422F9">
              <w:rPr>
                <w:noProof/>
                <w:webHidden/>
              </w:rPr>
              <w:fldChar w:fldCharType="begin"/>
            </w:r>
            <w:r w:rsidR="00E422F9">
              <w:rPr>
                <w:noProof/>
                <w:webHidden/>
              </w:rPr>
              <w:instrText xml:space="preserve"> PAGEREF _Toc134515169 \h </w:instrText>
            </w:r>
            <w:r w:rsidR="00E422F9">
              <w:rPr>
                <w:noProof/>
                <w:webHidden/>
              </w:rPr>
            </w:r>
            <w:r w:rsidR="00E422F9">
              <w:rPr>
                <w:noProof/>
                <w:webHidden/>
              </w:rPr>
              <w:fldChar w:fldCharType="separate"/>
            </w:r>
            <w:r w:rsidR="00E422F9">
              <w:rPr>
                <w:noProof/>
                <w:webHidden/>
              </w:rPr>
              <w:t>5</w:t>
            </w:r>
            <w:r w:rsidR="00E422F9">
              <w:rPr>
                <w:noProof/>
                <w:webHidden/>
              </w:rPr>
              <w:fldChar w:fldCharType="end"/>
            </w:r>
          </w:hyperlink>
        </w:p>
        <w:p w14:paraId="77930D9C" w14:textId="6A8AD9FD"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70" w:history="1">
            <w:r w:rsidR="00E422F9" w:rsidRPr="00647159">
              <w:rPr>
                <w:rStyle w:val="Hyperlink"/>
                <w:noProof/>
              </w:rPr>
              <w:t>a)</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Experience</w:t>
            </w:r>
            <w:r w:rsidR="00E422F9">
              <w:rPr>
                <w:noProof/>
                <w:webHidden/>
              </w:rPr>
              <w:tab/>
            </w:r>
            <w:r w:rsidR="00E422F9">
              <w:rPr>
                <w:noProof/>
                <w:webHidden/>
              </w:rPr>
              <w:fldChar w:fldCharType="begin"/>
            </w:r>
            <w:r w:rsidR="00E422F9">
              <w:rPr>
                <w:noProof/>
                <w:webHidden/>
              </w:rPr>
              <w:instrText xml:space="preserve"> PAGEREF _Toc134515170 \h </w:instrText>
            </w:r>
            <w:r w:rsidR="00E422F9">
              <w:rPr>
                <w:noProof/>
                <w:webHidden/>
              </w:rPr>
            </w:r>
            <w:r w:rsidR="00E422F9">
              <w:rPr>
                <w:noProof/>
                <w:webHidden/>
              </w:rPr>
              <w:fldChar w:fldCharType="separate"/>
            </w:r>
            <w:r w:rsidR="00E422F9">
              <w:rPr>
                <w:noProof/>
                <w:webHidden/>
              </w:rPr>
              <w:t>5</w:t>
            </w:r>
            <w:r w:rsidR="00E422F9">
              <w:rPr>
                <w:noProof/>
                <w:webHidden/>
              </w:rPr>
              <w:fldChar w:fldCharType="end"/>
            </w:r>
          </w:hyperlink>
        </w:p>
        <w:p w14:paraId="5F7E1EE5" w14:textId="3A7F5FAB"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71" w:history="1">
            <w:r w:rsidR="00E422F9" w:rsidRPr="00647159">
              <w:rPr>
                <w:rStyle w:val="Hyperlink"/>
                <w:noProof/>
              </w:rPr>
              <w:t>b)</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Scope of this Evidence</w:t>
            </w:r>
            <w:r w:rsidR="00E422F9">
              <w:rPr>
                <w:noProof/>
                <w:webHidden/>
              </w:rPr>
              <w:tab/>
            </w:r>
            <w:r w:rsidR="00E422F9">
              <w:rPr>
                <w:noProof/>
                <w:webHidden/>
              </w:rPr>
              <w:fldChar w:fldCharType="begin"/>
            </w:r>
            <w:r w:rsidR="00E422F9">
              <w:rPr>
                <w:noProof/>
                <w:webHidden/>
              </w:rPr>
              <w:instrText xml:space="preserve"> PAGEREF _Toc134515171 \h </w:instrText>
            </w:r>
            <w:r w:rsidR="00E422F9">
              <w:rPr>
                <w:noProof/>
                <w:webHidden/>
              </w:rPr>
            </w:r>
            <w:r w:rsidR="00E422F9">
              <w:rPr>
                <w:noProof/>
                <w:webHidden/>
              </w:rPr>
              <w:fldChar w:fldCharType="separate"/>
            </w:r>
            <w:r w:rsidR="00E422F9">
              <w:rPr>
                <w:noProof/>
                <w:webHidden/>
              </w:rPr>
              <w:t>5</w:t>
            </w:r>
            <w:r w:rsidR="00E422F9">
              <w:rPr>
                <w:noProof/>
                <w:webHidden/>
              </w:rPr>
              <w:fldChar w:fldCharType="end"/>
            </w:r>
          </w:hyperlink>
        </w:p>
        <w:p w14:paraId="04740F89" w14:textId="27F3B692" w:rsidR="00E422F9" w:rsidRDefault="00141241">
          <w:pPr>
            <w:pStyle w:val="TOC1"/>
            <w:rPr>
              <w:rFonts w:asciiTheme="minorHAnsi" w:eastAsiaTheme="minorEastAsia" w:hAnsiTheme="minorHAnsi" w:cstheme="minorBidi"/>
              <w:b w:val="0"/>
              <w:bCs w:val="0"/>
              <w:noProof/>
              <w:kern w:val="2"/>
              <w:szCs w:val="22"/>
              <w:lang w:eastAsia="en-GB"/>
              <w14:ligatures w14:val="standardContextual"/>
            </w:rPr>
          </w:pPr>
          <w:hyperlink w:anchor="_Toc134515172" w:history="1">
            <w:r w:rsidR="00E422F9" w:rsidRPr="00647159">
              <w:rPr>
                <w:rStyle w:val="Hyperlink"/>
                <w:noProof/>
              </w:rPr>
              <w:t>2.0</w:t>
            </w:r>
            <w:r w:rsidR="00E422F9">
              <w:rPr>
                <w:rFonts w:asciiTheme="minorHAnsi" w:eastAsiaTheme="minorEastAsia" w:hAnsiTheme="minorHAnsi" w:cstheme="minorBidi"/>
                <w:b w:val="0"/>
                <w:bCs w:val="0"/>
                <w:noProof/>
                <w:kern w:val="2"/>
                <w:szCs w:val="22"/>
                <w:lang w:eastAsia="en-GB"/>
                <w14:ligatures w14:val="standardContextual"/>
              </w:rPr>
              <w:tab/>
            </w:r>
            <w:r w:rsidR="00E422F9" w:rsidRPr="00647159">
              <w:rPr>
                <w:rStyle w:val="Hyperlink"/>
                <w:noProof/>
              </w:rPr>
              <w:t>Introduction</w:t>
            </w:r>
            <w:r w:rsidR="00E422F9">
              <w:rPr>
                <w:noProof/>
                <w:webHidden/>
              </w:rPr>
              <w:tab/>
            </w:r>
            <w:r w:rsidR="00E422F9">
              <w:rPr>
                <w:noProof/>
                <w:webHidden/>
              </w:rPr>
              <w:fldChar w:fldCharType="begin"/>
            </w:r>
            <w:r w:rsidR="00E422F9">
              <w:rPr>
                <w:noProof/>
                <w:webHidden/>
              </w:rPr>
              <w:instrText xml:space="preserve"> PAGEREF _Toc134515172 \h </w:instrText>
            </w:r>
            <w:r w:rsidR="00E422F9">
              <w:rPr>
                <w:noProof/>
                <w:webHidden/>
              </w:rPr>
            </w:r>
            <w:r w:rsidR="00E422F9">
              <w:rPr>
                <w:noProof/>
                <w:webHidden/>
              </w:rPr>
              <w:fldChar w:fldCharType="separate"/>
            </w:r>
            <w:r w:rsidR="00E422F9">
              <w:rPr>
                <w:noProof/>
                <w:webHidden/>
              </w:rPr>
              <w:t>7</w:t>
            </w:r>
            <w:r w:rsidR="00E422F9">
              <w:rPr>
                <w:noProof/>
                <w:webHidden/>
              </w:rPr>
              <w:fldChar w:fldCharType="end"/>
            </w:r>
          </w:hyperlink>
        </w:p>
        <w:p w14:paraId="7384B429" w14:textId="41607E37"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73" w:history="1">
            <w:r w:rsidR="00E422F9" w:rsidRPr="00647159">
              <w:rPr>
                <w:rStyle w:val="Hyperlink"/>
                <w:noProof/>
              </w:rPr>
              <w:t>a)</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My Instructions on Behalf of the Council</w:t>
            </w:r>
            <w:r w:rsidR="00E422F9">
              <w:rPr>
                <w:noProof/>
                <w:webHidden/>
              </w:rPr>
              <w:tab/>
            </w:r>
            <w:r w:rsidR="00E422F9">
              <w:rPr>
                <w:noProof/>
                <w:webHidden/>
              </w:rPr>
              <w:fldChar w:fldCharType="begin"/>
            </w:r>
            <w:r w:rsidR="00E422F9">
              <w:rPr>
                <w:noProof/>
                <w:webHidden/>
              </w:rPr>
              <w:instrText xml:space="preserve"> PAGEREF _Toc134515173 \h </w:instrText>
            </w:r>
            <w:r w:rsidR="00E422F9">
              <w:rPr>
                <w:noProof/>
                <w:webHidden/>
              </w:rPr>
            </w:r>
            <w:r w:rsidR="00E422F9">
              <w:rPr>
                <w:noProof/>
                <w:webHidden/>
              </w:rPr>
              <w:fldChar w:fldCharType="separate"/>
            </w:r>
            <w:r w:rsidR="00E422F9">
              <w:rPr>
                <w:noProof/>
                <w:webHidden/>
              </w:rPr>
              <w:t>7</w:t>
            </w:r>
            <w:r w:rsidR="00E422F9">
              <w:rPr>
                <w:noProof/>
                <w:webHidden/>
              </w:rPr>
              <w:fldChar w:fldCharType="end"/>
            </w:r>
          </w:hyperlink>
        </w:p>
        <w:p w14:paraId="45008E58" w14:textId="3473EE26"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74" w:history="1">
            <w:r w:rsidR="00E422F9" w:rsidRPr="00647159">
              <w:rPr>
                <w:rStyle w:val="Hyperlink"/>
                <w:noProof/>
              </w:rPr>
              <w:t>b)</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Understanding of the Appellant’s Case</w:t>
            </w:r>
            <w:r w:rsidR="00E422F9">
              <w:rPr>
                <w:noProof/>
                <w:webHidden/>
              </w:rPr>
              <w:tab/>
            </w:r>
            <w:r w:rsidR="00E422F9">
              <w:rPr>
                <w:noProof/>
                <w:webHidden/>
              </w:rPr>
              <w:fldChar w:fldCharType="begin"/>
            </w:r>
            <w:r w:rsidR="00E422F9">
              <w:rPr>
                <w:noProof/>
                <w:webHidden/>
              </w:rPr>
              <w:instrText xml:space="preserve"> PAGEREF _Toc134515174 \h </w:instrText>
            </w:r>
            <w:r w:rsidR="00E422F9">
              <w:rPr>
                <w:noProof/>
                <w:webHidden/>
              </w:rPr>
            </w:r>
            <w:r w:rsidR="00E422F9">
              <w:rPr>
                <w:noProof/>
                <w:webHidden/>
              </w:rPr>
              <w:fldChar w:fldCharType="separate"/>
            </w:r>
            <w:r w:rsidR="00E422F9">
              <w:rPr>
                <w:noProof/>
                <w:webHidden/>
              </w:rPr>
              <w:t>7</w:t>
            </w:r>
            <w:r w:rsidR="00E422F9">
              <w:rPr>
                <w:noProof/>
                <w:webHidden/>
              </w:rPr>
              <w:fldChar w:fldCharType="end"/>
            </w:r>
          </w:hyperlink>
        </w:p>
        <w:p w14:paraId="41618CC7" w14:textId="6A876E51" w:rsidR="00E422F9" w:rsidRDefault="00141241">
          <w:pPr>
            <w:pStyle w:val="TOC1"/>
            <w:rPr>
              <w:rFonts w:asciiTheme="minorHAnsi" w:eastAsiaTheme="minorEastAsia" w:hAnsiTheme="minorHAnsi" w:cstheme="minorBidi"/>
              <w:b w:val="0"/>
              <w:bCs w:val="0"/>
              <w:noProof/>
              <w:kern w:val="2"/>
              <w:szCs w:val="22"/>
              <w:lang w:eastAsia="en-GB"/>
              <w14:ligatures w14:val="standardContextual"/>
            </w:rPr>
          </w:pPr>
          <w:hyperlink w:anchor="_Toc134515175" w:history="1">
            <w:r w:rsidR="00E422F9" w:rsidRPr="00647159">
              <w:rPr>
                <w:rStyle w:val="Hyperlink"/>
                <w:noProof/>
              </w:rPr>
              <w:t>3.0</w:t>
            </w:r>
            <w:r w:rsidR="00E422F9">
              <w:rPr>
                <w:rFonts w:asciiTheme="minorHAnsi" w:eastAsiaTheme="minorEastAsia" w:hAnsiTheme="minorHAnsi" w:cstheme="minorBidi"/>
                <w:b w:val="0"/>
                <w:bCs w:val="0"/>
                <w:noProof/>
                <w:kern w:val="2"/>
                <w:szCs w:val="22"/>
                <w:lang w:eastAsia="en-GB"/>
                <w14:ligatures w14:val="standardContextual"/>
              </w:rPr>
              <w:tab/>
            </w:r>
            <w:r w:rsidR="00E422F9" w:rsidRPr="00647159">
              <w:rPr>
                <w:rStyle w:val="Hyperlink"/>
                <w:noProof/>
              </w:rPr>
              <w:t>Summary of Relevant Issues and Structure of My Evidence</w:t>
            </w:r>
            <w:r w:rsidR="00E422F9">
              <w:rPr>
                <w:noProof/>
                <w:webHidden/>
              </w:rPr>
              <w:tab/>
            </w:r>
            <w:r w:rsidR="00E422F9">
              <w:rPr>
                <w:noProof/>
                <w:webHidden/>
              </w:rPr>
              <w:fldChar w:fldCharType="begin"/>
            </w:r>
            <w:r w:rsidR="00E422F9">
              <w:rPr>
                <w:noProof/>
                <w:webHidden/>
              </w:rPr>
              <w:instrText xml:space="preserve"> PAGEREF _Toc134515175 \h </w:instrText>
            </w:r>
            <w:r w:rsidR="00E422F9">
              <w:rPr>
                <w:noProof/>
                <w:webHidden/>
              </w:rPr>
            </w:r>
            <w:r w:rsidR="00E422F9">
              <w:rPr>
                <w:noProof/>
                <w:webHidden/>
              </w:rPr>
              <w:fldChar w:fldCharType="separate"/>
            </w:r>
            <w:r w:rsidR="00E422F9">
              <w:rPr>
                <w:noProof/>
                <w:webHidden/>
              </w:rPr>
              <w:t>10</w:t>
            </w:r>
            <w:r w:rsidR="00E422F9">
              <w:rPr>
                <w:noProof/>
                <w:webHidden/>
              </w:rPr>
              <w:fldChar w:fldCharType="end"/>
            </w:r>
          </w:hyperlink>
        </w:p>
        <w:p w14:paraId="56627AB8" w14:textId="2617A1C4" w:rsidR="00E422F9" w:rsidRDefault="00141241">
          <w:pPr>
            <w:pStyle w:val="TOC1"/>
            <w:rPr>
              <w:rFonts w:asciiTheme="minorHAnsi" w:eastAsiaTheme="minorEastAsia" w:hAnsiTheme="minorHAnsi" w:cstheme="minorBidi"/>
              <w:b w:val="0"/>
              <w:bCs w:val="0"/>
              <w:noProof/>
              <w:kern w:val="2"/>
              <w:szCs w:val="22"/>
              <w:lang w:eastAsia="en-GB"/>
              <w14:ligatures w14:val="standardContextual"/>
            </w:rPr>
          </w:pPr>
          <w:hyperlink w:anchor="_Toc134515176" w:history="1">
            <w:r w:rsidR="00E422F9" w:rsidRPr="00647159">
              <w:rPr>
                <w:rStyle w:val="Hyperlink"/>
                <w:noProof/>
              </w:rPr>
              <w:t>4.0</w:t>
            </w:r>
            <w:r w:rsidR="00E422F9">
              <w:rPr>
                <w:rFonts w:asciiTheme="minorHAnsi" w:eastAsiaTheme="minorEastAsia" w:hAnsiTheme="minorHAnsi" w:cstheme="minorBidi"/>
                <w:b w:val="0"/>
                <w:bCs w:val="0"/>
                <w:noProof/>
                <w:kern w:val="2"/>
                <w:szCs w:val="22"/>
                <w:lang w:eastAsia="en-GB"/>
                <w14:ligatures w14:val="standardContextual"/>
              </w:rPr>
              <w:tab/>
            </w:r>
            <w:r w:rsidR="00E422F9" w:rsidRPr="00647159">
              <w:rPr>
                <w:rStyle w:val="Hyperlink"/>
                <w:noProof/>
              </w:rPr>
              <w:t>The Housing Requirement Against WHich Supply is Assessed</w:t>
            </w:r>
            <w:r w:rsidR="00E422F9">
              <w:rPr>
                <w:noProof/>
                <w:webHidden/>
              </w:rPr>
              <w:tab/>
            </w:r>
            <w:r w:rsidR="00E422F9">
              <w:rPr>
                <w:noProof/>
                <w:webHidden/>
              </w:rPr>
              <w:fldChar w:fldCharType="begin"/>
            </w:r>
            <w:r w:rsidR="00E422F9">
              <w:rPr>
                <w:noProof/>
                <w:webHidden/>
              </w:rPr>
              <w:instrText xml:space="preserve"> PAGEREF _Toc134515176 \h </w:instrText>
            </w:r>
            <w:r w:rsidR="00E422F9">
              <w:rPr>
                <w:noProof/>
                <w:webHidden/>
              </w:rPr>
            </w:r>
            <w:r w:rsidR="00E422F9">
              <w:rPr>
                <w:noProof/>
                <w:webHidden/>
              </w:rPr>
              <w:fldChar w:fldCharType="separate"/>
            </w:r>
            <w:r w:rsidR="00E422F9">
              <w:rPr>
                <w:noProof/>
                <w:webHidden/>
              </w:rPr>
              <w:t>11</w:t>
            </w:r>
            <w:r w:rsidR="00E422F9">
              <w:rPr>
                <w:noProof/>
                <w:webHidden/>
              </w:rPr>
              <w:fldChar w:fldCharType="end"/>
            </w:r>
          </w:hyperlink>
        </w:p>
        <w:p w14:paraId="1B0AC92D" w14:textId="4D51C004"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77" w:history="1">
            <w:r w:rsidR="00E422F9" w:rsidRPr="00647159">
              <w:rPr>
                <w:rStyle w:val="Hyperlink"/>
                <w:noProof/>
              </w:rPr>
              <w:t>a)</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Introduction and Summary of the Council’s Case</w:t>
            </w:r>
            <w:r w:rsidR="00E422F9">
              <w:rPr>
                <w:noProof/>
                <w:webHidden/>
              </w:rPr>
              <w:tab/>
            </w:r>
            <w:r w:rsidR="00E422F9">
              <w:rPr>
                <w:noProof/>
                <w:webHidden/>
              </w:rPr>
              <w:fldChar w:fldCharType="begin"/>
            </w:r>
            <w:r w:rsidR="00E422F9">
              <w:rPr>
                <w:noProof/>
                <w:webHidden/>
              </w:rPr>
              <w:instrText xml:space="preserve"> PAGEREF _Toc134515177 \h </w:instrText>
            </w:r>
            <w:r w:rsidR="00E422F9">
              <w:rPr>
                <w:noProof/>
                <w:webHidden/>
              </w:rPr>
            </w:r>
            <w:r w:rsidR="00E422F9">
              <w:rPr>
                <w:noProof/>
                <w:webHidden/>
              </w:rPr>
              <w:fldChar w:fldCharType="separate"/>
            </w:r>
            <w:r w:rsidR="00E422F9">
              <w:rPr>
                <w:noProof/>
                <w:webHidden/>
              </w:rPr>
              <w:t>11</w:t>
            </w:r>
            <w:r w:rsidR="00E422F9">
              <w:rPr>
                <w:noProof/>
                <w:webHidden/>
              </w:rPr>
              <w:fldChar w:fldCharType="end"/>
            </w:r>
          </w:hyperlink>
        </w:p>
        <w:p w14:paraId="07D47F25" w14:textId="2998A741"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78" w:history="1">
            <w:r w:rsidR="00E422F9" w:rsidRPr="00647159">
              <w:rPr>
                <w:rStyle w:val="Hyperlink"/>
                <w:noProof/>
              </w:rPr>
              <w:t>b)</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The Housing Requirement in Adopted Strategic Policies</w:t>
            </w:r>
            <w:r w:rsidR="00E422F9">
              <w:rPr>
                <w:noProof/>
                <w:webHidden/>
              </w:rPr>
              <w:tab/>
            </w:r>
            <w:r w:rsidR="00E422F9">
              <w:rPr>
                <w:noProof/>
                <w:webHidden/>
              </w:rPr>
              <w:fldChar w:fldCharType="begin"/>
            </w:r>
            <w:r w:rsidR="00E422F9">
              <w:rPr>
                <w:noProof/>
                <w:webHidden/>
              </w:rPr>
              <w:instrText xml:space="preserve"> PAGEREF _Toc134515178 \h </w:instrText>
            </w:r>
            <w:r w:rsidR="00E422F9">
              <w:rPr>
                <w:noProof/>
                <w:webHidden/>
              </w:rPr>
            </w:r>
            <w:r w:rsidR="00E422F9">
              <w:rPr>
                <w:noProof/>
                <w:webHidden/>
              </w:rPr>
              <w:fldChar w:fldCharType="separate"/>
            </w:r>
            <w:r w:rsidR="00E422F9">
              <w:rPr>
                <w:noProof/>
                <w:webHidden/>
              </w:rPr>
              <w:t>12</w:t>
            </w:r>
            <w:r w:rsidR="00E422F9">
              <w:rPr>
                <w:noProof/>
                <w:webHidden/>
              </w:rPr>
              <w:fldChar w:fldCharType="end"/>
            </w:r>
          </w:hyperlink>
        </w:p>
        <w:p w14:paraId="7E1E5FF7" w14:textId="1EC1FC50"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79" w:history="1">
            <w:r w:rsidR="00E422F9" w:rsidRPr="00647159">
              <w:rPr>
                <w:rStyle w:val="Hyperlink"/>
                <w:noProof/>
              </w:rPr>
              <w:t>c)</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The Application of National Policy in NPPF2021 Paragraph 74</w:t>
            </w:r>
            <w:r w:rsidR="00E422F9">
              <w:rPr>
                <w:noProof/>
                <w:webHidden/>
              </w:rPr>
              <w:tab/>
            </w:r>
            <w:r w:rsidR="00E422F9">
              <w:rPr>
                <w:noProof/>
                <w:webHidden/>
              </w:rPr>
              <w:fldChar w:fldCharType="begin"/>
            </w:r>
            <w:r w:rsidR="00E422F9">
              <w:rPr>
                <w:noProof/>
                <w:webHidden/>
              </w:rPr>
              <w:instrText xml:space="preserve"> PAGEREF _Toc134515179 \h </w:instrText>
            </w:r>
            <w:r w:rsidR="00E422F9">
              <w:rPr>
                <w:noProof/>
                <w:webHidden/>
              </w:rPr>
            </w:r>
            <w:r w:rsidR="00E422F9">
              <w:rPr>
                <w:noProof/>
                <w:webHidden/>
              </w:rPr>
              <w:fldChar w:fldCharType="separate"/>
            </w:r>
            <w:r w:rsidR="00E422F9">
              <w:rPr>
                <w:noProof/>
                <w:webHidden/>
              </w:rPr>
              <w:t>13</w:t>
            </w:r>
            <w:r w:rsidR="00E422F9">
              <w:rPr>
                <w:noProof/>
                <w:webHidden/>
              </w:rPr>
              <w:fldChar w:fldCharType="end"/>
            </w:r>
          </w:hyperlink>
        </w:p>
        <w:p w14:paraId="6E548967" w14:textId="5E90DA10"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80" w:history="1">
            <w:r w:rsidR="00E422F9" w:rsidRPr="00647159">
              <w:rPr>
                <w:rStyle w:val="Hyperlink"/>
                <w:noProof/>
              </w:rPr>
              <w:t>d)</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Provision for Unmet Housing Needs Through Plan-Making and Adopted Strategic Policies</w:t>
            </w:r>
            <w:r w:rsidR="00E422F9">
              <w:rPr>
                <w:noProof/>
                <w:webHidden/>
              </w:rPr>
              <w:tab/>
            </w:r>
            <w:r w:rsidR="00E422F9">
              <w:rPr>
                <w:noProof/>
                <w:webHidden/>
              </w:rPr>
              <w:fldChar w:fldCharType="begin"/>
            </w:r>
            <w:r w:rsidR="00E422F9">
              <w:rPr>
                <w:noProof/>
                <w:webHidden/>
              </w:rPr>
              <w:instrText xml:space="preserve"> PAGEREF _Toc134515180 \h </w:instrText>
            </w:r>
            <w:r w:rsidR="00E422F9">
              <w:rPr>
                <w:noProof/>
                <w:webHidden/>
              </w:rPr>
            </w:r>
            <w:r w:rsidR="00E422F9">
              <w:rPr>
                <w:noProof/>
                <w:webHidden/>
              </w:rPr>
              <w:fldChar w:fldCharType="separate"/>
            </w:r>
            <w:r w:rsidR="00E422F9">
              <w:rPr>
                <w:noProof/>
                <w:webHidden/>
              </w:rPr>
              <w:t>14</w:t>
            </w:r>
            <w:r w:rsidR="00E422F9">
              <w:rPr>
                <w:noProof/>
                <w:webHidden/>
              </w:rPr>
              <w:fldChar w:fldCharType="end"/>
            </w:r>
          </w:hyperlink>
        </w:p>
        <w:p w14:paraId="3C282C3B" w14:textId="43A54D78"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81" w:history="1">
            <w:r w:rsidR="00E422F9" w:rsidRPr="00647159">
              <w:rPr>
                <w:rStyle w:val="Hyperlink"/>
                <w:noProof/>
              </w:rPr>
              <w:t>e)</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The Grove Appeal Decision</w:t>
            </w:r>
            <w:r w:rsidR="00E422F9">
              <w:rPr>
                <w:noProof/>
                <w:webHidden/>
              </w:rPr>
              <w:tab/>
            </w:r>
            <w:r w:rsidR="00E422F9">
              <w:rPr>
                <w:noProof/>
                <w:webHidden/>
              </w:rPr>
              <w:fldChar w:fldCharType="begin"/>
            </w:r>
            <w:r w:rsidR="00E422F9">
              <w:rPr>
                <w:noProof/>
                <w:webHidden/>
              </w:rPr>
              <w:instrText xml:space="preserve"> PAGEREF _Toc134515181 \h </w:instrText>
            </w:r>
            <w:r w:rsidR="00E422F9">
              <w:rPr>
                <w:noProof/>
                <w:webHidden/>
              </w:rPr>
            </w:r>
            <w:r w:rsidR="00E422F9">
              <w:rPr>
                <w:noProof/>
                <w:webHidden/>
              </w:rPr>
              <w:fldChar w:fldCharType="separate"/>
            </w:r>
            <w:r w:rsidR="00E422F9">
              <w:rPr>
                <w:noProof/>
                <w:webHidden/>
              </w:rPr>
              <w:t>14</w:t>
            </w:r>
            <w:r w:rsidR="00E422F9">
              <w:rPr>
                <w:noProof/>
                <w:webHidden/>
              </w:rPr>
              <w:fldChar w:fldCharType="end"/>
            </w:r>
          </w:hyperlink>
        </w:p>
        <w:p w14:paraId="6C3597FE" w14:textId="7F72B213"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82" w:history="1">
            <w:r w:rsidR="00E422F9" w:rsidRPr="00647159">
              <w:rPr>
                <w:rStyle w:val="Hyperlink"/>
                <w:noProof/>
              </w:rPr>
              <w:t>f)</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Summary of My Response to the Appellant’s Case</w:t>
            </w:r>
            <w:r w:rsidR="00E422F9">
              <w:rPr>
                <w:noProof/>
                <w:webHidden/>
              </w:rPr>
              <w:tab/>
            </w:r>
            <w:r w:rsidR="00E422F9">
              <w:rPr>
                <w:noProof/>
                <w:webHidden/>
              </w:rPr>
              <w:fldChar w:fldCharType="begin"/>
            </w:r>
            <w:r w:rsidR="00E422F9">
              <w:rPr>
                <w:noProof/>
                <w:webHidden/>
              </w:rPr>
              <w:instrText xml:space="preserve"> PAGEREF _Toc134515182 \h </w:instrText>
            </w:r>
            <w:r w:rsidR="00E422F9">
              <w:rPr>
                <w:noProof/>
                <w:webHidden/>
              </w:rPr>
            </w:r>
            <w:r w:rsidR="00E422F9">
              <w:rPr>
                <w:noProof/>
                <w:webHidden/>
              </w:rPr>
              <w:fldChar w:fldCharType="separate"/>
            </w:r>
            <w:r w:rsidR="00E422F9">
              <w:rPr>
                <w:noProof/>
                <w:webHidden/>
              </w:rPr>
              <w:t>16</w:t>
            </w:r>
            <w:r w:rsidR="00E422F9">
              <w:rPr>
                <w:noProof/>
                <w:webHidden/>
              </w:rPr>
              <w:fldChar w:fldCharType="end"/>
            </w:r>
          </w:hyperlink>
        </w:p>
        <w:p w14:paraId="5F14CCD4" w14:textId="1EB8F836" w:rsidR="00E422F9" w:rsidRDefault="00141241">
          <w:pPr>
            <w:pStyle w:val="TOC1"/>
            <w:rPr>
              <w:rFonts w:asciiTheme="minorHAnsi" w:eastAsiaTheme="minorEastAsia" w:hAnsiTheme="minorHAnsi" w:cstheme="minorBidi"/>
              <w:b w:val="0"/>
              <w:bCs w:val="0"/>
              <w:noProof/>
              <w:kern w:val="2"/>
              <w:szCs w:val="22"/>
              <w:lang w:eastAsia="en-GB"/>
              <w14:ligatures w14:val="standardContextual"/>
            </w:rPr>
          </w:pPr>
          <w:hyperlink w:anchor="_Toc134515183" w:history="1">
            <w:r w:rsidR="00E422F9" w:rsidRPr="00647159">
              <w:rPr>
                <w:rStyle w:val="Hyperlink"/>
                <w:noProof/>
              </w:rPr>
              <w:t>5.0</w:t>
            </w:r>
            <w:r w:rsidR="00E422F9">
              <w:rPr>
                <w:rFonts w:asciiTheme="minorHAnsi" w:eastAsiaTheme="minorEastAsia" w:hAnsiTheme="minorHAnsi" w:cstheme="minorBidi"/>
                <w:b w:val="0"/>
                <w:bCs w:val="0"/>
                <w:noProof/>
                <w:kern w:val="2"/>
                <w:szCs w:val="22"/>
                <w:lang w:eastAsia="en-GB"/>
                <w14:ligatures w14:val="standardContextual"/>
              </w:rPr>
              <w:tab/>
            </w:r>
            <w:r w:rsidR="00E422F9" w:rsidRPr="00647159">
              <w:rPr>
                <w:rStyle w:val="Hyperlink"/>
                <w:noProof/>
              </w:rPr>
              <w:t>Housing Delivery Test and the Appropriate Buffer</w:t>
            </w:r>
            <w:r w:rsidR="00E422F9">
              <w:rPr>
                <w:noProof/>
                <w:webHidden/>
              </w:rPr>
              <w:tab/>
            </w:r>
            <w:r w:rsidR="00E422F9">
              <w:rPr>
                <w:noProof/>
                <w:webHidden/>
              </w:rPr>
              <w:fldChar w:fldCharType="begin"/>
            </w:r>
            <w:r w:rsidR="00E422F9">
              <w:rPr>
                <w:noProof/>
                <w:webHidden/>
              </w:rPr>
              <w:instrText xml:space="preserve"> PAGEREF _Toc134515183 \h </w:instrText>
            </w:r>
            <w:r w:rsidR="00E422F9">
              <w:rPr>
                <w:noProof/>
                <w:webHidden/>
              </w:rPr>
            </w:r>
            <w:r w:rsidR="00E422F9">
              <w:rPr>
                <w:noProof/>
                <w:webHidden/>
              </w:rPr>
              <w:fldChar w:fldCharType="separate"/>
            </w:r>
            <w:r w:rsidR="00E422F9">
              <w:rPr>
                <w:noProof/>
                <w:webHidden/>
              </w:rPr>
              <w:t>18</w:t>
            </w:r>
            <w:r w:rsidR="00E422F9">
              <w:rPr>
                <w:noProof/>
                <w:webHidden/>
              </w:rPr>
              <w:fldChar w:fldCharType="end"/>
            </w:r>
          </w:hyperlink>
        </w:p>
        <w:p w14:paraId="3C02CE09" w14:textId="2BB68A78"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84" w:history="1">
            <w:r w:rsidR="00E422F9" w:rsidRPr="00647159">
              <w:rPr>
                <w:rStyle w:val="Hyperlink"/>
                <w:noProof/>
              </w:rPr>
              <w:t>a)</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Implications of the Housing Delivery Test for the Appellant’s Case</w:t>
            </w:r>
            <w:r w:rsidR="00E422F9">
              <w:rPr>
                <w:noProof/>
                <w:webHidden/>
              </w:rPr>
              <w:tab/>
            </w:r>
            <w:r w:rsidR="00E422F9">
              <w:rPr>
                <w:noProof/>
                <w:webHidden/>
              </w:rPr>
              <w:fldChar w:fldCharType="begin"/>
            </w:r>
            <w:r w:rsidR="00E422F9">
              <w:rPr>
                <w:noProof/>
                <w:webHidden/>
              </w:rPr>
              <w:instrText xml:space="preserve"> PAGEREF _Toc134515184 \h </w:instrText>
            </w:r>
            <w:r w:rsidR="00E422F9">
              <w:rPr>
                <w:noProof/>
                <w:webHidden/>
              </w:rPr>
            </w:r>
            <w:r w:rsidR="00E422F9">
              <w:rPr>
                <w:noProof/>
                <w:webHidden/>
              </w:rPr>
              <w:fldChar w:fldCharType="separate"/>
            </w:r>
            <w:r w:rsidR="00E422F9">
              <w:rPr>
                <w:noProof/>
                <w:webHidden/>
              </w:rPr>
              <w:t>18</w:t>
            </w:r>
            <w:r w:rsidR="00E422F9">
              <w:rPr>
                <w:noProof/>
                <w:webHidden/>
              </w:rPr>
              <w:fldChar w:fldCharType="end"/>
            </w:r>
          </w:hyperlink>
        </w:p>
        <w:p w14:paraId="52A7141F" w14:textId="199A5FA7"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85" w:history="1">
            <w:r w:rsidR="00E422F9" w:rsidRPr="00647159">
              <w:rPr>
                <w:rStyle w:val="Hyperlink"/>
                <w:noProof/>
              </w:rPr>
              <w:t>b)</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Application of the HDT Calculation for the Number of Homes Required and Unmet Needs Adjustment</w:t>
            </w:r>
            <w:r w:rsidR="00E422F9">
              <w:rPr>
                <w:noProof/>
                <w:webHidden/>
              </w:rPr>
              <w:tab/>
            </w:r>
            <w:r w:rsidR="00E422F9">
              <w:rPr>
                <w:noProof/>
                <w:webHidden/>
              </w:rPr>
              <w:fldChar w:fldCharType="begin"/>
            </w:r>
            <w:r w:rsidR="00E422F9">
              <w:rPr>
                <w:noProof/>
                <w:webHidden/>
              </w:rPr>
              <w:instrText xml:space="preserve"> PAGEREF _Toc134515185 \h </w:instrText>
            </w:r>
            <w:r w:rsidR="00E422F9">
              <w:rPr>
                <w:noProof/>
                <w:webHidden/>
              </w:rPr>
            </w:r>
            <w:r w:rsidR="00E422F9">
              <w:rPr>
                <w:noProof/>
                <w:webHidden/>
              </w:rPr>
              <w:fldChar w:fldCharType="separate"/>
            </w:r>
            <w:r w:rsidR="00E422F9">
              <w:rPr>
                <w:noProof/>
                <w:webHidden/>
              </w:rPr>
              <w:t>19</w:t>
            </w:r>
            <w:r w:rsidR="00E422F9">
              <w:rPr>
                <w:noProof/>
                <w:webHidden/>
              </w:rPr>
              <w:fldChar w:fldCharType="end"/>
            </w:r>
          </w:hyperlink>
        </w:p>
        <w:p w14:paraId="6EBBD5D5" w14:textId="41E38B00"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86" w:history="1">
            <w:r w:rsidR="00E422F9" w:rsidRPr="00647159">
              <w:rPr>
                <w:rStyle w:val="Hyperlink"/>
                <w:noProof/>
              </w:rPr>
              <w:t>c)</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Response to the Appellant’s Case</w:t>
            </w:r>
            <w:r w:rsidR="00E422F9">
              <w:rPr>
                <w:noProof/>
                <w:webHidden/>
              </w:rPr>
              <w:tab/>
            </w:r>
            <w:r w:rsidR="00E422F9">
              <w:rPr>
                <w:noProof/>
                <w:webHidden/>
              </w:rPr>
              <w:fldChar w:fldCharType="begin"/>
            </w:r>
            <w:r w:rsidR="00E422F9">
              <w:rPr>
                <w:noProof/>
                <w:webHidden/>
              </w:rPr>
              <w:instrText xml:space="preserve"> PAGEREF _Toc134515186 \h </w:instrText>
            </w:r>
            <w:r w:rsidR="00E422F9">
              <w:rPr>
                <w:noProof/>
                <w:webHidden/>
              </w:rPr>
            </w:r>
            <w:r w:rsidR="00E422F9">
              <w:rPr>
                <w:noProof/>
                <w:webHidden/>
              </w:rPr>
              <w:fldChar w:fldCharType="separate"/>
            </w:r>
            <w:r w:rsidR="00E422F9">
              <w:rPr>
                <w:noProof/>
                <w:webHidden/>
              </w:rPr>
              <w:t>21</w:t>
            </w:r>
            <w:r w:rsidR="00E422F9">
              <w:rPr>
                <w:noProof/>
                <w:webHidden/>
              </w:rPr>
              <w:fldChar w:fldCharType="end"/>
            </w:r>
          </w:hyperlink>
        </w:p>
        <w:p w14:paraId="37072DC9" w14:textId="6D3E0B06" w:rsidR="00E422F9" w:rsidRDefault="00141241">
          <w:pPr>
            <w:pStyle w:val="TOC1"/>
            <w:rPr>
              <w:rFonts w:asciiTheme="minorHAnsi" w:eastAsiaTheme="minorEastAsia" w:hAnsiTheme="minorHAnsi" w:cstheme="minorBidi"/>
              <w:b w:val="0"/>
              <w:bCs w:val="0"/>
              <w:noProof/>
              <w:kern w:val="2"/>
              <w:szCs w:val="22"/>
              <w:lang w:eastAsia="en-GB"/>
              <w14:ligatures w14:val="standardContextual"/>
            </w:rPr>
          </w:pPr>
          <w:hyperlink w:anchor="_Toc134515187" w:history="1">
            <w:r w:rsidR="00E422F9" w:rsidRPr="00647159">
              <w:rPr>
                <w:rStyle w:val="Hyperlink"/>
                <w:noProof/>
              </w:rPr>
              <w:t>6.0</w:t>
            </w:r>
            <w:r w:rsidR="00E422F9">
              <w:rPr>
                <w:rFonts w:asciiTheme="minorHAnsi" w:eastAsiaTheme="minorEastAsia" w:hAnsiTheme="minorHAnsi" w:cstheme="minorBidi"/>
                <w:b w:val="0"/>
                <w:bCs w:val="0"/>
                <w:noProof/>
                <w:kern w:val="2"/>
                <w:szCs w:val="22"/>
                <w:lang w:eastAsia="en-GB"/>
                <w14:ligatures w14:val="standardContextual"/>
              </w:rPr>
              <w:tab/>
            </w:r>
            <w:r w:rsidR="00E422F9" w:rsidRPr="00647159">
              <w:rPr>
                <w:rStyle w:val="Hyperlink"/>
                <w:noProof/>
              </w:rPr>
              <w:t>The Council’s Published Assessment of Housing Land Supply</w:t>
            </w:r>
            <w:r w:rsidR="00E422F9">
              <w:rPr>
                <w:noProof/>
                <w:webHidden/>
              </w:rPr>
              <w:tab/>
            </w:r>
            <w:r w:rsidR="00E422F9">
              <w:rPr>
                <w:noProof/>
                <w:webHidden/>
              </w:rPr>
              <w:fldChar w:fldCharType="begin"/>
            </w:r>
            <w:r w:rsidR="00E422F9">
              <w:rPr>
                <w:noProof/>
                <w:webHidden/>
              </w:rPr>
              <w:instrText xml:space="preserve"> PAGEREF _Toc134515187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297456F5" w14:textId="1F60AF38"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88" w:history="1">
            <w:r w:rsidR="00E422F9" w:rsidRPr="00647159">
              <w:rPr>
                <w:rStyle w:val="Hyperlink"/>
                <w:noProof/>
              </w:rPr>
              <w:t>a)</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Overview of the Five Year Housing Land Supply Statement February 2023</w:t>
            </w:r>
            <w:r w:rsidR="00E422F9">
              <w:rPr>
                <w:noProof/>
                <w:webHidden/>
              </w:rPr>
              <w:tab/>
            </w:r>
            <w:r w:rsidR="00E422F9">
              <w:rPr>
                <w:noProof/>
                <w:webHidden/>
              </w:rPr>
              <w:fldChar w:fldCharType="begin"/>
            </w:r>
            <w:r w:rsidR="00E422F9">
              <w:rPr>
                <w:noProof/>
                <w:webHidden/>
              </w:rPr>
              <w:instrText xml:space="preserve"> PAGEREF _Toc134515188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6F38ADCC" w14:textId="4A54151C"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89" w:history="1">
            <w:r w:rsidR="00E422F9" w:rsidRPr="00647159">
              <w:rPr>
                <w:rStyle w:val="Hyperlink"/>
                <w:noProof/>
              </w:rPr>
              <w:t>b)</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Matters Understood to Be Agreed</w:t>
            </w:r>
            <w:r w:rsidR="00E422F9">
              <w:rPr>
                <w:noProof/>
                <w:webHidden/>
              </w:rPr>
              <w:tab/>
            </w:r>
            <w:r w:rsidR="00E422F9">
              <w:rPr>
                <w:noProof/>
                <w:webHidden/>
              </w:rPr>
              <w:fldChar w:fldCharType="begin"/>
            </w:r>
            <w:r w:rsidR="00E422F9">
              <w:rPr>
                <w:noProof/>
                <w:webHidden/>
              </w:rPr>
              <w:instrText xml:space="preserve"> PAGEREF _Toc134515189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6C705F2C" w14:textId="1266CAE9"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0" w:history="1">
            <w:r w:rsidR="00E422F9" w:rsidRPr="00647159">
              <w:rPr>
                <w:rStyle w:val="Hyperlink"/>
                <w:noProof/>
              </w:rPr>
              <w:t>i)</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The Application of NPPF2021 Paragraph 74 and Footnote 39</w:t>
            </w:r>
            <w:r w:rsidR="00E422F9">
              <w:rPr>
                <w:noProof/>
                <w:webHidden/>
              </w:rPr>
              <w:tab/>
            </w:r>
            <w:r w:rsidR="00E422F9">
              <w:rPr>
                <w:noProof/>
                <w:webHidden/>
              </w:rPr>
              <w:fldChar w:fldCharType="begin"/>
            </w:r>
            <w:r w:rsidR="00E422F9">
              <w:rPr>
                <w:noProof/>
                <w:webHidden/>
              </w:rPr>
              <w:instrText xml:space="preserve"> PAGEREF _Toc134515190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2E0002C3" w14:textId="669A9186"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1" w:history="1">
            <w:r w:rsidR="00E422F9" w:rsidRPr="00647159">
              <w:rPr>
                <w:rStyle w:val="Hyperlink"/>
                <w:noProof/>
              </w:rPr>
              <w:t>ii)</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Calculation of the Standard Method</w:t>
            </w:r>
            <w:r w:rsidR="00E422F9">
              <w:rPr>
                <w:noProof/>
                <w:webHidden/>
              </w:rPr>
              <w:tab/>
            </w:r>
            <w:r w:rsidR="00E422F9">
              <w:rPr>
                <w:noProof/>
                <w:webHidden/>
              </w:rPr>
              <w:fldChar w:fldCharType="begin"/>
            </w:r>
            <w:r w:rsidR="00E422F9">
              <w:rPr>
                <w:noProof/>
                <w:webHidden/>
              </w:rPr>
              <w:instrText xml:space="preserve"> PAGEREF _Toc134515191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5176BC58" w14:textId="3600B2D4"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2" w:history="1">
            <w:r w:rsidR="00E422F9" w:rsidRPr="00647159">
              <w:rPr>
                <w:rStyle w:val="Hyperlink"/>
                <w:noProof/>
              </w:rPr>
              <w:t>iii)</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The Appropriate Buffer</w:t>
            </w:r>
            <w:r w:rsidR="00E422F9">
              <w:rPr>
                <w:noProof/>
                <w:webHidden/>
              </w:rPr>
              <w:tab/>
            </w:r>
            <w:r w:rsidR="00E422F9">
              <w:rPr>
                <w:noProof/>
                <w:webHidden/>
              </w:rPr>
              <w:fldChar w:fldCharType="begin"/>
            </w:r>
            <w:r w:rsidR="00E422F9">
              <w:rPr>
                <w:noProof/>
                <w:webHidden/>
              </w:rPr>
              <w:instrText xml:space="preserve"> PAGEREF _Toc134515192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53245D13" w14:textId="7BF43A58"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3" w:history="1">
            <w:r w:rsidR="00E422F9" w:rsidRPr="00647159">
              <w:rPr>
                <w:rStyle w:val="Hyperlink"/>
                <w:noProof/>
              </w:rPr>
              <w:t>iv)</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Windfall Allowance</w:t>
            </w:r>
            <w:r w:rsidR="00E422F9">
              <w:rPr>
                <w:noProof/>
                <w:webHidden/>
              </w:rPr>
              <w:tab/>
            </w:r>
            <w:r w:rsidR="00E422F9">
              <w:rPr>
                <w:noProof/>
                <w:webHidden/>
              </w:rPr>
              <w:fldChar w:fldCharType="begin"/>
            </w:r>
            <w:r w:rsidR="00E422F9">
              <w:rPr>
                <w:noProof/>
                <w:webHidden/>
              </w:rPr>
              <w:instrText xml:space="preserve"> PAGEREF _Toc134515193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35138B54" w14:textId="6C9B24C3"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4" w:history="1">
            <w:r w:rsidR="00E422F9" w:rsidRPr="00647159">
              <w:rPr>
                <w:rStyle w:val="Hyperlink"/>
                <w:noProof/>
              </w:rPr>
              <w:t>v)</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Lapse Rate</w:t>
            </w:r>
            <w:r w:rsidR="00E422F9">
              <w:rPr>
                <w:noProof/>
                <w:webHidden/>
              </w:rPr>
              <w:tab/>
            </w:r>
            <w:r w:rsidR="00E422F9">
              <w:rPr>
                <w:noProof/>
                <w:webHidden/>
              </w:rPr>
              <w:fldChar w:fldCharType="begin"/>
            </w:r>
            <w:r w:rsidR="00E422F9">
              <w:rPr>
                <w:noProof/>
                <w:webHidden/>
              </w:rPr>
              <w:instrText xml:space="preserve"> PAGEREF _Toc134515194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49D4DECC" w14:textId="4AD10269"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5" w:history="1">
            <w:r w:rsidR="00E422F9" w:rsidRPr="00647159">
              <w:rPr>
                <w:rStyle w:val="Hyperlink"/>
                <w:noProof/>
              </w:rPr>
              <w:t>c)</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Matters Understood to be Not Agreed</w:t>
            </w:r>
            <w:r w:rsidR="00E422F9">
              <w:rPr>
                <w:noProof/>
                <w:webHidden/>
              </w:rPr>
              <w:tab/>
            </w:r>
            <w:r w:rsidR="00E422F9">
              <w:rPr>
                <w:noProof/>
                <w:webHidden/>
              </w:rPr>
              <w:fldChar w:fldCharType="begin"/>
            </w:r>
            <w:r w:rsidR="00E422F9">
              <w:rPr>
                <w:noProof/>
                <w:webHidden/>
              </w:rPr>
              <w:instrText xml:space="preserve"> PAGEREF _Toc134515195 \h </w:instrText>
            </w:r>
            <w:r w:rsidR="00E422F9">
              <w:rPr>
                <w:noProof/>
                <w:webHidden/>
              </w:rPr>
            </w:r>
            <w:r w:rsidR="00E422F9">
              <w:rPr>
                <w:noProof/>
                <w:webHidden/>
              </w:rPr>
              <w:fldChar w:fldCharType="separate"/>
            </w:r>
            <w:r w:rsidR="00E422F9">
              <w:rPr>
                <w:noProof/>
                <w:webHidden/>
              </w:rPr>
              <w:t>23</w:t>
            </w:r>
            <w:r w:rsidR="00E422F9">
              <w:rPr>
                <w:noProof/>
                <w:webHidden/>
              </w:rPr>
              <w:fldChar w:fldCharType="end"/>
            </w:r>
          </w:hyperlink>
        </w:p>
        <w:p w14:paraId="06740451" w14:textId="76782DDC"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6" w:history="1">
            <w:r w:rsidR="00E422F9" w:rsidRPr="00647159">
              <w:rPr>
                <w:rStyle w:val="Hyperlink"/>
                <w:noProof/>
              </w:rPr>
              <w:t>i)</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The Requirement Against Which Supply Contributing Towards Part of Oxford’s Unmet Needs is Assessed</w:t>
            </w:r>
            <w:r w:rsidR="00E422F9">
              <w:rPr>
                <w:noProof/>
                <w:webHidden/>
              </w:rPr>
              <w:tab/>
            </w:r>
            <w:r w:rsidR="00E422F9">
              <w:rPr>
                <w:noProof/>
                <w:webHidden/>
              </w:rPr>
              <w:fldChar w:fldCharType="begin"/>
            </w:r>
            <w:r w:rsidR="00E422F9">
              <w:rPr>
                <w:noProof/>
                <w:webHidden/>
              </w:rPr>
              <w:instrText xml:space="preserve"> PAGEREF _Toc134515196 \h </w:instrText>
            </w:r>
            <w:r w:rsidR="00E422F9">
              <w:rPr>
                <w:noProof/>
                <w:webHidden/>
              </w:rPr>
            </w:r>
            <w:r w:rsidR="00E422F9">
              <w:rPr>
                <w:noProof/>
                <w:webHidden/>
              </w:rPr>
              <w:fldChar w:fldCharType="separate"/>
            </w:r>
            <w:r w:rsidR="00E422F9">
              <w:rPr>
                <w:noProof/>
                <w:webHidden/>
              </w:rPr>
              <w:t>24</w:t>
            </w:r>
            <w:r w:rsidR="00E422F9">
              <w:rPr>
                <w:noProof/>
                <w:webHidden/>
              </w:rPr>
              <w:fldChar w:fldCharType="end"/>
            </w:r>
          </w:hyperlink>
        </w:p>
        <w:p w14:paraId="2BD6407D" w14:textId="690BE2A3"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7" w:history="1">
            <w:r w:rsidR="00E422F9" w:rsidRPr="00647159">
              <w:rPr>
                <w:rStyle w:val="Hyperlink"/>
                <w:noProof/>
              </w:rPr>
              <w:t>ii)</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Assessment of Deliverability and Supply from Specific Sites</w:t>
            </w:r>
            <w:r w:rsidR="00E422F9">
              <w:rPr>
                <w:noProof/>
                <w:webHidden/>
              </w:rPr>
              <w:tab/>
            </w:r>
            <w:r w:rsidR="00E422F9">
              <w:rPr>
                <w:noProof/>
                <w:webHidden/>
              </w:rPr>
              <w:fldChar w:fldCharType="begin"/>
            </w:r>
            <w:r w:rsidR="00E422F9">
              <w:rPr>
                <w:noProof/>
                <w:webHidden/>
              </w:rPr>
              <w:instrText xml:space="preserve"> PAGEREF _Toc134515197 \h </w:instrText>
            </w:r>
            <w:r w:rsidR="00E422F9">
              <w:rPr>
                <w:noProof/>
                <w:webHidden/>
              </w:rPr>
            </w:r>
            <w:r w:rsidR="00E422F9">
              <w:rPr>
                <w:noProof/>
                <w:webHidden/>
              </w:rPr>
              <w:fldChar w:fldCharType="separate"/>
            </w:r>
            <w:r w:rsidR="00E422F9">
              <w:rPr>
                <w:noProof/>
                <w:webHidden/>
              </w:rPr>
              <w:t>24</w:t>
            </w:r>
            <w:r w:rsidR="00E422F9">
              <w:rPr>
                <w:noProof/>
                <w:webHidden/>
              </w:rPr>
              <w:fldChar w:fldCharType="end"/>
            </w:r>
          </w:hyperlink>
        </w:p>
        <w:p w14:paraId="5574C391" w14:textId="56D8A38E"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8" w:history="1">
            <w:r w:rsidR="00E422F9" w:rsidRPr="00647159">
              <w:rPr>
                <w:rStyle w:val="Hyperlink"/>
                <w:noProof/>
              </w:rPr>
              <w:t>d)</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Published Assessment of Supply Versus Requirement – Local Housing Need for Cherwell District</w:t>
            </w:r>
            <w:r w:rsidR="00E422F9">
              <w:rPr>
                <w:noProof/>
                <w:webHidden/>
              </w:rPr>
              <w:tab/>
            </w:r>
            <w:r w:rsidR="00E422F9">
              <w:rPr>
                <w:noProof/>
                <w:webHidden/>
              </w:rPr>
              <w:fldChar w:fldCharType="begin"/>
            </w:r>
            <w:r w:rsidR="00E422F9">
              <w:rPr>
                <w:noProof/>
                <w:webHidden/>
              </w:rPr>
              <w:instrText xml:space="preserve"> PAGEREF _Toc134515198 \h </w:instrText>
            </w:r>
            <w:r w:rsidR="00E422F9">
              <w:rPr>
                <w:noProof/>
                <w:webHidden/>
              </w:rPr>
            </w:r>
            <w:r w:rsidR="00E422F9">
              <w:rPr>
                <w:noProof/>
                <w:webHidden/>
              </w:rPr>
              <w:fldChar w:fldCharType="separate"/>
            </w:r>
            <w:r w:rsidR="00E422F9">
              <w:rPr>
                <w:noProof/>
                <w:webHidden/>
              </w:rPr>
              <w:t>24</w:t>
            </w:r>
            <w:r w:rsidR="00E422F9">
              <w:rPr>
                <w:noProof/>
                <w:webHidden/>
              </w:rPr>
              <w:fldChar w:fldCharType="end"/>
            </w:r>
          </w:hyperlink>
        </w:p>
        <w:p w14:paraId="7B7F6870" w14:textId="1881F5C6"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199" w:history="1">
            <w:r w:rsidR="00E422F9" w:rsidRPr="00647159">
              <w:rPr>
                <w:rStyle w:val="Hyperlink"/>
                <w:noProof/>
              </w:rPr>
              <w:t>e)</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Published Assessment of Supply Versus Requirement – Partial Review (Oxford’s Unmet Needs)</w:t>
            </w:r>
            <w:r w:rsidR="00E422F9">
              <w:rPr>
                <w:noProof/>
                <w:webHidden/>
              </w:rPr>
              <w:tab/>
            </w:r>
            <w:r w:rsidR="00E422F9">
              <w:rPr>
                <w:noProof/>
                <w:webHidden/>
              </w:rPr>
              <w:fldChar w:fldCharType="begin"/>
            </w:r>
            <w:r w:rsidR="00E422F9">
              <w:rPr>
                <w:noProof/>
                <w:webHidden/>
              </w:rPr>
              <w:instrText xml:space="preserve"> PAGEREF _Toc134515199 \h </w:instrText>
            </w:r>
            <w:r w:rsidR="00E422F9">
              <w:rPr>
                <w:noProof/>
                <w:webHidden/>
              </w:rPr>
            </w:r>
            <w:r w:rsidR="00E422F9">
              <w:rPr>
                <w:noProof/>
                <w:webHidden/>
              </w:rPr>
              <w:fldChar w:fldCharType="separate"/>
            </w:r>
            <w:r w:rsidR="00E422F9">
              <w:rPr>
                <w:noProof/>
                <w:webHidden/>
              </w:rPr>
              <w:t>25</w:t>
            </w:r>
            <w:r w:rsidR="00E422F9">
              <w:rPr>
                <w:noProof/>
                <w:webHidden/>
              </w:rPr>
              <w:fldChar w:fldCharType="end"/>
            </w:r>
          </w:hyperlink>
        </w:p>
        <w:p w14:paraId="61D69DED" w14:textId="54F4750C" w:rsidR="00E422F9" w:rsidRDefault="00141241">
          <w:pPr>
            <w:pStyle w:val="TOC1"/>
            <w:rPr>
              <w:rFonts w:asciiTheme="minorHAnsi" w:eastAsiaTheme="minorEastAsia" w:hAnsiTheme="minorHAnsi" w:cstheme="minorBidi"/>
              <w:b w:val="0"/>
              <w:bCs w:val="0"/>
              <w:noProof/>
              <w:kern w:val="2"/>
              <w:szCs w:val="22"/>
              <w:lang w:eastAsia="en-GB"/>
              <w14:ligatures w14:val="standardContextual"/>
            </w:rPr>
          </w:pPr>
          <w:hyperlink w:anchor="_Toc134515200" w:history="1">
            <w:r w:rsidR="00E422F9" w:rsidRPr="00647159">
              <w:rPr>
                <w:rStyle w:val="Hyperlink"/>
                <w:noProof/>
              </w:rPr>
              <w:t>7.0</w:t>
            </w:r>
            <w:r w:rsidR="00E422F9">
              <w:rPr>
                <w:rFonts w:asciiTheme="minorHAnsi" w:eastAsiaTheme="minorEastAsia" w:hAnsiTheme="minorHAnsi" w:cstheme="minorBidi"/>
                <w:b w:val="0"/>
                <w:bCs w:val="0"/>
                <w:noProof/>
                <w:kern w:val="2"/>
                <w:szCs w:val="22"/>
                <w:lang w:eastAsia="en-GB"/>
                <w14:ligatures w14:val="standardContextual"/>
              </w:rPr>
              <w:tab/>
            </w:r>
            <w:r w:rsidR="00E422F9" w:rsidRPr="00647159">
              <w:rPr>
                <w:rStyle w:val="Hyperlink"/>
                <w:noProof/>
              </w:rPr>
              <w:t>Assessment of Disputed SUpply from Specific Deliverable Sites</w:t>
            </w:r>
            <w:r w:rsidR="00E422F9">
              <w:rPr>
                <w:noProof/>
                <w:webHidden/>
              </w:rPr>
              <w:tab/>
            </w:r>
            <w:r w:rsidR="00E422F9">
              <w:rPr>
                <w:noProof/>
                <w:webHidden/>
              </w:rPr>
              <w:fldChar w:fldCharType="begin"/>
            </w:r>
            <w:r w:rsidR="00E422F9">
              <w:rPr>
                <w:noProof/>
                <w:webHidden/>
              </w:rPr>
              <w:instrText xml:space="preserve"> PAGEREF _Toc134515200 \h </w:instrText>
            </w:r>
            <w:r w:rsidR="00E422F9">
              <w:rPr>
                <w:noProof/>
                <w:webHidden/>
              </w:rPr>
            </w:r>
            <w:r w:rsidR="00E422F9">
              <w:rPr>
                <w:noProof/>
                <w:webHidden/>
              </w:rPr>
              <w:fldChar w:fldCharType="separate"/>
            </w:r>
            <w:r w:rsidR="00E422F9">
              <w:rPr>
                <w:noProof/>
                <w:webHidden/>
              </w:rPr>
              <w:t>26</w:t>
            </w:r>
            <w:r w:rsidR="00E422F9">
              <w:rPr>
                <w:noProof/>
                <w:webHidden/>
              </w:rPr>
              <w:fldChar w:fldCharType="end"/>
            </w:r>
          </w:hyperlink>
        </w:p>
        <w:p w14:paraId="01757614" w14:textId="59090676"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201" w:history="1">
            <w:r w:rsidR="00E422F9" w:rsidRPr="00647159">
              <w:rPr>
                <w:rStyle w:val="Hyperlink"/>
                <w:noProof/>
              </w:rPr>
              <w:t>a)</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Introduction</w:t>
            </w:r>
            <w:r w:rsidR="00E422F9">
              <w:rPr>
                <w:noProof/>
                <w:webHidden/>
              </w:rPr>
              <w:tab/>
            </w:r>
            <w:r w:rsidR="00E422F9">
              <w:rPr>
                <w:noProof/>
                <w:webHidden/>
              </w:rPr>
              <w:fldChar w:fldCharType="begin"/>
            </w:r>
            <w:r w:rsidR="00E422F9">
              <w:rPr>
                <w:noProof/>
                <w:webHidden/>
              </w:rPr>
              <w:instrText xml:space="preserve"> PAGEREF _Toc134515201 \h </w:instrText>
            </w:r>
            <w:r w:rsidR="00E422F9">
              <w:rPr>
                <w:noProof/>
                <w:webHidden/>
              </w:rPr>
            </w:r>
            <w:r w:rsidR="00E422F9">
              <w:rPr>
                <w:noProof/>
                <w:webHidden/>
              </w:rPr>
              <w:fldChar w:fldCharType="separate"/>
            </w:r>
            <w:r w:rsidR="00E422F9">
              <w:rPr>
                <w:noProof/>
                <w:webHidden/>
              </w:rPr>
              <w:t>26</w:t>
            </w:r>
            <w:r w:rsidR="00E422F9">
              <w:rPr>
                <w:noProof/>
                <w:webHidden/>
              </w:rPr>
              <w:fldChar w:fldCharType="end"/>
            </w:r>
          </w:hyperlink>
        </w:p>
        <w:p w14:paraId="123F7CBD" w14:textId="6D5F669A"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202" w:history="1">
            <w:r w:rsidR="00E422F9" w:rsidRPr="00647159">
              <w:rPr>
                <w:rStyle w:val="Hyperlink"/>
                <w:noProof/>
              </w:rPr>
              <w:t>b)</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My Position Prior to Responding to the Appellant’s Position on Forecast Supply with Regards to National Policy and Guidance</w:t>
            </w:r>
            <w:r w:rsidR="00E422F9">
              <w:rPr>
                <w:noProof/>
                <w:webHidden/>
              </w:rPr>
              <w:tab/>
            </w:r>
            <w:r w:rsidR="00E422F9">
              <w:rPr>
                <w:noProof/>
                <w:webHidden/>
              </w:rPr>
              <w:fldChar w:fldCharType="begin"/>
            </w:r>
            <w:r w:rsidR="00E422F9">
              <w:rPr>
                <w:noProof/>
                <w:webHidden/>
              </w:rPr>
              <w:instrText xml:space="preserve"> PAGEREF _Toc134515202 \h </w:instrText>
            </w:r>
            <w:r w:rsidR="00E422F9">
              <w:rPr>
                <w:noProof/>
                <w:webHidden/>
              </w:rPr>
            </w:r>
            <w:r w:rsidR="00E422F9">
              <w:rPr>
                <w:noProof/>
                <w:webHidden/>
              </w:rPr>
              <w:fldChar w:fldCharType="separate"/>
            </w:r>
            <w:r w:rsidR="00E422F9">
              <w:rPr>
                <w:noProof/>
                <w:webHidden/>
              </w:rPr>
              <w:t>26</w:t>
            </w:r>
            <w:r w:rsidR="00E422F9">
              <w:rPr>
                <w:noProof/>
                <w:webHidden/>
              </w:rPr>
              <w:fldChar w:fldCharType="end"/>
            </w:r>
          </w:hyperlink>
        </w:p>
        <w:p w14:paraId="28A11D3A" w14:textId="615374A4" w:rsidR="00E422F9" w:rsidRDefault="00141241">
          <w:pPr>
            <w:pStyle w:val="TOC2"/>
            <w:tabs>
              <w:tab w:val="left" w:pos="1134"/>
            </w:tabs>
            <w:rPr>
              <w:rFonts w:asciiTheme="minorHAnsi" w:eastAsiaTheme="minorEastAsia" w:hAnsiTheme="minorHAnsi" w:cstheme="minorBidi"/>
              <w:noProof/>
              <w:kern w:val="2"/>
              <w:szCs w:val="22"/>
              <w:lang w:eastAsia="en-GB"/>
              <w14:ligatures w14:val="standardContextual"/>
            </w:rPr>
          </w:pPr>
          <w:hyperlink w:anchor="_Toc134515203" w:history="1">
            <w:r w:rsidR="00E422F9" w:rsidRPr="00647159">
              <w:rPr>
                <w:rStyle w:val="Hyperlink"/>
                <w:noProof/>
              </w:rPr>
              <w:t>c)</w:t>
            </w:r>
            <w:r w:rsidR="00E422F9">
              <w:rPr>
                <w:rFonts w:asciiTheme="minorHAnsi" w:eastAsiaTheme="minorEastAsia" w:hAnsiTheme="minorHAnsi" w:cstheme="minorBidi"/>
                <w:noProof/>
                <w:kern w:val="2"/>
                <w:szCs w:val="22"/>
                <w:lang w:eastAsia="en-GB"/>
                <w14:ligatures w14:val="standardContextual"/>
              </w:rPr>
              <w:tab/>
            </w:r>
            <w:r w:rsidR="00E422F9" w:rsidRPr="00647159">
              <w:rPr>
                <w:rStyle w:val="Hyperlink"/>
                <w:noProof/>
              </w:rPr>
              <w:t>Revisions to the Published Position for Forecast Supply Identified in the Topic SOCG</w:t>
            </w:r>
            <w:r w:rsidR="00E422F9">
              <w:rPr>
                <w:noProof/>
                <w:webHidden/>
              </w:rPr>
              <w:tab/>
            </w:r>
            <w:r w:rsidR="00E422F9">
              <w:rPr>
                <w:noProof/>
                <w:webHidden/>
              </w:rPr>
              <w:fldChar w:fldCharType="begin"/>
            </w:r>
            <w:r w:rsidR="00E422F9">
              <w:rPr>
                <w:noProof/>
                <w:webHidden/>
              </w:rPr>
              <w:instrText xml:space="preserve"> PAGEREF _Toc134515203 \h </w:instrText>
            </w:r>
            <w:r w:rsidR="00E422F9">
              <w:rPr>
                <w:noProof/>
                <w:webHidden/>
              </w:rPr>
            </w:r>
            <w:r w:rsidR="00E422F9">
              <w:rPr>
                <w:noProof/>
                <w:webHidden/>
              </w:rPr>
              <w:fldChar w:fldCharType="separate"/>
            </w:r>
            <w:r w:rsidR="00E422F9">
              <w:rPr>
                <w:noProof/>
                <w:webHidden/>
              </w:rPr>
              <w:t>27</w:t>
            </w:r>
            <w:r w:rsidR="00E422F9">
              <w:rPr>
                <w:noProof/>
                <w:webHidden/>
              </w:rPr>
              <w:fldChar w:fldCharType="end"/>
            </w:r>
          </w:hyperlink>
        </w:p>
        <w:p w14:paraId="47EB12BF" w14:textId="741C45AE" w:rsidR="00E422F9" w:rsidRDefault="00141241">
          <w:pPr>
            <w:pStyle w:val="TOC1"/>
            <w:rPr>
              <w:rFonts w:asciiTheme="minorHAnsi" w:eastAsiaTheme="minorEastAsia" w:hAnsiTheme="minorHAnsi" w:cstheme="minorBidi"/>
              <w:b w:val="0"/>
              <w:bCs w:val="0"/>
              <w:noProof/>
              <w:kern w:val="2"/>
              <w:szCs w:val="22"/>
              <w:lang w:eastAsia="en-GB"/>
              <w14:ligatures w14:val="standardContextual"/>
            </w:rPr>
          </w:pPr>
          <w:hyperlink w:anchor="_Toc134515204" w:history="1">
            <w:r w:rsidR="00E422F9" w:rsidRPr="00647159">
              <w:rPr>
                <w:rStyle w:val="Hyperlink"/>
                <w:noProof/>
              </w:rPr>
              <w:t>8.0</w:t>
            </w:r>
            <w:r w:rsidR="00E422F9">
              <w:rPr>
                <w:rFonts w:asciiTheme="minorHAnsi" w:eastAsiaTheme="minorEastAsia" w:hAnsiTheme="minorHAnsi" w:cstheme="minorBidi"/>
                <w:b w:val="0"/>
                <w:bCs w:val="0"/>
                <w:noProof/>
                <w:kern w:val="2"/>
                <w:szCs w:val="22"/>
                <w:lang w:eastAsia="en-GB"/>
                <w14:ligatures w14:val="standardContextual"/>
              </w:rPr>
              <w:tab/>
            </w:r>
            <w:r w:rsidR="00E422F9" w:rsidRPr="00647159">
              <w:rPr>
                <w:rStyle w:val="Hyperlink"/>
                <w:noProof/>
              </w:rPr>
              <w:t>Summary and Conclusions</w:t>
            </w:r>
            <w:r w:rsidR="00E422F9">
              <w:rPr>
                <w:noProof/>
                <w:webHidden/>
              </w:rPr>
              <w:tab/>
            </w:r>
            <w:r w:rsidR="00E422F9">
              <w:rPr>
                <w:noProof/>
                <w:webHidden/>
              </w:rPr>
              <w:fldChar w:fldCharType="begin"/>
            </w:r>
            <w:r w:rsidR="00E422F9">
              <w:rPr>
                <w:noProof/>
                <w:webHidden/>
              </w:rPr>
              <w:instrText xml:space="preserve"> PAGEREF _Toc134515204 \h </w:instrText>
            </w:r>
            <w:r w:rsidR="00E422F9">
              <w:rPr>
                <w:noProof/>
                <w:webHidden/>
              </w:rPr>
            </w:r>
            <w:r w:rsidR="00E422F9">
              <w:rPr>
                <w:noProof/>
                <w:webHidden/>
              </w:rPr>
              <w:fldChar w:fldCharType="separate"/>
            </w:r>
            <w:r w:rsidR="00E422F9">
              <w:rPr>
                <w:noProof/>
                <w:webHidden/>
              </w:rPr>
              <w:t>28</w:t>
            </w:r>
            <w:r w:rsidR="00E422F9">
              <w:rPr>
                <w:noProof/>
                <w:webHidden/>
              </w:rPr>
              <w:fldChar w:fldCharType="end"/>
            </w:r>
          </w:hyperlink>
        </w:p>
        <w:p w14:paraId="203B1553" w14:textId="34E4E8FB" w:rsidR="00E422F9" w:rsidRDefault="00141241">
          <w:pPr>
            <w:pStyle w:val="TOC1"/>
            <w:rPr>
              <w:rFonts w:asciiTheme="minorHAnsi" w:eastAsiaTheme="minorEastAsia" w:hAnsiTheme="minorHAnsi" w:cstheme="minorBidi"/>
              <w:b w:val="0"/>
              <w:bCs w:val="0"/>
              <w:noProof/>
              <w:kern w:val="2"/>
              <w:szCs w:val="22"/>
              <w:lang w:eastAsia="en-GB"/>
              <w14:ligatures w14:val="standardContextual"/>
            </w:rPr>
          </w:pPr>
          <w:hyperlink w:anchor="_Toc134515205" w:history="1">
            <w:r w:rsidR="00E422F9" w:rsidRPr="00647159">
              <w:rPr>
                <w:rStyle w:val="Hyperlink"/>
                <w:noProof/>
              </w:rPr>
              <w:t>Appendices (Provided and Paginated Separately)</w:t>
            </w:r>
            <w:r w:rsidR="00E422F9">
              <w:rPr>
                <w:noProof/>
                <w:webHidden/>
              </w:rPr>
              <w:tab/>
            </w:r>
            <w:r w:rsidR="00E422F9">
              <w:rPr>
                <w:noProof/>
                <w:webHidden/>
              </w:rPr>
              <w:fldChar w:fldCharType="begin"/>
            </w:r>
            <w:r w:rsidR="00E422F9">
              <w:rPr>
                <w:noProof/>
                <w:webHidden/>
              </w:rPr>
              <w:instrText xml:space="preserve"> PAGEREF _Toc134515205 \h </w:instrText>
            </w:r>
            <w:r w:rsidR="00E422F9">
              <w:rPr>
                <w:noProof/>
                <w:webHidden/>
              </w:rPr>
            </w:r>
            <w:r w:rsidR="00E422F9">
              <w:rPr>
                <w:noProof/>
                <w:webHidden/>
              </w:rPr>
              <w:fldChar w:fldCharType="separate"/>
            </w:r>
            <w:r w:rsidR="00E422F9">
              <w:rPr>
                <w:noProof/>
                <w:webHidden/>
              </w:rPr>
              <w:t>29</w:t>
            </w:r>
            <w:r w:rsidR="00E422F9">
              <w:rPr>
                <w:noProof/>
                <w:webHidden/>
              </w:rPr>
              <w:fldChar w:fldCharType="end"/>
            </w:r>
          </w:hyperlink>
        </w:p>
        <w:p w14:paraId="5FFBF476" w14:textId="15ADCA8D" w:rsidR="00C61E89" w:rsidRDefault="00C61E89">
          <w:r>
            <w:rPr>
              <w:b/>
              <w:bCs/>
              <w:noProof/>
            </w:rPr>
            <w:fldChar w:fldCharType="end"/>
          </w:r>
        </w:p>
      </w:sdtContent>
    </w:sdt>
    <w:p w14:paraId="592D4C4E" w14:textId="39D52CD8" w:rsidR="00B96227" w:rsidRDefault="00B96227">
      <w:pPr>
        <w:rPr>
          <w:rFonts w:ascii="Arial Bold" w:eastAsiaTheme="majorEastAsia" w:hAnsi="Arial Bold" w:cstheme="majorBidi"/>
          <w:b/>
          <w:caps/>
          <w:szCs w:val="32"/>
        </w:rPr>
      </w:pPr>
      <w:bookmarkStart w:id="11" w:name="_Toc12015214"/>
      <w:bookmarkStart w:id="12" w:name="_Toc62222832"/>
      <w:bookmarkStart w:id="13" w:name="_Toc64379044"/>
      <w:r>
        <w:br w:type="page"/>
      </w:r>
    </w:p>
    <w:p w14:paraId="06496958" w14:textId="59E59FB8" w:rsidR="006F7115" w:rsidRDefault="006F7115" w:rsidP="006F7115">
      <w:pPr>
        <w:pStyle w:val="SPRUChapterHeadings10"/>
      </w:pPr>
      <w:bookmarkStart w:id="14" w:name="_Toc134515169"/>
      <w:r>
        <w:lastRenderedPageBreak/>
        <w:t>Experience</w:t>
      </w:r>
      <w:bookmarkEnd w:id="11"/>
      <w:r>
        <w:t xml:space="preserve"> and Scope of Evidence</w:t>
      </w:r>
      <w:bookmarkEnd w:id="12"/>
      <w:bookmarkEnd w:id="13"/>
      <w:bookmarkEnd w:id="14"/>
    </w:p>
    <w:p w14:paraId="71AA9E50" w14:textId="77777777" w:rsidR="00BC41AA" w:rsidRPr="00924980" w:rsidRDefault="00BC41AA" w:rsidP="00BC41AA">
      <w:pPr>
        <w:pStyle w:val="aSPRUSubHeadings"/>
        <w:numPr>
          <w:ilvl w:val="0"/>
          <w:numId w:val="30"/>
        </w:numPr>
        <w:ind w:left="737" w:hanging="737"/>
      </w:pPr>
      <w:bookmarkStart w:id="15" w:name="_Toc9938631"/>
      <w:bookmarkStart w:id="16" w:name="_Toc62222833"/>
      <w:bookmarkStart w:id="17" w:name="_Toc64379045"/>
      <w:bookmarkStart w:id="18" w:name="_Toc134515170"/>
      <w:bookmarkStart w:id="19" w:name="_Toc8724339"/>
      <w:bookmarkStart w:id="20" w:name="_Toc520706591"/>
      <w:bookmarkStart w:id="21" w:name="_Toc504956399"/>
      <w:bookmarkStart w:id="22" w:name="_Toc492623588"/>
      <w:bookmarkStart w:id="23" w:name="_Toc9938632"/>
      <w:bookmarkStart w:id="24" w:name="_Toc62222834"/>
      <w:bookmarkStart w:id="25" w:name="_Toc64379046"/>
      <w:r w:rsidRPr="00924980">
        <w:t>Experience</w:t>
      </w:r>
      <w:bookmarkEnd w:id="15"/>
      <w:bookmarkEnd w:id="16"/>
      <w:bookmarkEnd w:id="17"/>
      <w:bookmarkEnd w:id="18"/>
      <w:r w:rsidRPr="00924980">
        <w:t xml:space="preserve"> </w:t>
      </w:r>
    </w:p>
    <w:p w14:paraId="3988484B" w14:textId="09B83804" w:rsidR="00BC41AA" w:rsidRPr="006F1706" w:rsidRDefault="00BC41AA" w:rsidP="00761779">
      <w:pPr>
        <w:pStyle w:val="SPRU11Paragraphs"/>
        <w:numPr>
          <w:ilvl w:val="3"/>
          <w:numId w:val="37"/>
        </w:numPr>
      </w:pPr>
      <w:r w:rsidRPr="006F1706">
        <w:t xml:space="preserve">My name is Jonathan Goodall, and I am employed in the role of Director with DLP Planning Ltd (DLP), specifically the Strategic Planning Research Unit (SPRU) which specialises in undertaking bespoke planning research projects including Five Year Housing Land Supply Assessments. DLP Planning Ltd are a national planning consultancy, and I am based in the Bedford office. </w:t>
      </w:r>
    </w:p>
    <w:p w14:paraId="3C4A2802" w14:textId="77777777" w:rsidR="00BC41AA" w:rsidRPr="006F1706" w:rsidRDefault="00BC41AA" w:rsidP="00761779">
      <w:pPr>
        <w:pStyle w:val="SPRU11Paragraphs"/>
        <w:numPr>
          <w:ilvl w:val="3"/>
          <w:numId w:val="37"/>
        </w:numPr>
      </w:pPr>
      <w:r w:rsidRPr="006F1706">
        <w:t>I am a chartered town planner. I hold a MA (</w:t>
      </w:r>
      <w:proofErr w:type="spellStart"/>
      <w:r w:rsidRPr="006F1706">
        <w:t>Cantab</w:t>
      </w:r>
      <w:proofErr w:type="spellEnd"/>
      <w:r w:rsidRPr="006F1706">
        <w:t>) degree in Geography from the University of Cambridge and a postgraduate Master of Science in Town and Country Planning from the University of Newcastle.</w:t>
      </w:r>
    </w:p>
    <w:p w14:paraId="03EDA880" w14:textId="06CFD739" w:rsidR="00BC41AA" w:rsidRPr="006F1706" w:rsidRDefault="00BC41AA" w:rsidP="00761779">
      <w:pPr>
        <w:pStyle w:val="SPRU11Paragraphs"/>
        <w:numPr>
          <w:ilvl w:val="3"/>
          <w:numId w:val="37"/>
        </w:numPr>
      </w:pPr>
      <w:r w:rsidRPr="006F1706">
        <w:t>I have practi</w:t>
      </w:r>
      <w:r w:rsidR="00CD4777">
        <w:t>s</w:t>
      </w:r>
      <w:r w:rsidRPr="006F1706">
        <w:t>ed as a town planner since 2009. In this time, I have worked in the public and private sectors. My experience covers a wide spectrum of planning policy and development management cases. I have contributed to the preparation of several Local Plans that have either been adopted or are in the latter stages of Examination. These projects include the adopted West Northamptonshire Joint Core Strategy, the Luton Local Plan, the Rugby Local Plan, and the Part 1 Waverley Local Plan.</w:t>
      </w:r>
    </w:p>
    <w:p w14:paraId="4F65ECD3" w14:textId="77777777" w:rsidR="00BC41AA" w:rsidRPr="006F1706" w:rsidRDefault="00BC41AA" w:rsidP="00761779">
      <w:pPr>
        <w:pStyle w:val="SPRU11Paragraphs"/>
        <w:numPr>
          <w:ilvl w:val="3"/>
          <w:numId w:val="37"/>
        </w:numPr>
      </w:pPr>
      <w:r w:rsidRPr="006F1706">
        <w:t xml:space="preserve">My contribution to these plans includes establishing the correct housing requirement to address objectively assessed housing need and providing for and managing land supply to meet those needs. As part of this work, I have extensive experience in matters related to housing supply, monitoring, and establishing forecasts for future housing delivery, including from strategic sites. I have previously acted as Expert Witness on these matters alongside general planning policy matters. </w:t>
      </w:r>
    </w:p>
    <w:p w14:paraId="143B2895" w14:textId="77777777" w:rsidR="00BC41AA" w:rsidRPr="006F1706" w:rsidRDefault="00BC41AA" w:rsidP="00761779">
      <w:pPr>
        <w:pStyle w:val="SPRU11Paragraphs"/>
        <w:numPr>
          <w:ilvl w:val="3"/>
          <w:numId w:val="37"/>
        </w:numPr>
      </w:pPr>
      <w:r w:rsidRPr="006F1706">
        <w:t>From 2009 to March 2014, I was employed by the West Northamptonshire Joint Planning Unit and participated at the Joint Core Strategy Examination on housing need and supply (as well as other planning policy matters). I also led preparation of the authorities’ CIL Charging Schedules.</w:t>
      </w:r>
    </w:p>
    <w:p w14:paraId="3C908C02" w14:textId="77777777" w:rsidR="00BC41AA" w:rsidRPr="006F1706" w:rsidRDefault="00BC41AA" w:rsidP="00761779">
      <w:pPr>
        <w:pStyle w:val="SPRU11Paragraphs"/>
        <w:numPr>
          <w:ilvl w:val="3"/>
          <w:numId w:val="37"/>
        </w:numPr>
      </w:pPr>
      <w:r w:rsidRPr="006F1706">
        <w:t xml:space="preserve">From April 2014 to September 2015, I worked at </w:t>
      </w:r>
      <w:proofErr w:type="spellStart"/>
      <w:r w:rsidRPr="006F1706">
        <w:t>Optimis</w:t>
      </w:r>
      <w:proofErr w:type="spellEnd"/>
      <w:r w:rsidRPr="006F1706">
        <w:t xml:space="preserve"> Consulting, undertaking work for national and local housebuilders and private individuals on matters including strategic site identification and promotion as well as the submission of planning applications and appeals.</w:t>
      </w:r>
    </w:p>
    <w:p w14:paraId="10580531" w14:textId="44AA2269" w:rsidR="00BC41AA" w:rsidRDefault="00BC41AA" w:rsidP="00761779">
      <w:pPr>
        <w:pStyle w:val="SPRU11Paragraphs"/>
        <w:numPr>
          <w:ilvl w:val="3"/>
          <w:numId w:val="37"/>
        </w:numPr>
      </w:pPr>
      <w:r w:rsidRPr="006F1706">
        <w:t xml:space="preserve">I worked at Troy Planning and Design from September 2015 until March 2019 and acted for predominantly public sector clients to prepare and present evidence for plan-making and as part of instructions to act as expert land supply or policy witness. This work included the preparation of evidence that has directly informed the Panel Recommendations on the reduction to the London Plan housing target from ‘small </w:t>
      </w:r>
      <w:proofErr w:type="gramStart"/>
      <w:r w:rsidR="00540FBE" w:rsidRPr="006F1706">
        <w:t>sites</w:t>
      </w:r>
      <w:r w:rsidR="00540FBE">
        <w:t>’</w:t>
      </w:r>
      <w:proofErr w:type="gramEnd"/>
      <w:r w:rsidRPr="006F1706">
        <w:t>.</w:t>
      </w:r>
    </w:p>
    <w:p w14:paraId="0370E9AB" w14:textId="0D3C3E95" w:rsidR="00BC41AA" w:rsidRDefault="00BC41AA" w:rsidP="00761779">
      <w:pPr>
        <w:pStyle w:val="SPRU11Paragraphs"/>
        <w:numPr>
          <w:ilvl w:val="3"/>
          <w:numId w:val="37"/>
        </w:numPr>
      </w:pPr>
      <w:r w:rsidRPr="006F1706">
        <w:t>I have been with DLP Planning since April 2019. During this time, I have advised private and public sector clients on a wide range of planning issues with particular focus upon the calculation of housing need and 5-year land supply, appearing at both Local Plan examinations and planning appeals.</w:t>
      </w:r>
      <w:r w:rsidR="00140FBE">
        <w:t xml:space="preserve"> Within 2020 and 2021 I acted on behalf of West Northamptonshire Council (for the (former) South Northamptonshire Area) across a series of </w:t>
      </w:r>
      <w:proofErr w:type="gramStart"/>
      <w:r w:rsidR="00140FBE">
        <w:t>Appeals</w:t>
      </w:r>
      <w:proofErr w:type="gramEnd"/>
      <w:r w:rsidR="00140FBE">
        <w:t xml:space="preserve"> where the housing requirement and assessment of deliverable supply was disputed</w:t>
      </w:r>
    </w:p>
    <w:p w14:paraId="06E06E45" w14:textId="1955963A" w:rsidR="006F7115" w:rsidRDefault="006F7115" w:rsidP="006F7115">
      <w:pPr>
        <w:pStyle w:val="aSPRUSubHeadings"/>
        <w:numPr>
          <w:ilvl w:val="0"/>
          <w:numId w:val="30"/>
        </w:numPr>
        <w:ind w:left="737" w:hanging="737"/>
      </w:pPr>
      <w:bookmarkStart w:id="26" w:name="_Toc134515171"/>
      <w:r>
        <w:t>Scope of this Evidence</w:t>
      </w:r>
      <w:bookmarkEnd w:id="19"/>
      <w:bookmarkEnd w:id="20"/>
      <w:bookmarkEnd w:id="21"/>
      <w:bookmarkEnd w:id="22"/>
      <w:bookmarkEnd w:id="23"/>
      <w:bookmarkEnd w:id="24"/>
      <w:bookmarkEnd w:id="25"/>
      <w:bookmarkEnd w:id="26"/>
      <w:r>
        <w:t xml:space="preserve"> </w:t>
      </w:r>
    </w:p>
    <w:p w14:paraId="6AF2FC58" w14:textId="746E6567" w:rsidR="006F7115" w:rsidRDefault="006F7115" w:rsidP="00761779">
      <w:pPr>
        <w:pStyle w:val="SPRU11Paragraphs"/>
        <w:numPr>
          <w:ilvl w:val="3"/>
          <w:numId w:val="37"/>
        </w:numPr>
      </w:pPr>
      <w:r w:rsidRPr="006F1706">
        <w:t xml:space="preserve">I have been instructed by the Council to prepare a </w:t>
      </w:r>
      <w:r>
        <w:t xml:space="preserve">Proof of Evidence on its behalf </w:t>
      </w:r>
      <w:r w:rsidRPr="006F1706">
        <w:t xml:space="preserve">which sets out the Council’s five-year housing requirement and land supply in the context of evidence presented by the Appellant. </w:t>
      </w:r>
    </w:p>
    <w:p w14:paraId="06C7AD6A" w14:textId="77777777" w:rsidR="006F7115" w:rsidRPr="006F1706" w:rsidRDefault="006F7115" w:rsidP="00761779">
      <w:pPr>
        <w:pStyle w:val="SPRU11Paragraphs"/>
        <w:numPr>
          <w:ilvl w:val="3"/>
          <w:numId w:val="37"/>
        </w:numPr>
      </w:pPr>
      <w:r w:rsidRPr="006F1706">
        <w:t xml:space="preserve">I confirm that this evidence is true and has been prepared and is given in accordance with the guidance of my professional institution and I also confirm that the opinions expressed are </w:t>
      </w:r>
      <w:r w:rsidRPr="006F1706">
        <w:lastRenderedPageBreak/>
        <w:t xml:space="preserve">my true and professional opinions. </w:t>
      </w:r>
    </w:p>
    <w:tbl>
      <w:tblPr>
        <w:tblStyle w:val="TableGrid"/>
        <w:tblW w:w="0" w:type="auto"/>
        <w:tblInd w:w="737" w:type="dxa"/>
        <w:tblLook w:val="04A0" w:firstRow="1" w:lastRow="0" w:firstColumn="1" w:lastColumn="0" w:noHBand="0" w:noVBand="1"/>
      </w:tblPr>
      <w:tblGrid>
        <w:gridCol w:w="1952"/>
        <w:gridCol w:w="6515"/>
      </w:tblGrid>
      <w:tr w:rsidR="006F7115" w:rsidRPr="001B34E3" w14:paraId="7E2D644B" w14:textId="77777777" w:rsidTr="006F7115">
        <w:tc>
          <w:tcPr>
            <w:tcW w:w="1952" w:type="dxa"/>
          </w:tcPr>
          <w:p w14:paraId="35546F49" w14:textId="77777777" w:rsidR="006F7115" w:rsidRPr="001B34E3" w:rsidRDefault="006F7115" w:rsidP="006F7115">
            <w:pPr>
              <w:pStyle w:val="SPRU11Paragraphs"/>
              <w:numPr>
                <w:ilvl w:val="0"/>
                <w:numId w:val="0"/>
              </w:numPr>
              <w:spacing w:line="360" w:lineRule="auto"/>
              <w:rPr>
                <w:b/>
              </w:rPr>
            </w:pPr>
            <w:r w:rsidRPr="001B34E3">
              <w:rPr>
                <w:b/>
              </w:rPr>
              <w:t xml:space="preserve">Signed </w:t>
            </w:r>
          </w:p>
        </w:tc>
        <w:tc>
          <w:tcPr>
            <w:tcW w:w="6515" w:type="dxa"/>
          </w:tcPr>
          <w:p w14:paraId="033E0AB5" w14:textId="1EE57274" w:rsidR="006F7115" w:rsidRPr="001B34E3" w:rsidRDefault="006F7115" w:rsidP="006F7115">
            <w:pPr>
              <w:pStyle w:val="SPRU11Paragraphs"/>
              <w:numPr>
                <w:ilvl w:val="0"/>
                <w:numId w:val="0"/>
              </w:numPr>
              <w:spacing w:line="360" w:lineRule="auto"/>
              <w:rPr>
                <w:highlight w:val="yellow"/>
              </w:rPr>
            </w:pPr>
          </w:p>
        </w:tc>
      </w:tr>
      <w:tr w:rsidR="006F7115" w:rsidRPr="001B34E3" w14:paraId="4E5E2818" w14:textId="77777777" w:rsidTr="006F7115">
        <w:tc>
          <w:tcPr>
            <w:tcW w:w="1952" w:type="dxa"/>
          </w:tcPr>
          <w:p w14:paraId="2E6D8756" w14:textId="77777777" w:rsidR="006F7115" w:rsidRPr="001B34E3" w:rsidRDefault="006F7115" w:rsidP="006F7115">
            <w:pPr>
              <w:pStyle w:val="Default"/>
              <w:spacing w:line="360" w:lineRule="auto"/>
              <w:jc w:val="both"/>
            </w:pPr>
            <w:r w:rsidRPr="001B34E3">
              <w:rPr>
                <w:b/>
                <w:bCs/>
                <w:sz w:val="22"/>
                <w:szCs w:val="22"/>
              </w:rPr>
              <w:t xml:space="preserve">Name </w:t>
            </w:r>
          </w:p>
        </w:tc>
        <w:tc>
          <w:tcPr>
            <w:tcW w:w="6515" w:type="dxa"/>
          </w:tcPr>
          <w:p w14:paraId="3AEDC2FD" w14:textId="77777777" w:rsidR="006F7115" w:rsidRPr="00AE720A" w:rsidRDefault="006F7115" w:rsidP="006F7115">
            <w:pPr>
              <w:pStyle w:val="Default"/>
              <w:spacing w:line="360" w:lineRule="auto"/>
              <w:jc w:val="both"/>
              <w:rPr>
                <w:rFonts w:asciiTheme="minorBidi" w:hAnsiTheme="minorBidi" w:cstheme="minorBidi"/>
              </w:rPr>
            </w:pPr>
            <w:r w:rsidRPr="00AE720A">
              <w:rPr>
                <w:rFonts w:asciiTheme="minorBidi" w:hAnsiTheme="minorBidi" w:cstheme="minorBidi"/>
              </w:rPr>
              <w:t>Jon Goodall MA (</w:t>
            </w:r>
            <w:proofErr w:type="spellStart"/>
            <w:r w:rsidRPr="00AE720A">
              <w:rPr>
                <w:rFonts w:asciiTheme="minorBidi" w:hAnsiTheme="minorBidi" w:cstheme="minorBidi"/>
              </w:rPr>
              <w:t>Cantab</w:t>
            </w:r>
            <w:proofErr w:type="spellEnd"/>
            <w:r w:rsidRPr="00AE720A">
              <w:rPr>
                <w:rFonts w:asciiTheme="minorBidi" w:hAnsiTheme="minorBidi" w:cstheme="minorBidi"/>
              </w:rPr>
              <w:t>) MSc MRTPI</w:t>
            </w:r>
          </w:p>
        </w:tc>
      </w:tr>
      <w:tr w:rsidR="006F7115" w:rsidRPr="001B34E3" w14:paraId="2A5BE5C1" w14:textId="77777777" w:rsidTr="006F7115">
        <w:tc>
          <w:tcPr>
            <w:tcW w:w="1952" w:type="dxa"/>
          </w:tcPr>
          <w:p w14:paraId="0D3505CD" w14:textId="77777777" w:rsidR="006F7115" w:rsidRPr="001B34E3" w:rsidRDefault="006F7115" w:rsidP="006F7115">
            <w:pPr>
              <w:pStyle w:val="Default"/>
              <w:spacing w:line="360" w:lineRule="auto"/>
              <w:jc w:val="both"/>
            </w:pPr>
            <w:r w:rsidRPr="001B34E3">
              <w:rPr>
                <w:b/>
                <w:bCs/>
                <w:sz w:val="22"/>
                <w:szCs w:val="22"/>
              </w:rPr>
              <w:t xml:space="preserve">Position </w:t>
            </w:r>
          </w:p>
        </w:tc>
        <w:tc>
          <w:tcPr>
            <w:tcW w:w="6515" w:type="dxa"/>
          </w:tcPr>
          <w:p w14:paraId="462C3E39" w14:textId="7CFF68CF" w:rsidR="006F7115" w:rsidRPr="00AE720A" w:rsidRDefault="006F7115" w:rsidP="006F7115">
            <w:pPr>
              <w:pStyle w:val="Default"/>
              <w:jc w:val="both"/>
              <w:rPr>
                <w:rFonts w:asciiTheme="minorBidi" w:hAnsiTheme="minorBidi" w:cstheme="minorBidi"/>
              </w:rPr>
            </w:pPr>
            <w:r w:rsidRPr="00AE720A">
              <w:rPr>
                <w:rFonts w:asciiTheme="minorBidi" w:hAnsiTheme="minorBidi" w:cstheme="minorBidi"/>
              </w:rPr>
              <w:t>Director</w:t>
            </w:r>
          </w:p>
        </w:tc>
      </w:tr>
      <w:tr w:rsidR="006F7115" w:rsidRPr="001B34E3" w14:paraId="0786235C" w14:textId="77777777" w:rsidTr="006F7115">
        <w:tc>
          <w:tcPr>
            <w:tcW w:w="1952" w:type="dxa"/>
          </w:tcPr>
          <w:p w14:paraId="2289D6CF" w14:textId="77777777" w:rsidR="006F7115" w:rsidRPr="001B34E3" w:rsidRDefault="006F7115" w:rsidP="006F7115">
            <w:pPr>
              <w:pStyle w:val="Default"/>
              <w:spacing w:line="360" w:lineRule="auto"/>
              <w:jc w:val="both"/>
            </w:pPr>
            <w:r w:rsidRPr="001B34E3">
              <w:rPr>
                <w:b/>
                <w:bCs/>
                <w:sz w:val="22"/>
                <w:szCs w:val="22"/>
              </w:rPr>
              <w:t xml:space="preserve">Date </w:t>
            </w:r>
          </w:p>
        </w:tc>
        <w:tc>
          <w:tcPr>
            <w:tcW w:w="6515" w:type="dxa"/>
          </w:tcPr>
          <w:p w14:paraId="1D0297CC" w14:textId="3218F44B" w:rsidR="006F7115" w:rsidRPr="001A7ED0" w:rsidRDefault="00C10553" w:rsidP="006F7115">
            <w:pPr>
              <w:pStyle w:val="SPRU11Paragraphs"/>
              <w:numPr>
                <w:ilvl w:val="0"/>
                <w:numId w:val="0"/>
              </w:numPr>
              <w:spacing w:line="360" w:lineRule="auto"/>
              <w:rPr>
                <w:rFonts w:asciiTheme="minorBidi" w:hAnsiTheme="minorBidi" w:cstheme="minorBidi"/>
                <w:sz w:val="24"/>
                <w:szCs w:val="24"/>
                <w:lang w:val="en-US"/>
              </w:rPr>
            </w:pPr>
            <w:r>
              <w:rPr>
                <w:rFonts w:asciiTheme="minorBidi" w:hAnsiTheme="minorBidi" w:cstheme="minorBidi"/>
                <w:sz w:val="24"/>
                <w:szCs w:val="24"/>
              </w:rPr>
              <w:t>May</w:t>
            </w:r>
            <w:r w:rsidR="008B5F41">
              <w:rPr>
                <w:rFonts w:asciiTheme="minorBidi" w:hAnsiTheme="minorBidi" w:cstheme="minorBidi"/>
                <w:sz w:val="24"/>
                <w:szCs w:val="24"/>
              </w:rPr>
              <w:t xml:space="preserve"> 2023</w:t>
            </w:r>
          </w:p>
        </w:tc>
      </w:tr>
    </w:tbl>
    <w:p w14:paraId="40074761" w14:textId="77777777" w:rsidR="006F7115" w:rsidRPr="006D7AEA" w:rsidRDefault="006F7115" w:rsidP="006F7115">
      <w:pPr>
        <w:pStyle w:val="SPRU11Paragraphs"/>
        <w:numPr>
          <w:ilvl w:val="0"/>
          <w:numId w:val="0"/>
        </w:numPr>
        <w:ind w:left="737"/>
        <w:rPr>
          <w:highlight w:val="yellow"/>
        </w:rPr>
      </w:pPr>
    </w:p>
    <w:p w14:paraId="36DDFF5B" w14:textId="77777777" w:rsidR="005F65E1" w:rsidRPr="006D7AEA" w:rsidRDefault="005F65E1" w:rsidP="005F65E1">
      <w:pPr>
        <w:pStyle w:val="SPRU11Paragraphs"/>
        <w:numPr>
          <w:ilvl w:val="0"/>
          <w:numId w:val="0"/>
        </w:numPr>
        <w:ind w:left="737"/>
        <w:rPr>
          <w:highlight w:val="yellow"/>
        </w:rPr>
      </w:pPr>
    </w:p>
    <w:p w14:paraId="7F41DBFB" w14:textId="77777777" w:rsidR="005F65E1" w:rsidRDefault="005F65E1" w:rsidP="005F65E1">
      <w:pPr>
        <w:pStyle w:val="SPRUChapterHeadings10"/>
        <w:numPr>
          <w:ilvl w:val="0"/>
          <w:numId w:val="0"/>
        </w:numPr>
      </w:pPr>
    </w:p>
    <w:p w14:paraId="3BBB9E59" w14:textId="77777777" w:rsidR="00DE2634" w:rsidRDefault="00DE2634"/>
    <w:p w14:paraId="213ED815" w14:textId="77777777" w:rsidR="00DE2634" w:rsidRDefault="00DE2634"/>
    <w:p w14:paraId="0632B01C" w14:textId="77777777" w:rsidR="00DE2634" w:rsidRDefault="00DE2634">
      <w:pPr>
        <w:sectPr w:rsidR="00DE2634" w:rsidSect="00E1783C">
          <w:pgSz w:w="11907" w:h="16840" w:code="9"/>
          <w:pgMar w:top="2268" w:right="1134" w:bottom="1134" w:left="1134" w:header="567" w:footer="720" w:gutter="0"/>
          <w:cols w:space="708"/>
          <w:docGrid w:linePitch="299"/>
        </w:sectPr>
      </w:pPr>
    </w:p>
    <w:p w14:paraId="44E2B88A" w14:textId="77777777" w:rsidR="005F65E1" w:rsidRDefault="005F65E1" w:rsidP="005F65E1">
      <w:pPr>
        <w:pStyle w:val="SPRUChapterHeadings10"/>
      </w:pPr>
      <w:bookmarkStart w:id="27" w:name="_Toc64379047"/>
      <w:bookmarkStart w:id="28" w:name="_Toc134515172"/>
      <w:r>
        <w:lastRenderedPageBreak/>
        <w:t>Introduction</w:t>
      </w:r>
      <w:bookmarkEnd w:id="27"/>
      <w:bookmarkEnd w:id="28"/>
    </w:p>
    <w:p w14:paraId="621C35C1" w14:textId="497A55B5" w:rsidR="00C65D1B" w:rsidRPr="00C65D1B" w:rsidRDefault="00C65D1B" w:rsidP="00C65D1B">
      <w:pPr>
        <w:pStyle w:val="SPRU21Paragraphs"/>
      </w:pPr>
      <w:bookmarkStart w:id="29" w:name="_Toc134515173"/>
      <w:r w:rsidRPr="00C65D1B">
        <w:t xml:space="preserve">This </w:t>
      </w:r>
      <w:r>
        <w:t>Proof of Evidence</w:t>
      </w:r>
      <w:r w:rsidRPr="00C65D1B">
        <w:t xml:space="preserve"> sets out my evidence on behalf of Cherwell District Council (“the Council”) in respect of the appeal submitted by Firethorn Trust (“the Appellant”) under Section 78(1) of the Town and Country Planning Act 1990 against the Council’s failure to determine Planning Permission ref 21/01630/OUT pertaining to land known as Land at </w:t>
      </w:r>
      <w:proofErr w:type="gramStart"/>
      <w:r w:rsidRPr="00C65D1B">
        <w:t>North West</w:t>
      </w:r>
      <w:proofErr w:type="gramEnd"/>
      <w:r w:rsidRPr="00C65D1B">
        <w:t xml:space="preserve"> Bicester, Charlotte Avenue, Bicester (“the Site”). </w:t>
      </w:r>
    </w:p>
    <w:p w14:paraId="13330CB2" w14:textId="77777777" w:rsidR="00C65D1B" w:rsidRPr="00C65D1B" w:rsidRDefault="00C65D1B" w:rsidP="00C65D1B">
      <w:pPr>
        <w:pStyle w:val="SPRU21Paragraphs"/>
      </w:pPr>
      <w:r w:rsidRPr="00C65D1B">
        <w:t xml:space="preserve">The planning application, received by the council on 6th May 2021, sought planning permission for redevelopment of the site, and was described by the council as follows: </w:t>
      </w:r>
    </w:p>
    <w:p w14:paraId="077983CA" w14:textId="77777777" w:rsidR="00C65D1B" w:rsidRPr="00C65D1B" w:rsidRDefault="00C65D1B" w:rsidP="00C65D1B">
      <w:pPr>
        <w:pStyle w:val="SPRUQuotations"/>
        <w:ind w:left="1440"/>
      </w:pPr>
      <w:r w:rsidRPr="00C65D1B">
        <w:t>“Outline planning application for up to 530 residential dwellings (within Use Class C3), open space provision, access, drainage and all associated works and operations including but not limited to demolition, earthworks, and engineering operations, with the details of appearance, landscaping, layout, and scale reserved for later determination.”</w:t>
      </w:r>
    </w:p>
    <w:p w14:paraId="7351C919" w14:textId="012FF469" w:rsidR="00B80EA6" w:rsidRPr="00D05C29" w:rsidRDefault="00B80EA6" w:rsidP="00761779">
      <w:pPr>
        <w:pStyle w:val="aSPRUSubHeadings"/>
        <w:numPr>
          <w:ilvl w:val="0"/>
          <w:numId w:val="43"/>
        </w:numPr>
      </w:pPr>
      <w:r>
        <w:t>My Instructions on Behalf of the Council</w:t>
      </w:r>
      <w:bookmarkEnd w:id="29"/>
    </w:p>
    <w:p w14:paraId="6A1A4B08" w14:textId="3F1849C5" w:rsidR="00897209" w:rsidRDefault="006F7115" w:rsidP="00897209">
      <w:pPr>
        <w:pStyle w:val="SPRU21Paragraphs"/>
      </w:pPr>
      <w:r>
        <w:t xml:space="preserve">I was approached and have been instructed by </w:t>
      </w:r>
      <w:r w:rsidR="00AF187E">
        <w:t>Cherwell District</w:t>
      </w:r>
      <w:r>
        <w:t xml:space="preserve"> Council to give evidence </w:t>
      </w:r>
      <w:r w:rsidR="00897209">
        <w:t>for the purposes of this Appeal</w:t>
      </w:r>
      <w:r>
        <w:t xml:space="preserve">. </w:t>
      </w:r>
      <w:r w:rsidR="00897209" w:rsidRPr="004E7642">
        <w:t xml:space="preserve">I have been instructed by the Council to present evidence on the Council’s five-year housing requirement and land supply for the purposes of this Inquiry. </w:t>
      </w:r>
    </w:p>
    <w:p w14:paraId="4026C6F2" w14:textId="74E91072" w:rsidR="00897209" w:rsidRDefault="00897209" w:rsidP="006F7115">
      <w:pPr>
        <w:pStyle w:val="SPRU21Paragraphs"/>
      </w:pPr>
      <w:r>
        <w:t xml:space="preserve">For this Appeal </w:t>
      </w:r>
      <w:r w:rsidR="00D05C29">
        <w:t xml:space="preserve">I was appointed following the Inspector’s Case Management Conference </w:t>
      </w:r>
      <w:r w:rsidR="00AF187E">
        <w:t>and following</w:t>
      </w:r>
      <w:r w:rsidR="00D05C29">
        <w:t xml:space="preserve"> receipt of the Appellant’s draft Topic Statement of Common Ground in respect of Housing Land Supply. </w:t>
      </w:r>
    </w:p>
    <w:p w14:paraId="0CE36E06" w14:textId="28029E85" w:rsidR="006C5A48" w:rsidRDefault="006C5A48" w:rsidP="006F7115">
      <w:pPr>
        <w:pStyle w:val="SPRU21Paragraphs"/>
      </w:pPr>
      <w:r>
        <w:t xml:space="preserve">The draft Topic </w:t>
      </w:r>
      <w:proofErr w:type="spellStart"/>
      <w:r>
        <w:t>SoCG</w:t>
      </w:r>
      <w:proofErr w:type="spellEnd"/>
      <w:r>
        <w:t xml:space="preserve"> was issued on the afternoon of Friday 21 April 2023</w:t>
      </w:r>
      <w:r w:rsidR="003B1622">
        <w:t xml:space="preserve"> following the CMC on 28 March and where the CMC note (paragraph 15) first records that housing land supply would be subject to exploration as a potential area of dispute between the parties. </w:t>
      </w:r>
    </w:p>
    <w:p w14:paraId="15E54A2D" w14:textId="4DFB9A95" w:rsidR="007F4B03" w:rsidRDefault="007F4B03" w:rsidP="00EA7396">
      <w:pPr>
        <w:pStyle w:val="SPRU21Paragraphs"/>
      </w:pPr>
      <w:r>
        <w:t xml:space="preserve">The most recent assessment of supply for </w:t>
      </w:r>
      <w:r w:rsidR="00AF187E">
        <w:t>Cherwell District Council</w:t>
      </w:r>
      <w:r>
        <w:t xml:space="preserve"> comprises the </w:t>
      </w:r>
      <w:r w:rsidR="00AF187E">
        <w:t>Housing Land Supply Statement (</w:t>
      </w:r>
      <w:proofErr w:type="spellStart"/>
      <w:r w:rsidR="00AF187E">
        <w:t>CDxx</w:t>
      </w:r>
      <w:proofErr w:type="spellEnd"/>
      <w:r w:rsidR="00AF187E">
        <w:t>) published in February 2023.</w:t>
      </w:r>
    </w:p>
    <w:p w14:paraId="2D74B931" w14:textId="77777777" w:rsidR="0021610F" w:rsidRDefault="003B1622" w:rsidP="006F7115">
      <w:pPr>
        <w:pStyle w:val="SPRU21Paragraphs"/>
      </w:pPr>
      <w:r>
        <w:t>Pending details of the Appellant’s case I undertook</w:t>
      </w:r>
      <w:r w:rsidR="00D05C29">
        <w:t xml:space="preserve"> my own review of the Council’s published assessment</w:t>
      </w:r>
      <w:r w:rsidR="001A31FE">
        <w:t xml:space="preserve">. I confirmed my view that on the anticipation that the Appellant would seek to contest the requirement against which supply should be assessed for the purposes of NPPF2021 paragraph 74 I would be able to provide my professional opinion in support of the position published by the Council. </w:t>
      </w:r>
      <w:r w:rsidR="00D05C29">
        <w:t xml:space="preserve"> </w:t>
      </w:r>
    </w:p>
    <w:p w14:paraId="2AD85CE4" w14:textId="4C492747" w:rsidR="00933040" w:rsidRDefault="001A31FE" w:rsidP="006F7115">
      <w:pPr>
        <w:pStyle w:val="SPRU21Paragraphs"/>
      </w:pPr>
      <w:r>
        <w:t>I confirmed</w:t>
      </w:r>
      <w:r w:rsidR="00D05C29">
        <w:t xml:space="preserve"> I would provide my professional opinion on the assessment of deliverability for </w:t>
      </w:r>
      <w:r w:rsidR="003B1622">
        <w:t xml:space="preserve">any sites subsequently </w:t>
      </w:r>
      <w:r w:rsidR="00D05C29">
        <w:t xml:space="preserve">disputed sites </w:t>
      </w:r>
      <w:r w:rsidR="003B1622">
        <w:t>by the Appellant</w:t>
      </w:r>
      <w:r>
        <w:t xml:space="preserve"> and whether this produces a surplus or deficit in the five-year requirement against which supply is to be assessed</w:t>
      </w:r>
      <w:r w:rsidR="00933040">
        <w:t>.</w:t>
      </w:r>
      <w:r w:rsidR="003B1622">
        <w:t xml:space="preserve"> </w:t>
      </w:r>
    </w:p>
    <w:p w14:paraId="4C3C877F" w14:textId="593964DB" w:rsidR="00933040" w:rsidRDefault="00933040" w:rsidP="006F7115">
      <w:pPr>
        <w:pStyle w:val="SPRU21Paragraphs"/>
      </w:pPr>
      <w:r>
        <w:t>My instructions to prepare evidence on behalf of the Council for this Appeal in respect of the Council’s published assessment have been undertaken without prejudice to the Council’s normal monitoring practices</w:t>
      </w:r>
      <w:r w:rsidR="006E63E0">
        <w:t>.</w:t>
      </w:r>
      <w:r>
        <w:t xml:space="preserve"> </w:t>
      </w:r>
      <w:r w:rsidR="006E63E0">
        <w:t xml:space="preserve">This includes </w:t>
      </w:r>
      <w:r>
        <w:t xml:space="preserve">updates to the assessment of supply it may provide in the future. The Council has commenced preparation of an updated assessment of deliverable supply against the relevant housing requirement for the period 1 April 2023. </w:t>
      </w:r>
    </w:p>
    <w:p w14:paraId="14E7E778" w14:textId="5DFE02C2" w:rsidR="00933040" w:rsidRDefault="00933040" w:rsidP="006F7115">
      <w:pPr>
        <w:pStyle w:val="SPRU21Paragraphs"/>
      </w:pPr>
      <w:r>
        <w:t xml:space="preserve">While the timescales for publication of an update are currently unconfirmed an updated calculation </w:t>
      </w:r>
      <w:r w:rsidR="00CD4777">
        <w:t xml:space="preserve">may be available prior to the Inquiry and, if it is, I shall refer to it as necessary.  </w:t>
      </w:r>
    </w:p>
    <w:p w14:paraId="3B9826DA" w14:textId="49D44957" w:rsidR="00395856" w:rsidRDefault="00897209" w:rsidP="00897209">
      <w:pPr>
        <w:pStyle w:val="SPRU21Paragraphs"/>
      </w:pPr>
      <w:r>
        <w:t xml:space="preserve">I confirm that </w:t>
      </w:r>
      <w:proofErr w:type="gramStart"/>
      <w:r>
        <w:t>as a result of</w:t>
      </w:r>
      <w:proofErr w:type="gramEnd"/>
      <w:r>
        <w:t xml:space="preserve"> my instructions for this Appeal my advice extends to that of a ‘critical </w:t>
      </w:r>
      <w:r w:rsidR="001029AA">
        <w:t>reviewer</w:t>
      </w:r>
      <w:r>
        <w:t xml:space="preserve">’ for the preparation of the scheduled update of the Housing Land Supply Assessment prior to the Council formally adopting a new published calculation. This includes reviewing the Council’s conclusions on the assessment of deliverable supply and summarising its approach to calculation of the five-year requirement. </w:t>
      </w:r>
    </w:p>
    <w:p w14:paraId="700E6D9D" w14:textId="77777777" w:rsidR="00395856" w:rsidRDefault="00395856">
      <w:pPr>
        <w:rPr>
          <w:rFonts w:ascii="Arial" w:hAnsi="Arial" w:cs="Arial"/>
        </w:rPr>
      </w:pPr>
      <w:r>
        <w:br w:type="page"/>
      </w:r>
    </w:p>
    <w:p w14:paraId="7DA01D2B" w14:textId="40222336" w:rsidR="00B80EA6" w:rsidRDefault="00B80EA6" w:rsidP="00B80EA6">
      <w:pPr>
        <w:pStyle w:val="aSPRUSubHeadings"/>
      </w:pPr>
      <w:bookmarkStart w:id="30" w:name="_Toc134515174"/>
      <w:r>
        <w:lastRenderedPageBreak/>
        <w:t>Understanding of the Appellant’s Case</w:t>
      </w:r>
      <w:bookmarkEnd w:id="30"/>
    </w:p>
    <w:p w14:paraId="599DCD95" w14:textId="34AF5B1F" w:rsidR="00B80EA6" w:rsidRDefault="00B80EA6" w:rsidP="008B5F41">
      <w:pPr>
        <w:pStyle w:val="SPRU21Paragraphs"/>
      </w:pPr>
      <w:r>
        <w:t xml:space="preserve">Paragraph </w:t>
      </w:r>
      <w:r w:rsidR="003B1622">
        <w:t>15</w:t>
      </w:r>
      <w:r>
        <w:t xml:space="preserve"> of the Inspector’s post-CMC note following the conference held on </w:t>
      </w:r>
      <w:r w:rsidR="003B1622">
        <w:t xml:space="preserve">28 March </w:t>
      </w:r>
      <w:r>
        <w:t>2023 stated:</w:t>
      </w:r>
    </w:p>
    <w:p w14:paraId="15E4AC5E" w14:textId="50BF57FB" w:rsidR="00B80EA6" w:rsidRPr="003B1622" w:rsidRDefault="00B80EA6" w:rsidP="00B80EA6">
      <w:pPr>
        <w:pStyle w:val="SPRU11Paragraphs"/>
        <w:numPr>
          <w:ilvl w:val="0"/>
          <w:numId w:val="0"/>
        </w:numPr>
        <w:ind w:left="1440"/>
        <w:rPr>
          <w:i/>
          <w:iCs/>
        </w:rPr>
      </w:pPr>
      <w:r w:rsidRPr="003B1622">
        <w:rPr>
          <w:i/>
          <w:iCs/>
        </w:rPr>
        <w:t>“</w:t>
      </w:r>
      <w:r w:rsidR="003B1622" w:rsidRPr="003B1622">
        <w:rPr>
          <w:i/>
          <w:iCs/>
        </w:rPr>
        <w:t xml:space="preserve">In addition, it was agreed that the </w:t>
      </w:r>
      <w:proofErr w:type="gramStart"/>
      <w:r w:rsidR="003B1622" w:rsidRPr="003B1622">
        <w:rPr>
          <w:i/>
          <w:iCs/>
        </w:rPr>
        <w:t>five year</w:t>
      </w:r>
      <w:proofErr w:type="gramEnd"/>
      <w:r w:rsidR="003B1622" w:rsidRPr="003B1622">
        <w:rPr>
          <w:i/>
          <w:iCs/>
        </w:rPr>
        <w:t xml:space="preserve"> housing land supply position (HLS) and implications for the appropriate planning balance, would be explored fully through the general </w:t>
      </w:r>
      <w:proofErr w:type="spellStart"/>
      <w:r w:rsidR="003B1622" w:rsidRPr="003B1622">
        <w:rPr>
          <w:i/>
          <w:iCs/>
        </w:rPr>
        <w:t>SoCG</w:t>
      </w:r>
      <w:proofErr w:type="spellEnd"/>
      <w:r w:rsidR="003B1622" w:rsidRPr="003B1622">
        <w:rPr>
          <w:i/>
          <w:iCs/>
        </w:rPr>
        <w:t xml:space="preserve"> or as a separate </w:t>
      </w:r>
      <w:proofErr w:type="spellStart"/>
      <w:r w:rsidR="003B1622" w:rsidRPr="003B1622">
        <w:rPr>
          <w:i/>
          <w:iCs/>
        </w:rPr>
        <w:t>SoCG</w:t>
      </w:r>
      <w:proofErr w:type="spellEnd"/>
      <w:r w:rsidR="003B1622" w:rsidRPr="003B1622">
        <w:rPr>
          <w:i/>
          <w:iCs/>
        </w:rPr>
        <w:t xml:space="preserve">. The parties’ also undertook to work constructively in narrowing the areas of dispute if agreement could not be </w:t>
      </w:r>
      <w:proofErr w:type="gramStart"/>
      <w:r w:rsidR="003B1622" w:rsidRPr="003B1622">
        <w:rPr>
          <w:i/>
          <w:iCs/>
        </w:rPr>
        <w:t xml:space="preserve">reached.  </w:t>
      </w:r>
      <w:r w:rsidRPr="003B1622">
        <w:rPr>
          <w:i/>
          <w:iCs/>
        </w:rPr>
        <w:t>”</w:t>
      </w:r>
      <w:proofErr w:type="gramEnd"/>
    </w:p>
    <w:p w14:paraId="4AC1A263" w14:textId="77777777" w:rsidR="001A31FE" w:rsidRDefault="003B1622" w:rsidP="008B5F41">
      <w:pPr>
        <w:pStyle w:val="SPRU21Paragraphs"/>
      </w:pPr>
      <w:r>
        <w:t>The matter of a dispute between the parties in relation to housing land supply was first raised at the CMC</w:t>
      </w:r>
      <w:r w:rsidR="001A31FE">
        <w:t>.</w:t>
      </w:r>
      <w:r>
        <w:t xml:space="preserve"> </w:t>
      </w:r>
      <w:r w:rsidR="001A31FE">
        <w:t>A</w:t>
      </w:r>
      <w:r>
        <w:t>s such the Appellant’s position was not disclosed in its Statement of Case. Housing Land Supply (and the requirement against which supply should be assessed)</w:t>
      </w:r>
      <w:r w:rsidR="001A31FE">
        <w:t>.</w:t>
      </w:r>
    </w:p>
    <w:p w14:paraId="23078588" w14:textId="77777777" w:rsidR="001A31FE" w:rsidRDefault="001A31FE" w:rsidP="008B5F41">
      <w:pPr>
        <w:pStyle w:val="SPRU21Paragraphs"/>
      </w:pPr>
      <w:r>
        <w:t xml:space="preserve">The first (and current) signed version of the Topic </w:t>
      </w:r>
      <w:proofErr w:type="spellStart"/>
      <w:r>
        <w:t>SoCG</w:t>
      </w:r>
      <w:proofErr w:type="spellEnd"/>
      <w:r>
        <w:t xml:space="preserve"> in relation to Housing Land Supply matters was finalised on 4 May 2023 and I rely on this for responding to my understanding of the Appellant’s case for preparation of my Proof of Evidence. </w:t>
      </w:r>
    </w:p>
    <w:p w14:paraId="21272721" w14:textId="77777777" w:rsidR="001A31FE" w:rsidRDefault="001A31FE" w:rsidP="008B5F41">
      <w:pPr>
        <w:pStyle w:val="SPRU21Paragraphs"/>
      </w:pPr>
      <w:r>
        <w:t>This confirms that there is agreement between the parties that:</w:t>
      </w:r>
    </w:p>
    <w:p w14:paraId="3FC9C3CA" w14:textId="77777777" w:rsidR="001143F4" w:rsidRDefault="001A31FE" w:rsidP="001A31FE">
      <w:pPr>
        <w:pStyle w:val="SPRU21Paragraphs"/>
        <w:numPr>
          <w:ilvl w:val="1"/>
          <w:numId w:val="2"/>
        </w:numPr>
      </w:pPr>
      <w:r w:rsidRPr="001A31FE">
        <w:t>the Cherwell Local Plan (Part 1) (adopted July 2015) is more than five years old.</w:t>
      </w:r>
    </w:p>
    <w:p w14:paraId="7F0FB8D0" w14:textId="77777777" w:rsidR="001143F4" w:rsidRDefault="001143F4" w:rsidP="001A31FE">
      <w:pPr>
        <w:pStyle w:val="SPRU21Paragraphs"/>
        <w:numPr>
          <w:ilvl w:val="1"/>
          <w:numId w:val="2"/>
        </w:numPr>
      </w:pPr>
      <w:r>
        <w:t>f</w:t>
      </w:r>
      <w:r w:rsidR="001A31FE" w:rsidRPr="001A31FE">
        <w:t xml:space="preserve">ollowing the latest review in accordance with Regulation 10A (February 2023) the housing requirement within its adopted strategic policies requires updating for the purposes of NPPF2021 paragraph 74 and footnote </w:t>
      </w:r>
      <w:proofErr w:type="gramStart"/>
      <w:r w:rsidR="001A31FE" w:rsidRPr="001A31FE">
        <w:t>39</w:t>
      </w:r>
      <w:r w:rsidR="001A31FE">
        <w:t xml:space="preserve"> </w:t>
      </w:r>
      <w:r w:rsidR="001A31FE" w:rsidRPr="001A31FE">
        <w:t>.</w:t>
      </w:r>
      <w:proofErr w:type="gramEnd"/>
      <w:r w:rsidR="001A31FE">
        <w:t xml:space="preserve"> </w:t>
      </w:r>
    </w:p>
    <w:p w14:paraId="23848928" w14:textId="7FFA4BE4" w:rsidR="001143F4" w:rsidRDefault="001143F4" w:rsidP="001A31FE">
      <w:pPr>
        <w:pStyle w:val="SPRU21Paragraphs"/>
        <w:numPr>
          <w:ilvl w:val="1"/>
          <w:numId w:val="2"/>
        </w:numPr>
      </w:pPr>
      <w:r>
        <w:t xml:space="preserve">the </w:t>
      </w:r>
      <w:r w:rsidR="0040249F">
        <w:t xml:space="preserve">application of the standard method for </w:t>
      </w:r>
      <w:r>
        <w:t xml:space="preserve">Cherwell District </w:t>
      </w:r>
      <w:r w:rsidR="0040249F">
        <w:t xml:space="preserve">provides for calculation of local housing need </w:t>
      </w:r>
      <w:r>
        <w:t xml:space="preserve">of </w:t>
      </w:r>
      <w:r w:rsidR="00540FBE">
        <w:t>710dpa.</w:t>
      </w:r>
    </w:p>
    <w:p w14:paraId="00B54075" w14:textId="428BC13F" w:rsidR="00B80EA6" w:rsidRDefault="001143F4" w:rsidP="001A31FE">
      <w:pPr>
        <w:pStyle w:val="SPRU21Paragraphs"/>
        <w:numPr>
          <w:ilvl w:val="1"/>
          <w:numId w:val="2"/>
        </w:numPr>
      </w:pPr>
      <w:r>
        <w:t xml:space="preserve">a buffer of 5% must be applied to the requirement against which deliverable supply is </w:t>
      </w:r>
      <w:r w:rsidR="00540FBE">
        <w:t>assessed.</w:t>
      </w:r>
      <w:r w:rsidR="001A31FE">
        <w:t xml:space="preserve"> </w:t>
      </w:r>
      <w:r w:rsidR="003B1622">
        <w:t xml:space="preserve"> </w:t>
      </w:r>
    </w:p>
    <w:p w14:paraId="18BC2BC7" w14:textId="77777777" w:rsidR="00796A33" w:rsidRDefault="0040249F" w:rsidP="0040249F">
      <w:pPr>
        <w:pStyle w:val="SPRU21Paragraphs"/>
      </w:pPr>
      <w:r>
        <w:t xml:space="preserve">Notwithstanding the above there is a substantial level of disagreement between the parties in relation to the calculation of the requirement against which supply should be assessed. </w:t>
      </w:r>
    </w:p>
    <w:p w14:paraId="515962DD" w14:textId="6841E96A" w:rsidR="00042DBF" w:rsidRDefault="00F218EC" w:rsidP="0040249F">
      <w:pPr>
        <w:pStyle w:val="SPRU21Paragraphs"/>
      </w:pPr>
      <w:r>
        <w:t>T</w:t>
      </w:r>
      <w:r w:rsidR="0040249F" w:rsidRPr="0040249F">
        <w:t>he parties agree that the ‘Cherwell Local Plan 2011-2031 (Part 1) Partial Review- Oxford’s Unmet Housing Need’ or “Partial Review” which was adopted on 7 September 2020 and is less than five years old</w:t>
      </w:r>
      <w:r>
        <w:t>.</w:t>
      </w:r>
      <w:r w:rsidR="0040249F">
        <w:t xml:space="preserve"> </w:t>
      </w:r>
      <w:r>
        <w:t>T</w:t>
      </w:r>
      <w:r w:rsidR="0040249F">
        <w:t>he parties disagree having regard to the housing requirement within the separate adopted strategic policies of the Partial Review in relation to providing a contribution towards part of Oxford’s unmet needs</w:t>
      </w:r>
      <w:r w:rsidR="0040249F" w:rsidRPr="0040249F">
        <w:t>.</w:t>
      </w:r>
    </w:p>
    <w:p w14:paraId="595D868C" w14:textId="57B8B9FE" w:rsidR="0040249F" w:rsidRPr="0040249F" w:rsidRDefault="00042DBF" w:rsidP="0040249F">
      <w:pPr>
        <w:pStyle w:val="SPRU21Paragraphs"/>
      </w:pPr>
      <w:r>
        <w:t xml:space="preserve">In essence the Appellant denies the possibility that the housing requirement within the adopted strategic policies can be applied separately. The Appellant relies on the proposition that where local housing need applies for the purposes of NPPF2021 paragraph 74 a contribution towards unmet needs must </w:t>
      </w:r>
      <w:r w:rsidR="00540FBE">
        <w:t xml:space="preserve">be </w:t>
      </w:r>
      <w:r w:rsidR="00796A33">
        <w:t>included in a way that provides</w:t>
      </w:r>
      <w:r>
        <w:t xml:space="preserve"> a single figure for the requirement against which supply must be assessed for the district</w:t>
      </w:r>
      <w:r w:rsidR="00796A33">
        <w:t>, irrespective of the nature and status of relevant strategic policies</w:t>
      </w:r>
      <w:r w:rsidR="0085420E">
        <w:t xml:space="preserve"> and practice guidance in relation to local housing need</w:t>
      </w:r>
      <w:r>
        <w:t>.</w:t>
      </w:r>
      <w:r w:rsidR="0040249F" w:rsidRPr="0040249F">
        <w:t xml:space="preserve"> </w:t>
      </w:r>
    </w:p>
    <w:p w14:paraId="2E507D79" w14:textId="6BBDAB39" w:rsidR="0040249F" w:rsidRDefault="00042DBF" w:rsidP="008B5F41">
      <w:pPr>
        <w:pStyle w:val="SPRU21Paragraphs"/>
      </w:pPr>
      <w:r>
        <w:t>The Appellant relies on one recent Appeal Decision in the Vale of White Horse (‘the Grove Decision’) (</w:t>
      </w:r>
      <w:proofErr w:type="spellStart"/>
      <w:r>
        <w:t>CDxx</w:t>
      </w:r>
      <w:proofErr w:type="spellEnd"/>
      <w:r>
        <w:t xml:space="preserve">) and the calculation of the Housing Delivery Test </w:t>
      </w:r>
      <w:proofErr w:type="gramStart"/>
      <w:r>
        <w:t>in order to</w:t>
      </w:r>
      <w:proofErr w:type="gramEnd"/>
      <w:r>
        <w:t xml:space="preserve"> support its propositions. </w:t>
      </w:r>
    </w:p>
    <w:p w14:paraId="60D8442E" w14:textId="5855EABD" w:rsidR="0040249F" w:rsidRDefault="00042DBF" w:rsidP="008B5F41">
      <w:pPr>
        <w:pStyle w:val="SPRU21Paragraphs"/>
      </w:pPr>
      <w:r>
        <w:t xml:space="preserve">In responding to the Appellant’s </w:t>
      </w:r>
      <w:r w:rsidR="00540FBE">
        <w:t>case,</w:t>
      </w:r>
      <w:r>
        <w:t xml:space="preserve"> I will illustrate that it is not internally consistent to rely on both the Grove Decision and calculation of the HDT</w:t>
      </w:r>
      <w:r w:rsidR="0040249F">
        <w:t xml:space="preserve">. </w:t>
      </w:r>
      <w:r>
        <w:t>Moreover, I will demonstrate that b</w:t>
      </w:r>
      <w:r w:rsidR="0040249F">
        <w:t xml:space="preserve">oth </w:t>
      </w:r>
      <w:r>
        <w:t xml:space="preserve">elements </w:t>
      </w:r>
      <w:r w:rsidR="0040249F">
        <w:t>relied upon by the Appellant</w:t>
      </w:r>
      <w:r w:rsidR="00557C3A">
        <w:t>,</w:t>
      </w:r>
      <w:r w:rsidR="0040249F">
        <w:t xml:space="preserve"> </w:t>
      </w:r>
      <w:r>
        <w:t>and applied to</w:t>
      </w:r>
      <w:r w:rsidR="0040249F">
        <w:t xml:space="preserve"> the circumstances within Cherwell District</w:t>
      </w:r>
      <w:r w:rsidR="00557C3A">
        <w:t>,</w:t>
      </w:r>
      <w:r w:rsidR="0040249F">
        <w:t xml:space="preserve"> represent a departure from the adopted development plan and therefore an incorrect application of national policy in NPPF2021 paragraph 74</w:t>
      </w:r>
      <w:r>
        <w:t>.</w:t>
      </w:r>
      <w:r w:rsidR="0040249F">
        <w:t xml:space="preserve"> </w:t>
      </w:r>
      <w:r>
        <w:t>This</w:t>
      </w:r>
      <w:r w:rsidR="0040249F">
        <w:t xml:space="preserve"> instead supports the Council’s case for identifying the requirement against which supply should be assessed </w:t>
      </w:r>
      <w:r>
        <w:t xml:space="preserve">against local </w:t>
      </w:r>
      <w:r>
        <w:lastRenderedPageBreak/>
        <w:t xml:space="preserve">housing need </w:t>
      </w:r>
      <w:r w:rsidR="0040249F">
        <w:t>(excluding Oxford’s unmet needs</w:t>
      </w:r>
      <w:r>
        <w:t xml:space="preserve"> which are provided for separately</w:t>
      </w:r>
      <w:r w:rsidR="0040249F">
        <w:t>).</w:t>
      </w:r>
    </w:p>
    <w:p w14:paraId="2A555E16" w14:textId="10C2039F" w:rsidR="001143F4" w:rsidRDefault="001143F4" w:rsidP="008B5F41">
      <w:pPr>
        <w:pStyle w:val="SPRU21Paragraphs"/>
      </w:pPr>
      <w:r>
        <w:t xml:space="preserve">The signed </w:t>
      </w:r>
      <w:proofErr w:type="spellStart"/>
      <w:r>
        <w:t>SoCG</w:t>
      </w:r>
      <w:proofErr w:type="spellEnd"/>
      <w:r>
        <w:t xml:space="preserve"> also details that there is a relatively more limited dispute between the parties in relation to the assessment of deliverable supply. This equates to -593 dwellings applicable to supply relevant to the Council’s case for the housing requirement and -673 dwellings under the Appellant’s case for the housing requirement </w:t>
      </w:r>
      <w:r w:rsidR="00693F53">
        <w:t>(</w:t>
      </w:r>
      <w:r>
        <w:t>including the contribution towards part of Oxford’s unmet need within a single requirement figure for Cherwell District</w:t>
      </w:r>
      <w:r w:rsidR="00693F53">
        <w:t>)</w:t>
      </w:r>
      <w:r>
        <w:t xml:space="preserve">. </w:t>
      </w:r>
    </w:p>
    <w:p w14:paraId="0966E3AE" w14:textId="77777777" w:rsidR="00E352AA" w:rsidRDefault="001143F4" w:rsidP="001143F4">
      <w:pPr>
        <w:pStyle w:val="SPRU21Paragraphs"/>
      </w:pPr>
      <w:r>
        <w:t xml:space="preserve">I address disputed supply separately within my Proof of Evidence but note that the signed </w:t>
      </w:r>
      <w:proofErr w:type="spellStart"/>
      <w:r>
        <w:t>SoCG</w:t>
      </w:r>
      <w:proofErr w:type="spellEnd"/>
      <w:r>
        <w:t xml:space="preserve"> contains no details for the Appellant’s reasons to dispute the assessment of supply from specific sites. </w:t>
      </w:r>
    </w:p>
    <w:p w14:paraId="48E102D9" w14:textId="170DD9BD" w:rsidR="001143F4" w:rsidRDefault="001143F4" w:rsidP="001143F4">
      <w:pPr>
        <w:pStyle w:val="SPRU21Paragraphs"/>
      </w:pPr>
      <w:r w:rsidRPr="007307F6">
        <w:t>I reserve the right to respond to any further evidence the Appellant provides in relation to specific sites in the supply at the point of exchanging evidence.</w:t>
      </w:r>
    </w:p>
    <w:p w14:paraId="1972269C" w14:textId="77777777" w:rsidR="00B80EA6" w:rsidRPr="007307F6" w:rsidRDefault="00B80EA6" w:rsidP="00B80EA6">
      <w:pPr>
        <w:pStyle w:val="SPRU21Paragraphs"/>
        <w:numPr>
          <w:ilvl w:val="0"/>
          <w:numId w:val="0"/>
        </w:numPr>
        <w:ind w:left="737"/>
      </w:pPr>
    </w:p>
    <w:p w14:paraId="5FF0F901" w14:textId="3B427F57" w:rsidR="000E1853" w:rsidRDefault="00EA7113" w:rsidP="00FB2A34">
      <w:pPr>
        <w:pStyle w:val="SPRUChapterHeadings10"/>
        <w:pageBreakBefore/>
      </w:pPr>
      <w:bookmarkStart w:id="31" w:name="_Toc134515175"/>
      <w:bookmarkStart w:id="32" w:name="_Toc9938634"/>
      <w:bookmarkStart w:id="33" w:name="_Toc62222836"/>
      <w:r>
        <w:lastRenderedPageBreak/>
        <w:t>Summary of Relevant Issues and Structure of My Evidence</w:t>
      </w:r>
      <w:bookmarkEnd w:id="31"/>
    </w:p>
    <w:p w14:paraId="772D7B51" w14:textId="64F58A7E" w:rsidR="00C264ED" w:rsidRDefault="00C264ED" w:rsidP="002473EC">
      <w:pPr>
        <w:pStyle w:val="SPRU31Paragraphs"/>
      </w:pPr>
      <w:r>
        <w:t>The structure of the following sections of my proof of evidence is as follows.</w:t>
      </w:r>
    </w:p>
    <w:p w14:paraId="0F898046" w14:textId="371B9E34" w:rsidR="00E87831" w:rsidRDefault="00E87831" w:rsidP="002473EC">
      <w:pPr>
        <w:pStyle w:val="SPRU31Paragraphs"/>
      </w:pPr>
      <w:r>
        <w:t xml:space="preserve">In </w:t>
      </w:r>
      <w:r w:rsidRPr="00A84CA9">
        <w:rPr>
          <w:b/>
          <w:bCs/>
        </w:rPr>
        <w:t>Section 4</w:t>
      </w:r>
      <w:r>
        <w:t xml:space="preserve"> I summarise the </w:t>
      </w:r>
      <w:r w:rsidR="00545131">
        <w:t xml:space="preserve">Council’s published assessment of housing land supply </w:t>
      </w:r>
      <w:r w:rsidR="00BF5C10">
        <w:t xml:space="preserve">and provides updates </w:t>
      </w:r>
      <w:r w:rsidR="008A11BA">
        <w:t xml:space="preserve">in respect of the calculated of local housing need agreed in the first signed Topic </w:t>
      </w:r>
      <w:proofErr w:type="spellStart"/>
      <w:r w:rsidR="008A11BA">
        <w:t>SoCG</w:t>
      </w:r>
      <w:proofErr w:type="spellEnd"/>
    </w:p>
    <w:p w14:paraId="68957413" w14:textId="4C3B0745" w:rsidR="00DC6063" w:rsidRDefault="00E352AA" w:rsidP="002473EC">
      <w:pPr>
        <w:pStyle w:val="SPRU31Paragraphs"/>
      </w:pPr>
      <w:r>
        <w:t xml:space="preserve">In </w:t>
      </w:r>
      <w:r w:rsidRPr="00A84CA9">
        <w:rPr>
          <w:b/>
          <w:bCs/>
        </w:rPr>
        <w:t xml:space="preserve">Section </w:t>
      </w:r>
      <w:r w:rsidR="00E87831" w:rsidRPr="00A84CA9">
        <w:rPr>
          <w:b/>
          <w:bCs/>
        </w:rPr>
        <w:t>5</w:t>
      </w:r>
      <w:r>
        <w:t xml:space="preserve"> I address the Appellant’s case in respect of the housing requirement against which supply should be assessed</w:t>
      </w:r>
      <w:r w:rsidR="008A11BA">
        <w:t>. I provide a response to the Appellant’s case having regard to national policy and guidance, the housing requirement and adopted strategic policies and with reference to relevant Appeal Decisions</w:t>
      </w:r>
    </w:p>
    <w:p w14:paraId="0B98A0F3" w14:textId="4D5B2B56" w:rsidR="008A11BA" w:rsidRDefault="008A11BA" w:rsidP="002473EC">
      <w:pPr>
        <w:pStyle w:val="SPRU31Paragraphs"/>
      </w:pPr>
      <w:r>
        <w:t xml:space="preserve">In </w:t>
      </w:r>
      <w:r w:rsidRPr="00A84CA9">
        <w:rPr>
          <w:b/>
          <w:bCs/>
        </w:rPr>
        <w:t>Section 6</w:t>
      </w:r>
      <w:r>
        <w:t xml:space="preserve"> I </w:t>
      </w:r>
      <w:r w:rsidR="0060278F">
        <w:t xml:space="preserve">respond to the Appellant’s </w:t>
      </w:r>
      <w:r w:rsidR="00E659B6">
        <w:t>reliance on the Housing Delivery Test and explain that this is a separate element of national policy.</w:t>
      </w:r>
    </w:p>
    <w:p w14:paraId="64F3CD00" w14:textId="3C4B52F3" w:rsidR="00E659B6" w:rsidRDefault="00E659B6" w:rsidP="002473EC">
      <w:pPr>
        <w:pStyle w:val="SPRU31Paragraphs"/>
      </w:pPr>
      <w:r>
        <w:t xml:space="preserve">In </w:t>
      </w:r>
      <w:r w:rsidRPr="00A84CA9">
        <w:rPr>
          <w:b/>
          <w:bCs/>
        </w:rPr>
        <w:t>Section 7</w:t>
      </w:r>
      <w:r>
        <w:t xml:space="preserve"> </w:t>
      </w:r>
      <w:r w:rsidR="008338F7">
        <w:t xml:space="preserve">I provide an initial response to the Appellant’s case where the Council’s assessment of deliverable supply is in dispute based on the first signed Topic </w:t>
      </w:r>
      <w:proofErr w:type="spellStart"/>
      <w:r w:rsidR="008338F7">
        <w:t>SoCG</w:t>
      </w:r>
      <w:proofErr w:type="spellEnd"/>
      <w:r w:rsidR="008338F7">
        <w:t xml:space="preserve">. I do so </w:t>
      </w:r>
      <w:proofErr w:type="gramStart"/>
      <w:r w:rsidR="008338F7">
        <w:t>having</w:t>
      </w:r>
      <w:proofErr w:type="gramEnd"/>
      <w:r w:rsidR="008338F7">
        <w:t xml:space="preserve"> regard to relevant policy and guidance.</w:t>
      </w:r>
    </w:p>
    <w:p w14:paraId="020150FF" w14:textId="2D712B8D" w:rsidR="00D9389C" w:rsidRPr="00996905" w:rsidRDefault="00D9389C" w:rsidP="002473EC">
      <w:pPr>
        <w:pStyle w:val="SPRU31Paragraphs"/>
      </w:pPr>
      <w:r w:rsidRPr="00A84CA9">
        <w:rPr>
          <w:b/>
          <w:bCs/>
        </w:rPr>
        <w:t>Section 8</w:t>
      </w:r>
      <w:r>
        <w:t xml:space="preserve"> provides </w:t>
      </w:r>
      <w:r w:rsidR="00A84CA9">
        <w:t>conclusions and should be taken as my Summary Proof of Evidence</w:t>
      </w:r>
    </w:p>
    <w:p w14:paraId="675753FF" w14:textId="034F67C5" w:rsidR="00CD2C27" w:rsidRDefault="00CD2C27">
      <w:r>
        <w:br w:type="page"/>
      </w:r>
    </w:p>
    <w:p w14:paraId="02597A62" w14:textId="77777777" w:rsidR="00CD2C27" w:rsidRDefault="00CD2C27" w:rsidP="00CD2C27">
      <w:pPr>
        <w:pStyle w:val="SPRUChapterHeadings10"/>
      </w:pPr>
      <w:bookmarkStart w:id="34" w:name="_Toc134515187"/>
      <w:r>
        <w:lastRenderedPageBreak/>
        <w:t>The Council’s Published Assessment of Housing Land Supply</w:t>
      </w:r>
      <w:bookmarkEnd w:id="34"/>
    </w:p>
    <w:p w14:paraId="3DB8B47A" w14:textId="77777777" w:rsidR="00CD2C27" w:rsidRDefault="00CD2C27" w:rsidP="00CD2C27">
      <w:pPr>
        <w:pStyle w:val="aSPRUSubHeadings"/>
        <w:numPr>
          <w:ilvl w:val="0"/>
          <w:numId w:val="41"/>
        </w:numPr>
      </w:pPr>
      <w:bookmarkStart w:id="35" w:name="_Toc134515188"/>
      <w:r>
        <w:t xml:space="preserve">Overview of the </w:t>
      </w:r>
      <w:proofErr w:type="gramStart"/>
      <w:r>
        <w:t>Five Year</w:t>
      </w:r>
      <w:proofErr w:type="gramEnd"/>
      <w:r>
        <w:t xml:space="preserve"> Housing Land Supply Statement February 2023</w:t>
      </w:r>
      <w:bookmarkEnd w:id="35"/>
    </w:p>
    <w:p w14:paraId="71F092F9" w14:textId="77777777" w:rsidR="00CD2C27" w:rsidRDefault="00CD2C27" w:rsidP="00CD2C27">
      <w:pPr>
        <w:pStyle w:val="SPRU41Paragraphs"/>
      </w:pPr>
      <w:r>
        <w:t>The most recent assessment of supply for Cherwell District Council comprises the Housing Land Supply Statement (</w:t>
      </w:r>
      <w:proofErr w:type="spellStart"/>
      <w:r>
        <w:t>CDxx</w:t>
      </w:r>
      <w:proofErr w:type="spellEnd"/>
      <w:r>
        <w:t>) published in February 2023.</w:t>
      </w:r>
    </w:p>
    <w:p w14:paraId="35434575" w14:textId="77777777" w:rsidR="00CD2C27" w:rsidRDefault="00CD2C27" w:rsidP="00CD2C27">
      <w:pPr>
        <w:pStyle w:val="SPRU41Paragraphs"/>
      </w:pPr>
      <w:r>
        <w:t xml:space="preserve">The Housing Land Supply Statement (HLSS) covers the period 1 April 22 to 31 March 2027. This section </w:t>
      </w:r>
      <w:r w:rsidRPr="007307F6">
        <w:t xml:space="preserve">provides a summary of the </w:t>
      </w:r>
      <w:r>
        <w:t xml:space="preserve">HLSS </w:t>
      </w:r>
      <w:r w:rsidRPr="007307F6">
        <w:t>and its relevance to this Inquiry.</w:t>
      </w:r>
    </w:p>
    <w:p w14:paraId="70CC5BAA" w14:textId="77777777" w:rsidR="00CD2C27" w:rsidRDefault="00CD2C27" w:rsidP="00CD2C27">
      <w:pPr>
        <w:pStyle w:val="aSPRUSubHeadings"/>
      </w:pPr>
      <w:bookmarkStart w:id="36" w:name="_Toc134515189"/>
      <w:r>
        <w:t>Matters Understood to Be Agreed</w:t>
      </w:r>
      <w:bookmarkEnd w:id="36"/>
    </w:p>
    <w:p w14:paraId="6AE57181" w14:textId="77777777" w:rsidR="00CD2C27" w:rsidRDefault="00CD2C27" w:rsidP="00CD2C27">
      <w:pPr>
        <w:pStyle w:val="SPRU41Paragraphs"/>
      </w:pPr>
      <w:r>
        <w:t xml:space="preserve">While I reserve the right to provide further information the following elements of the HLSS are understood to be agreed based on the contents of the first signed Topic </w:t>
      </w:r>
      <w:proofErr w:type="spellStart"/>
      <w:r>
        <w:t>SoCG</w:t>
      </w:r>
      <w:proofErr w:type="spellEnd"/>
      <w:r>
        <w:t xml:space="preserve">. </w:t>
      </w:r>
    </w:p>
    <w:p w14:paraId="7F405FAA" w14:textId="77777777" w:rsidR="00CD2C27" w:rsidRDefault="00CD2C27" w:rsidP="00CD2C27">
      <w:pPr>
        <w:pStyle w:val="Heading2"/>
        <w:numPr>
          <w:ilvl w:val="0"/>
          <w:numId w:val="40"/>
        </w:numPr>
      </w:pPr>
      <w:bookmarkStart w:id="37" w:name="_Toc134515190"/>
      <w:bookmarkStart w:id="38" w:name="_Toc72782907"/>
      <w:bookmarkStart w:id="39" w:name="_Toc74068981"/>
      <w:bookmarkStart w:id="40" w:name="_Toc74069037"/>
      <w:bookmarkStart w:id="41" w:name="_Hlk72503647"/>
      <w:r>
        <w:t>The Application of NPPF2021 Paragraph 74 and Footnote 39</w:t>
      </w:r>
      <w:bookmarkEnd w:id="37"/>
    </w:p>
    <w:p w14:paraId="63A2FC0F" w14:textId="77777777" w:rsidR="00CD2C27" w:rsidRDefault="00CD2C27" w:rsidP="00CD2C27">
      <w:pPr>
        <w:pStyle w:val="SPRU41Paragraphs"/>
      </w:pPr>
      <w:r>
        <w:t xml:space="preserve">Paragraphs 7 to 19 detail the Council’s conclusions that the housing requirement in adopted strategic policies of the Part 1 Local Plan requires updating. This is agreed with the Appellant in the first signed version of the Topic </w:t>
      </w:r>
      <w:proofErr w:type="spellStart"/>
      <w:r>
        <w:t>SoCG</w:t>
      </w:r>
      <w:proofErr w:type="spellEnd"/>
      <w:r>
        <w:t>. Local housing need for Cherwell District therefore applies for the purpose of calculating the five-year requirement against which supply should be assessed.</w:t>
      </w:r>
    </w:p>
    <w:p w14:paraId="7EACBCAA" w14:textId="77777777" w:rsidR="00CD2C27" w:rsidRDefault="00CD2C27" w:rsidP="00CD2C27">
      <w:pPr>
        <w:pStyle w:val="Heading2"/>
        <w:numPr>
          <w:ilvl w:val="0"/>
          <w:numId w:val="40"/>
        </w:numPr>
      </w:pPr>
      <w:bookmarkStart w:id="42" w:name="_Toc134515191"/>
      <w:r>
        <w:t>Calculation of the Standard Method</w:t>
      </w:r>
      <w:bookmarkEnd w:id="42"/>
    </w:p>
    <w:p w14:paraId="43CEB135" w14:textId="77777777" w:rsidR="00CD2C27" w:rsidRDefault="00CD2C27" w:rsidP="00CD2C27">
      <w:pPr>
        <w:pStyle w:val="SPRU41Paragraphs"/>
      </w:pPr>
      <w:r>
        <w:t xml:space="preserve">Paragraph 42 and the following table within the HLSA illustrate that the </w:t>
      </w:r>
      <w:proofErr w:type="gramStart"/>
      <w:r>
        <w:t>five year</w:t>
      </w:r>
      <w:proofErr w:type="gramEnd"/>
      <w:r>
        <w:t xml:space="preserve"> requirement is derived from the calculation of a local housing need of 742 dwellings per annum (row b). </w:t>
      </w:r>
    </w:p>
    <w:p w14:paraId="6B710403" w14:textId="77777777" w:rsidR="00CD2C27" w:rsidRDefault="00CD2C27" w:rsidP="00CD2C27">
      <w:pPr>
        <w:pStyle w:val="SPRU41Paragraphs"/>
      </w:pPr>
      <w:r>
        <w:t xml:space="preserve">It was agreed with the Appellant in the first signed version of the Topic </w:t>
      </w:r>
      <w:proofErr w:type="spellStart"/>
      <w:r>
        <w:t>SoCG</w:t>
      </w:r>
      <w:proofErr w:type="spellEnd"/>
      <w:r>
        <w:t xml:space="preserve"> that a calculation of local housing need of 710 dwellings per annum applies for the calculations to be considered at the Inquiry. This corresponds to the latest inputs to the calculation in accordance with national policy and guidance. This is supported by relevant Appeal Decisions including the Inspector’s reasoning in Paragraphs 53-55 of the Poplar Hill Decision Letter (</w:t>
      </w:r>
      <w:proofErr w:type="spellStart"/>
      <w:r>
        <w:t>CDxx</w:t>
      </w:r>
      <w:proofErr w:type="spellEnd"/>
      <w:r>
        <w:t>) (PINS Ref: 3214324).</w:t>
      </w:r>
    </w:p>
    <w:p w14:paraId="69B3C50C" w14:textId="77777777" w:rsidR="00CD2C27" w:rsidRDefault="00CD2C27" w:rsidP="00CD2C27">
      <w:pPr>
        <w:pStyle w:val="Heading2"/>
        <w:numPr>
          <w:ilvl w:val="0"/>
          <w:numId w:val="40"/>
        </w:numPr>
      </w:pPr>
      <w:bookmarkStart w:id="43" w:name="_Toc134515192"/>
      <w:bookmarkEnd w:id="38"/>
      <w:bookmarkEnd w:id="39"/>
      <w:bookmarkEnd w:id="40"/>
      <w:r>
        <w:t>The Appropriate Buffer</w:t>
      </w:r>
      <w:bookmarkEnd w:id="43"/>
    </w:p>
    <w:p w14:paraId="309B552C" w14:textId="77777777" w:rsidR="00CD2C27" w:rsidRDefault="00CD2C27" w:rsidP="00CD2C27">
      <w:pPr>
        <w:pStyle w:val="SPRU41Paragraphs"/>
      </w:pPr>
      <w:r>
        <w:t>The published HLSS confirms a 5% buffer applies (see paragraph 28). This is dealt with in my Section xx.</w:t>
      </w:r>
    </w:p>
    <w:p w14:paraId="521F3D78" w14:textId="77777777" w:rsidR="00CD2C27" w:rsidRDefault="00CD2C27" w:rsidP="00CD2C27">
      <w:pPr>
        <w:pStyle w:val="Heading2"/>
        <w:spacing w:before="360"/>
        <w:ind w:left="1066" w:hanging="357"/>
      </w:pPr>
      <w:bookmarkStart w:id="44" w:name="_Toc134515193"/>
      <w:bookmarkStart w:id="45" w:name="_Toc72782908"/>
      <w:bookmarkStart w:id="46" w:name="_Toc74068982"/>
      <w:bookmarkStart w:id="47" w:name="_Toc74069038"/>
      <w:bookmarkEnd w:id="41"/>
      <w:r>
        <w:t>Windfall Allowance</w:t>
      </w:r>
      <w:bookmarkEnd w:id="44"/>
    </w:p>
    <w:p w14:paraId="1385FF2F" w14:textId="77777777" w:rsidR="00CD2C27" w:rsidRDefault="00CD2C27" w:rsidP="00CD2C27">
      <w:pPr>
        <w:pStyle w:val="SPRU41Paragraphs"/>
      </w:pPr>
      <w:r>
        <w:t>Paragraph 40 confirms that a windfall allowance of 100 dwellings per annum is applied from year 4 of the forecast period only. At the time of preparing my Proof of Evidence the Appellant has not indicated that this is in dispute.</w:t>
      </w:r>
    </w:p>
    <w:p w14:paraId="169B78B5" w14:textId="77777777" w:rsidR="00CD2C27" w:rsidRDefault="00CD2C27" w:rsidP="00CD2C27">
      <w:pPr>
        <w:pStyle w:val="Heading2"/>
        <w:spacing w:before="360"/>
        <w:ind w:left="1066" w:hanging="357"/>
      </w:pPr>
      <w:bookmarkStart w:id="48" w:name="_Toc134515194"/>
      <w:r>
        <w:t>Lapse Rate</w:t>
      </w:r>
      <w:bookmarkEnd w:id="48"/>
    </w:p>
    <w:p w14:paraId="657267EE" w14:textId="77777777" w:rsidR="00CD2C27" w:rsidRDefault="00CD2C27" w:rsidP="00CD2C27">
      <w:pPr>
        <w:pStyle w:val="SPRU41Paragraphs"/>
      </w:pPr>
      <w:r>
        <w:t xml:space="preserve">The published HLSS does not include a ‘lapse rate’ or allowance for non-implementation. This is not a requirement of national policy, which dictates that the assessment should be informed by the conclusions on deliverability of specific sites. This is accepted by the Appellant in the first signed Topic </w:t>
      </w:r>
      <w:proofErr w:type="spellStart"/>
      <w:r>
        <w:t>SoCG</w:t>
      </w:r>
      <w:proofErr w:type="spellEnd"/>
      <w:r>
        <w:t>.</w:t>
      </w:r>
    </w:p>
    <w:p w14:paraId="710A0DCB" w14:textId="77777777" w:rsidR="00CD2C27" w:rsidRDefault="00CD2C27" w:rsidP="00CD2C27">
      <w:pPr>
        <w:pStyle w:val="aSPRUSubHeadings"/>
      </w:pPr>
      <w:bookmarkStart w:id="49" w:name="_Toc134515195"/>
      <w:r>
        <w:t>Matters Understood to be Not Agreed</w:t>
      </w:r>
      <w:bookmarkEnd w:id="49"/>
    </w:p>
    <w:p w14:paraId="29C01A03" w14:textId="77777777" w:rsidR="00CD2C27" w:rsidRDefault="00CD2C27" w:rsidP="00CD2C27">
      <w:pPr>
        <w:pStyle w:val="SPRU41Paragraphs"/>
      </w:pPr>
      <w:r>
        <w:t xml:space="preserve">While I reserve the right to provide further information it is my understanding that there are only two main elements in dispute between the parties with reference to the contents of the published HLSS. </w:t>
      </w:r>
    </w:p>
    <w:p w14:paraId="49B2A2E8" w14:textId="77777777" w:rsidR="00CD2C27" w:rsidRDefault="00CD2C27" w:rsidP="00CD2C27">
      <w:pPr>
        <w:pStyle w:val="Heading2"/>
        <w:numPr>
          <w:ilvl w:val="0"/>
          <w:numId w:val="48"/>
        </w:numPr>
        <w:spacing w:before="360"/>
      </w:pPr>
      <w:bookmarkStart w:id="50" w:name="_Toc134515196"/>
      <w:r>
        <w:lastRenderedPageBreak/>
        <w:t>The Requirement Against Which Supply Contributing Towards Part of Oxford’s Unmet Needs is Assessed</w:t>
      </w:r>
      <w:bookmarkEnd w:id="50"/>
    </w:p>
    <w:p w14:paraId="65207280" w14:textId="77777777" w:rsidR="00CD2C27" w:rsidRDefault="00CD2C27" w:rsidP="00CD2C27">
      <w:pPr>
        <w:pStyle w:val="SPRU41Paragraphs"/>
      </w:pPr>
      <w:r>
        <w:t>Paragraphs 20-24 of the HLSS and Paragraph 43 and the table that follows deal with the separate housing requirement in adopted strategic policies of the Local Plan Partial Review making provision towards part of Oxford’s unmet needs. The HLSS confirms that a separate assessment of supply is provided against the requirements of the Partial Review. The Appellant does not accept this aspect of the requirement against which supply is assessed. I deal with this in my Section xx.</w:t>
      </w:r>
    </w:p>
    <w:p w14:paraId="28D578A2" w14:textId="77777777" w:rsidR="00CD2C27" w:rsidRDefault="00CD2C27" w:rsidP="00CD2C27">
      <w:pPr>
        <w:pStyle w:val="Heading2"/>
        <w:numPr>
          <w:ilvl w:val="0"/>
          <w:numId w:val="48"/>
        </w:numPr>
        <w:spacing w:before="360"/>
      </w:pPr>
      <w:bookmarkStart w:id="51" w:name="_Toc134515197"/>
      <w:r>
        <w:t>Assessment of Deliverability and Supply from Specific Sites</w:t>
      </w:r>
      <w:bookmarkEnd w:id="51"/>
    </w:p>
    <w:p w14:paraId="2081BA6B" w14:textId="77777777" w:rsidR="00CD2C27" w:rsidRDefault="00CD2C27" w:rsidP="00CD2C27">
      <w:pPr>
        <w:pStyle w:val="SPRU41Paragraphs"/>
      </w:pPr>
      <w:r>
        <w:t>The published forecast for deliverable sites is contained within a Housing Delivery Monitor appended to the HLSS with commentary provided to summarise a range of information used to confirm judgements on deliverability (see Paragraphs 29 and 35).</w:t>
      </w:r>
    </w:p>
    <w:p w14:paraId="2BD94D00" w14:textId="77777777" w:rsidR="00CD2C27" w:rsidRDefault="00CD2C27" w:rsidP="00CD2C27">
      <w:pPr>
        <w:pStyle w:val="SPRU41Paragraphs"/>
      </w:pPr>
      <w:r>
        <w:t>A separate Housing Delivery Monitor is provided for sites identified to contribute towards part of Oxford’s unmet needs. The HLSS</w:t>
      </w:r>
      <w:r>
        <w:tab/>
        <w:t>includes the following units forecast supply for the separate requirement figures against which supply is assessed:</w:t>
      </w:r>
    </w:p>
    <w:p w14:paraId="4A6BC055" w14:textId="77777777" w:rsidR="00CD2C27" w:rsidRDefault="00CD2C27" w:rsidP="00CD2C27">
      <w:pPr>
        <w:pStyle w:val="SPRUBulletPoints"/>
      </w:pPr>
      <w:r>
        <w:t>Cherwell District (excluding sites contributing towards Oxford’s unmet needs): 4244 units 1 April 2022- 31 March 2027</w:t>
      </w:r>
    </w:p>
    <w:p w14:paraId="22BE53B9" w14:textId="77777777" w:rsidR="00CD2C27" w:rsidRDefault="00CD2C27" w:rsidP="00CD2C27">
      <w:pPr>
        <w:pStyle w:val="SPRUBulletPoints"/>
      </w:pPr>
      <w:r>
        <w:t>Local Plan (Part 1) Partial Review (sites contributing towards Oxford’s unmet needs): 80 units 1 April 2022- 31 March 2027</w:t>
      </w:r>
    </w:p>
    <w:p w14:paraId="7A9EA7AF" w14:textId="77777777" w:rsidR="00CD2C27" w:rsidRDefault="00CD2C27" w:rsidP="00CD2C27">
      <w:pPr>
        <w:pStyle w:val="SPRU41Paragraphs"/>
      </w:pPr>
      <w:r>
        <w:t>I address the Appellant’s position ahead of the exchange of Proof of Evidence in my Section xx.</w:t>
      </w:r>
    </w:p>
    <w:p w14:paraId="3393EFB8" w14:textId="3630B934" w:rsidR="00D801A5" w:rsidRDefault="00D801A5">
      <w:pPr>
        <w:rPr>
          <w:rFonts w:ascii="Arial" w:eastAsia="Times New Roman" w:hAnsi="Arial" w:cs="Times New Roman"/>
          <w:szCs w:val="24"/>
          <w:lang w:eastAsia="en-GB"/>
        </w:rPr>
      </w:pPr>
      <w:r>
        <w:br w:type="page"/>
      </w:r>
    </w:p>
    <w:p w14:paraId="4D602528" w14:textId="77777777" w:rsidR="00CD2C27" w:rsidRDefault="00CD2C27" w:rsidP="00CD2C27">
      <w:pPr>
        <w:pStyle w:val="aSPRUSubHeadings"/>
      </w:pPr>
      <w:bookmarkStart w:id="52" w:name="_Toc134515198"/>
      <w:r>
        <w:lastRenderedPageBreak/>
        <w:t>Published Assessment of Supply Versus Requirement – Local Housing Need for Cherwell District</w:t>
      </w:r>
      <w:bookmarkEnd w:id="52"/>
    </w:p>
    <w:p w14:paraId="7C7E5C06" w14:textId="77777777" w:rsidR="00CD2C27" w:rsidRDefault="00CD2C27" w:rsidP="00CD2C27">
      <w:pPr>
        <w:pStyle w:val="SPRU41Paragraphs"/>
      </w:pPr>
      <w:r>
        <w:t>Paragraph 42 of the HLSS and the table that follows detail the assessment of supply versus the requirement for Cherwell District excluding provision for need and supply addressed within the Partial Review.</w:t>
      </w:r>
    </w:p>
    <w:p w14:paraId="169D52FC" w14:textId="77777777" w:rsidR="00CD2C27" w:rsidRDefault="00CD2C27" w:rsidP="00CD2C27">
      <w:pPr>
        <w:pStyle w:val="SPRU41Paragraphs"/>
      </w:pPr>
      <w:r>
        <w:t>I have replicated these details in my Table xx below. For completeness I have illustrated the breakdown of forecast supply by location (Paragraphs 37-40 refer) and with a separate column showing the current calculation of Local Housing Need of 710 dwellings per annum.</w:t>
      </w:r>
    </w:p>
    <w:p w14:paraId="2C854A51" w14:textId="77777777" w:rsidR="00CD2C27" w:rsidRDefault="00CD2C27" w:rsidP="00CD2C27">
      <w:pPr>
        <w:pStyle w:val="SPRUTables"/>
        <w:ind w:left="1800" w:hanging="1080"/>
      </w:pPr>
      <w:r>
        <w:t>Supply versus Requirement (Cherwell District LHN)</w:t>
      </w:r>
    </w:p>
    <w:tbl>
      <w:tblPr>
        <w:tblW w:w="9634" w:type="dxa"/>
        <w:tblLook w:val="04A0" w:firstRow="1" w:lastRow="0" w:firstColumn="1" w:lastColumn="0" w:noHBand="0" w:noVBand="1"/>
      </w:tblPr>
      <w:tblGrid>
        <w:gridCol w:w="960"/>
        <w:gridCol w:w="1300"/>
        <w:gridCol w:w="3689"/>
        <w:gridCol w:w="1858"/>
        <w:gridCol w:w="1827"/>
      </w:tblGrid>
      <w:tr w:rsidR="00CD2C27" w:rsidRPr="00BC6A8F" w14:paraId="3A15F7F5" w14:textId="77777777" w:rsidTr="00097705">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0C4D1" w14:textId="77777777" w:rsidR="00CD2C27" w:rsidRPr="00BC6A8F" w:rsidRDefault="00CD2C27" w:rsidP="0009770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 </w:t>
            </w:r>
          </w:p>
        </w:tc>
        <w:tc>
          <w:tcPr>
            <w:tcW w:w="1300" w:type="dxa"/>
            <w:tcBorders>
              <w:top w:val="single" w:sz="4" w:space="0" w:color="auto"/>
              <w:left w:val="nil"/>
              <w:bottom w:val="single" w:sz="4" w:space="0" w:color="auto"/>
              <w:right w:val="single" w:sz="4" w:space="0" w:color="auto"/>
            </w:tcBorders>
            <w:shd w:val="clear" w:color="000000" w:fill="DDEBF7"/>
            <w:noWrap/>
            <w:vAlign w:val="bottom"/>
            <w:hideMark/>
          </w:tcPr>
          <w:p w14:paraId="370B5307" w14:textId="77777777" w:rsidR="00CD2C27" w:rsidRPr="00BC6A8F" w:rsidRDefault="00CD2C27" w:rsidP="0009770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 </w:t>
            </w:r>
          </w:p>
        </w:tc>
        <w:tc>
          <w:tcPr>
            <w:tcW w:w="3689" w:type="dxa"/>
            <w:tcBorders>
              <w:top w:val="single" w:sz="4" w:space="0" w:color="auto"/>
              <w:left w:val="nil"/>
              <w:bottom w:val="single" w:sz="4" w:space="0" w:color="auto"/>
              <w:right w:val="single" w:sz="4" w:space="0" w:color="auto"/>
            </w:tcBorders>
            <w:shd w:val="clear" w:color="000000" w:fill="DDEBF7"/>
            <w:noWrap/>
            <w:vAlign w:val="bottom"/>
            <w:hideMark/>
          </w:tcPr>
          <w:p w14:paraId="487D09DC" w14:textId="77777777" w:rsidR="00CD2C27" w:rsidRPr="00BC6A8F" w:rsidRDefault="00CD2C27" w:rsidP="0009770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 </w:t>
            </w:r>
          </w:p>
        </w:tc>
        <w:tc>
          <w:tcPr>
            <w:tcW w:w="3685" w:type="dxa"/>
            <w:gridSpan w:val="2"/>
            <w:tcBorders>
              <w:top w:val="single" w:sz="4" w:space="0" w:color="auto"/>
              <w:left w:val="nil"/>
              <w:bottom w:val="single" w:sz="4" w:space="0" w:color="auto"/>
              <w:right w:val="single" w:sz="4" w:space="0" w:color="auto"/>
            </w:tcBorders>
            <w:shd w:val="clear" w:color="000000" w:fill="DDEBF7"/>
            <w:vAlign w:val="center"/>
            <w:hideMark/>
          </w:tcPr>
          <w:p w14:paraId="7FF02059" w14:textId="77777777" w:rsidR="00CD2C27" w:rsidRPr="00BC6A8F" w:rsidRDefault="00CD2C27" w:rsidP="0009770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Five Year Period 2022/23-26/27 (current period)</w:t>
            </w:r>
          </w:p>
        </w:tc>
      </w:tr>
      <w:tr w:rsidR="00CD2C27" w:rsidRPr="00BC6A8F" w14:paraId="19AA3EAC" w14:textId="77777777" w:rsidTr="00097705">
        <w:trPr>
          <w:trHeight w:val="4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D65522" w14:textId="77777777" w:rsidR="00CD2C27" w:rsidRPr="00BC6A8F" w:rsidRDefault="00CD2C27" w:rsidP="0009770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 </w:t>
            </w:r>
          </w:p>
        </w:tc>
        <w:tc>
          <w:tcPr>
            <w:tcW w:w="1300" w:type="dxa"/>
            <w:tcBorders>
              <w:top w:val="nil"/>
              <w:left w:val="nil"/>
              <w:bottom w:val="single" w:sz="4" w:space="0" w:color="auto"/>
              <w:right w:val="single" w:sz="4" w:space="0" w:color="auto"/>
            </w:tcBorders>
            <w:shd w:val="clear" w:color="000000" w:fill="DDEBF7"/>
            <w:vAlign w:val="center"/>
            <w:hideMark/>
          </w:tcPr>
          <w:p w14:paraId="748CDF1A" w14:textId="77777777" w:rsidR="00CD2C27" w:rsidRPr="00BC6A8F" w:rsidRDefault="00CD2C27" w:rsidP="0009770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Step</w:t>
            </w:r>
          </w:p>
        </w:tc>
        <w:tc>
          <w:tcPr>
            <w:tcW w:w="3689" w:type="dxa"/>
            <w:tcBorders>
              <w:top w:val="nil"/>
              <w:left w:val="nil"/>
              <w:bottom w:val="single" w:sz="4" w:space="0" w:color="auto"/>
              <w:right w:val="single" w:sz="4" w:space="0" w:color="auto"/>
            </w:tcBorders>
            <w:shd w:val="clear" w:color="000000" w:fill="DDEBF7"/>
            <w:vAlign w:val="center"/>
            <w:hideMark/>
          </w:tcPr>
          <w:p w14:paraId="5B57DC0F" w14:textId="77777777" w:rsidR="00CD2C27" w:rsidRPr="00BC6A8F" w:rsidRDefault="00CD2C27" w:rsidP="0009770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Description</w:t>
            </w:r>
          </w:p>
        </w:tc>
        <w:tc>
          <w:tcPr>
            <w:tcW w:w="1858" w:type="dxa"/>
            <w:tcBorders>
              <w:top w:val="nil"/>
              <w:left w:val="nil"/>
              <w:bottom w:val="single" w:sz="4" w:space="0" w:color="auto"/>
              <w:right w:val="single" w:sz="4" w:space="0" w:color="auto"/>
            </w:tcBorders>
            <w:shd w:val="clear" w:color="000000" w:fill="DDEBF7"/>
            <w:vAlign w:val="center"/>
            <w:hideMark/>
          </w:tcPr>
          <w:p w14:paraId="54A20FC7" w14:textId="77777777" w:rsidR="00CD2C27" w:rsidRPr="00BC6A8F" w:rsidRDefault="00CD2C27" w:rsidP="0009770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 xml:space="preserve">Agreed </w:t>
            </w:r>
            <w:r>
              <w:rPr>
                <w:rFonts w:ascii="Arial" w:eastAsia="Times New Roman" w:hAnsi="Arial" w:cs="Arial"/>
                <w:b/>
                <w:bCs/>
                <w:color w:val="000000"/>
                <w:sz w:val="20"/>
                <w:szCs w:val="20"/>
                <w:lang w:eastAsia="en-GB"/>
              </w:rPr>
              <w:t>LHN</w:t>
            </w:r>
            <w:r w:rsidRPr="00BC6A8F">
              <w:rPr>
                <w:rFonts w:ascii="Arial" w:eastAsia="Times New Roman" w:hAnsi="Arial" w:cs="Arial"/>
                <w:b/>
                <w:bCs/>
                <w:color w:val="000000"/>
                <w:sz w:val="20"/>
                <w:szCs w:val="20"/>
                <w:lang w:eastAsia="en-GB"/>
              </w:rPr>
              <w:t xml:space="preserve"> 2023</w:t>
            </w:r>
          </w:p>
        </w:tc>
        <w:tc>
          <w:tcPr>
            <w:tcW w:w="1827" w:type="dxa"/>
            <w:tcBorders>
              <w:top w:val="nil"/>
              <w:left w:val="nil"/>
              <w:bottom w:val="single" w:sz="4" w:space="0" w:color="auto"/>
              <w:right w:val="single" w:sz="4" w:space="0" w:color="auto"/>
            </w:tcBorders>
            <w:shd w:val="clear" w:color="000000" w:fill="DDEBF7"/>
            <w:vAlign w:val="center"/>
            <w:hideMark/>
          </w:tcPr>
          <w:p w14:paraId="68442772" w14:textId="77777777" w:rsidR="00CD2C27" w:rsidRPr="00BC6A8F" w:rsidRDefault="00CD2C27" w:rsidP="00097705">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Published HLSS (Feb 2023)</w:t>
            </w:r>
          </w:p>
        </w:tc>
      </w:tr>
      <w:tr w:rsidR="00D801A5" w:rsidRPr="00BC6A8F" w14:paraId="7BEE33A8" w14:textId="77777777" w:rsidTr="00097705">
        <w:trPr>
          <w:trHeight w:val="522"/>
        </w:trPr>
        <w:tc>
          <w:tcPr>
            <w:tcW w:w="96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3333026F" w14:textId="52789EA1"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Five-Year Requirement</w:t>
            </w:r>
          </w:p>
        </w:tc>
        <w:tc>
          <w:tcPr>
            <w:tcW w:w="1300" w:type="dxa"/>
            <w:tcBorders>
              <w:top w:val="nil"/>
              <w:left w:val="nil"/>
              <w:bottom w:val="single" w:sz="4" w:space="0" w:color="auto"/>
              <w:right w:val="single" w:sz="4" w:space="0" w:color="auto"/>
            </w:tcBorders>
            <w:shd w:val="clear" w:color="000000" w:fill="DDEBF7"/>
            <w:vAlign w:val="center"/>
            <w:hideMark/>
          </w:tcPr>
          <w:p w14:paraId="46F12DC5"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a</w:t>
            </w:r>
          </w:p>
        </w:tc>
        <w:tc>
          <w:tcPr>
            <w:tcW w:w="3689" w:type="dxa"/>
            <w:tcBorders>
              <w:top w:val="nil"/>
              <w:left w:val="nil"/>
              <w:bottom w:val="single" w:sz="4" w:space="0" w:color="auto"/>
              <w:right w:val="single" w:sz="4" w:space="0" w:color="auto"/>
            </w:tcBorders>
            <w:shd w:val="clear" w:color="auto" w:fill="auto"/>
            <w:vAlign w:val="center"/>
            <w:hideMark/>
          </w:tcPr>
          <w:p w14:paraId="2D75C96A" w14:textId="77777777" w:rsidR="00D801A5" w:rsidRPr="00BC6A8F" w:rsidRDefault="00D801A5" w:rsidP="00D801A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Standard Method Requirement</w:t>
            </w:r>
            <w:r w:rsidRPr="00BC6A8F">
              <w:rPr>
                <w:rFonts w:ascii="Arial" w:eastAsia="Times New Roman" w:hAnsi="Arial" w:cs="Arial"/>
                <w:color w:val="000000"/>
                <w:sz w:val="20"/>
                <w:szCs w:val="20"/>
                <w:lang w:eastAsia="en-GB"/>
              </w:rPr>
              <w:br/>
              <w:t>(2022/23-2026/27)</w:t>
            </w:r>
          </w:p>
        </w:tc>
        <w:tc>
          <w:tcPr>
            <w:tcW w:w="1858" w:type="dxa"/>
            <w:tcBorders>
              <w:top w:val="nil"/>
              <w:left w:val="nil"/>
              <w:bottom w:val="single" w:sz="4" w:space="0" w:color="auto"/>
              <w:right w:val="single" w:sz="4" w:space="0" w:color="auto"/>
            </w:tcBorders>
            <w:shd w:val="clear" w:color="auto" w:fill="auto"/>
            <w:vAlign w:val="center"/>
            <w:hideMark/>
          </w:tcPr>
          <w:p w14:paraId="1ABCC219"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3551</w:t>
            </w:r>
          </w:p>
        </w:tc>
        <w:tc>
          <w:tcPr>
            <w:tcW w:w="1827" w:type="dxa"/>
            <w:tcBorders>
              <w:top w:val="nil"/>
              <w:left w:val="nil"/>
              <w:bottom w:val="single" w:sz="4" w:space="0" w:color="auto"/>
              <w:right w:val="single" w:sz="4" w:space="0" w:color="auto"/>
            </w:tcBorders>
            <w:shd w:val="clear" w:color="auto" w:fill="auto"/>
            <w:vAlign w:val="center"/>
            <w:hideMark/>
          </w:tcPr>
          <w:p w14:paraId="566F03B6"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3710</w:t>
            </w:r>
          </w:p>
        </w:tc>
      </w:tr>
      <w:tr w:rsidR="00D801A5" w:rsidRPr="00BC6A8F" w14:paraId="05036E52" w14:textId="77777777" w:rsidTr="00097705">
        <w:trPr>
          <w:trHeight w:val="274"/>
        </w:trPr>
        <w:tc>
          <w:tcPr>
            <w:tcW w:w="960" w:type="dxa"/>
            <w:vMerge/>
            <w:tcBorders>
              <w:top w:val="nil"/>
              <w:left w:val="single" w:sz="4" w:space="0" w:color="auto"/>
              <w:bottom w:val="single" w:sz="4" w:space="0" w:color="auto"/>
              <w:right w:val="single" w:sz="4" w:space="0" w:color="auto"/>
            </w:tcBorders>
            <w:vAlign w:val="center"/>
            <w:hideMark/>
          </w:tcPr>
          <w:p w14:paraId="7C40AC5D" w14:textId="77777777" w:rsidR="00D801A5" w:rsidRPr="00BC6A8F" w:rsidRDefault="00D801A5" w:rsidP="00D801A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58216132"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b</w:t>
            </w:r>
          </w:p>
        </w:tc>
        <w:tc>
          <w:tcPr>
            <w:tcW w:w="3689" w:type="dxa"/>
            <w:tcBorders>
              <w:top w:val="nil"/>
              <w:left w:val="nil"/>
              <w:bottom w:val="single" w:sz="4" w:space="0" w:color="auto"/>
              <w:right w:val="single" w:sz="4" w:space="0" w:color="auto"/>
            </w:tcBorders>
            <w:shd w:val="clear" w:color="auto" w:fill="auto"/>
            <w:vAlign w:val="center"/>
            <w:hideMark/>
          </w:tcPr>
          <w:p w14:paraId="139AAD48" w14:textId="77777777" w:rsidR="00D801A5" w:rsidRPr="00BC6A8F" w:rsidRDefault="00D801A5" w:rsidP="00D801A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Annual Requirement (a / 5)</w:t>
            </w:r>
          </w:p>
        </w:tc>
        <w:tc>
          <w:tcPr>
            <w:tcW w:w="1858" w:type="dxa"/>
            <w:tcBorders>
              <w:top w:val="nil"/>
              <w:left w:val="nil"/>
              <w:bottom w:val="single" w:sz="4" w:space="0" w:color="auto"/>
              <w:right w:val="single" w:sz="4" w:space="0" w:color="auto"/>
            </w:tcBorders>
            <w:shd w:val="clear" w:color="auto" w:fill="auto"/>
            <w:vAlign w:val="center"/>
            <w:hideMark/>
          </w:tcPr>
          <w:p w14:paraId="2FF66F23"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710</w:t>
            </w:r>
          </w:p>
        </w:tc>
        <w:tc>
          <w:tcPr>
            <w:tcW w:w="1827" w:type="dxa"/>
            <w:tcBorders>
              <w:top w:val="nil"/>
              <w:left w:val="nil"/>
              <w:bottom w:val="single" w:sz="4" w:space="0" w:color="auto"/>
              <w:right w:val="single" w:sz="4" w:space="0" w:color="auto"/>
            </w:tcBorders>
            <w:shd w:val="clear" w:color="auto" w:fill="auto"/>
            <w:vAlign w:val="center"/>
            <w:hideMark/>
          </w:tcPr>
          <w:p w14:paraId="1C124C3D"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742</w:t>
            </w:r>
          </w:p>
        </w:tc>
      </w:tr>
      <w:tr w:rsidR="00D801A5" w:rsidRPr="00BC6A8F" w14:paraId="52A4189A" w14:textId="77777777" w:rsidTr="00097705">
        <w:trPr>
          <w:trHeight w:val="419"/>
        </w:trPr>
        <w:tc>
          <w:tcPr>
            <w:tcW w:w="960" w:type="dxa"/>
            <w:vMerge/>
            <w:tcBorders>
              <w:top w:val="nil"/>
              <w:left w:val="single" w:sz="4" w:space="0" w:color="auto"/>
              <w:bottom w:val="single" w:sz="4" w:space="0" w:color="auto"/>
              <w:right w:val="single" w:sz="4" w:space="0" w:color="auto"/>
            </w:tcBorders>
            <w:vAlign w:val="center"/>
            <w:hideMark/>
          </w:tcPr>
          <w:p w14:paraId="6FABEF11" w14:textId="77777777" w:rsidR="00D801A5" w:rsidRPr="00BC6A8F" w:rsidRDefault="00D801A5" w:rsidP="00D801A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31FF509E"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c</w:t>
            </w:r>
          </w:p>
        </w:tc>
        <w:tc>
          <w:tcPr>
            <w:tcW w:w="3689" w:type="dxa"/>
            <w:tcBorders>
              <w:top w:val="nil"/>
              <w:left w:val="nil"/>
              <w:bottom w:val="single" w:sz="4" w:space="0" w:color="auto"/>
              <w:right w:val="single" w:sz="4" w:space="0" w:color="auto"/>
            </w:tcBorders>
            <w:shd w:val="clear" w:color="auto" w:fill="auto"/>
            <w:vAlign w:val="center"/>
            <w:hideMark/>
          </w:tcPr>
          <w:p w14:paraId="2AC4978A" w14:textId="77777777" w:rsidR="00D801A5" w:rsidRPr="00BC6A8F" w:rsidRDefault="00D801A5" w:rsidP="00D801A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Requirement to date (b x years)</w:t>
            </w:r>
          </w:p>
        </w:tc>
        <w:tc>
          <w:tcPr>
            <w:tcW w:w="1858" w:type="dxa"/>
            <w:tcBorders>
              <w:top w:val="nil"/>
              <w:left w:val="nil"/>
              <w:bottom w:val="single" w:sz="4" w:space="0" w:color="auto"/>
              <w:right w:val="single" w:sz="4" w:space="0" w:color="auto"/>
            </w:tcBorders>
            <w:shd w:val="clear" w:color="auto" w:fill="auto"/>
            <w:vAlign w:val="center"/>
            <w:hideMark/>
          </w:tcPr>
          <w:p w14:paraId="52F65050"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3551</w:t>
            </w:r>
          </w:p>
        </w:tc>
        <w:tc>
          <w:tcPr>
            <w:tcW w:w="1827" w:type="dxa"/>
            <w:tcBorders>
              <w:top w:val="nil"/>
              <w:left w:val="nil"/>
              <w:bottom w:val="single" w:sz="4" w:space="0" w:color="auto"/>
              <w:right w:val="single" w:sz="4" w:space="0" w:color="auto"/>
            </w:tcBorders>
            <w:shd w:val="clear" w:color="auto" w:fill="auto"/>
            <w:vAlign w:val="center"/>
            <w:hideMark/>
          </w:tcPr>
          <w:p w14:paraId="4E73FC55"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3710</w:t>
            </w:r>
          </w:p>
        </w:tc>
      </w:tr>
      <w:tr w:rsidR="00D801A5" w:rsidRPr="00BC6A8F" w14:paraId="624F37C4" w14:textId="77777777" w:rsidTr="00097705">
        <w:trPr>
          <w:trHeight w:val="540"/>
        </w:trPr>
        <w:tc>
          <w:tcPr>
            <w:tcW w:w="960" w:type="dxa"/>
            <w:vMerge/>
            <w:tcBorders>
              <w:top w:val="nil"/>
              <w:left w:val="single" w:sz="4" w:space="0" w:color="auto"/>
              <w:bottom w:val="single" w:sz="4" w:space="0" w:color="auto"/>
              <w:right w:val="single" w:sz="4" w:space="0" w:color="auto"/>
            </w:tcBorders>
            <w:vAlign w:val="center"/>
            <w:hideMark/>
          </w:tcPr>
          <w:p w14:paraId="7C50AFF9" w14:textId="77777777" w:rsidR="00D801A5" w:rsidRPr="00BC6A8F" w:rsidRDefault="00D801A5" w:rsidP="00D801A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3E7BD01A"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d</w:t>
            </w:r>
          </w:p>
        </w:tc>
        <w:tc>
          <w:tcPr>
            <w:tcW w:w="3689" w:type="dxa"/>
            <w:tcBorders>
              <w:top w:val="nil"/>
              <w:left w:val="nil"/>
              <w:bottom w:val="single" w:sz="4" w:space="0" w:color="auto"/>
              <w:right w:val="single" w:sz="4" w:space="0" w:color="auto"/>
            </w:tcBorders>
            <w:shd w:val="clear" w:color="auto" w:fill="auto"/>
            <w:vAlign w:val="center"/>
            <w:hideMark/>
          </w:tcPr>
          <w:p w14:paraId="2EEB5DF9" w14:textId="77777777" w:rsidR="00D801A5" w:rsidRPr="00BC6A8F" w:rsidRDefault="00D801A5" w:rsidP="00D801A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5 Year Requirement plus 5% buffer (c + 5%)</w:t>
            </w:r>
          </w:p>
        </w:tc>
        <w:tc>
          <w:tcPr>
            <w:tcW w:w="1858" w:type="dxa"/>
            <w:tcBorders>
              <w:top w:val="nil"/>
              <w:left w:val="nil"/>
              <w:bottom w:val="single" w:sz="4" w:space="0" w:color="auto"/>
              <w:right w:val="single" w:sz="4" w:space="0" w:color="auto"/>
            </w:tcBorders>
            <w:shd w:val="clear" w:color="auto" w:fill="auto"/>
            <w:vAlign w:val="center"/>
            <w:hideMark/>
          </w:tcPr>
          <w:p w14:paraId="1680DBD9"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3729</w:t>
            </w:r>
          </w:p>
        </w:tc>
        <w:tc>
          <w:tcPr>
            <w:tcW w:w="1827" w:type="dxa"/>
            <w:tcBorders>
              <w:top w:val="nil"/>
              <w:left w:val="nil"/>
              <w:bottom w:val="single" w:sz="4" w:space="0" w:color="auto"/>
              <w:right w:val="single" w:sz="4" w:space="0" w:color="auto"/>
            </w:tcBorders>
            <w:shd w:val="clear" w:color="auto" w:fill="auto"/>
            <w:vAlign w:val="center"/>
            <w:hideMark/>
          </w:tcPr>
          <w:p w14:paraId="687EC4C2"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3896</w:t>
            </w:r>
          </w:p>
        </w:tc>
      </w:tr>
      <w:tr w:rsidR="00D801A5" w:rsidRPr="00BC6A8F" w14:paraId="50895A64" w14:textId="77777777" w:rsidTr="00097705">
        <w:trPr>
          <w:trHeight w:val="804"/>
        </w:trPr>
        <w:tc>
          <w:tcPr>
            <w:tcW w:w="960" w:type="dxa"/>
            <w:vMerge/>
            <w:tcBorders>
              <w:top w:val="nil"/>
              <w:left w:val="single" w:sz="4" w:space="0" w:color="auto"/>
              <w:bottom w:val="single" w:sz="4" w:space="0" w:color="auto"/>
              <w:right w:val="single" w:sz="4" w:space="0" w:color="auto"/>
            </w:tcBorders>
            <w:vAlign w:val="center"/>
            <w:hideMark/>
          </w:tcPr>
          <w:p w14:paraId="141B4C9F" w14:textId="77777777" w:rsidR="00D801A5" w:rsidRPr="00BC6A8F" w:rsidRDefault="00D801A5" w:rsidP="00D801A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7657313F"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e</w:t>
            </w:r>
          </w:p>
        </w:tc>
        <w:tc>
          <w:tcPr>
            <w:tcW w:w="3689" w:type="dxa"/>
            <w:tcBorders>
              <w:top w:val="nil"/>
              <w:left w:val="nil"/>
              <w:bottom w:val="single" w:sz="4" w:space="0" w:color="auto"/>
              <w:right w:val="single" w:sz="4" w:space="0" w:color="auto"/>
            </w:tcBorders>
            <w:shd w:val="clear" w:color="auto" w:fill="auto"/>
            <w:vAlign w:val="center"/>
            <w:hideMark/>
          </w:tcPr>
          <w:p w14:paraId="0A0934A7" w14:textId="77777777" w:rsidR="00D801A5" w:rsidRPr="00BC6A8F" w:rsidRDefault="00D801A5" w:rsidP="00D801A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Revised Annual Requirement over next 5 years (d / 5)</w:t>
            </w:r>
          </w:p>
        </w:tc>
        <w:tc>
          <w:tcPr>
            <w:tcW w:w="1858" w:type="dxa"/>
            <w:tcBorders>
              <w:top w:val="nil"/>
              <w:left w:val="nil"/>
              <w:bottom w:val="single" w:sz="4" w:space="0" w:color="auto"/>
              <w:right w:val="single" w:sz="4" w:space="0" w:color="auto"/>
            </w:tcBorders>
            <w:shd w:val="clear" w:color="auto" w:fill="auto"/>
            <w:vAlign w:val="center"/>
            <w:hideMark/>
          </w:tcPr>
          <w:p w14:paraId="1E359A66"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746</w:t>
            </w:r>
          </w:p>
        </w:tc>
        <w:tc>
          <w:tcPr>
            <w:tcW w:w="1827" w:type="dxa"/>
            <w:tcBorders>
              <w:top w:val="nil"/>
              <w:left w:val="nil"/>
              <w:bottom w:val="single" w:sz="4" w:space="0" w:color="auto"/>
              <w:right w:val="single" w:sz="4" w:space="0" w:color="auto"/>
            </w:tcBorders>
            <w:shd w:val="clear" w:color="auto" w:fill="auto"/>
            <w:vAlign w:val="center"/>
            <w:hideMark/>
          </w:tcPr>
          <w:p w14:paraId="09710995"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779</w:t>
            </w:r>
          </w:p>
        </w:tc>
      </w:tr>
      <w:tr w:rsidR="00D801A5" w:rsidRPr="00BC6A8F" w14:paraId="5EED6FAC" w14:textId="77777777" w:rsidTr="00097705">
        <w:trPr>
          <w:trHeight w:val="3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405D902F" w14:textId="25659806"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Components of Supply</w:t>
            </w:r>
          </w:p>
        </w:tc>
        <w:tc>
          <w:tcPr>
            <w:tcW w:w="1300" w:type="dxa"/>
            <w:tcBorders>
              <w:top w:val="nil"/>
              <w:left w:val="nil"/>
              <w:bottom w:val="single" w:sz="4" w:space="0" w:color="auto"/>
              <w:right w:val="single" w:sz="4" w:space="0" w:color="auto"/>
            </w:tcBorders>
            <w:shd w:val="clear" w:color="000000" w:fill="DDEBF7"/>
            <w:vAlign w:val="center"/>
            <w:hideMark/>
          </w:tcPr>
          <w:p w14:paraId="60713D74"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w:t>
            </w:r>
            <w:proofErr w:type="spellStart"/>
            <w:r w:rsidRPr="00BC6A8F">
              <w:rPr>
                <w:rFonts w:ascii="Arial" w:eastAsia="Times New Roman" w:hAnsi="Arial" w:cs="Arial"/>
                <w:b/>
                <w:bCs/>
                <w:color w:val="000000"/>
                <w:sz w:val="20"/>
                <w:szCs w:val="20"/>
                <w:lang w:eastAsia="en-GB"/>
              </w:rPr>
              <w:t>i</w:t>
            </w:r>
            <w:proofErr w:type="spellEnd"/>
            <w:r w:rsidRPr="00BC6A8F">
              <w:rPr>
                <w:rFonts w:ascii="Arial" w:eastAsia="Times New Roman" w:hAnsi="Arial" w:cs="Arial"/>
                <w:b/>
                <w:bCs/>
                <w:color w:val="000000"/>
                <w:sz w:val="20"/>
                <w:szCs w:val="20"/>
                <w:lang w:eastAsia="en-GB"/>
              </w:rPr>
              <w:t>)</w:t>
            </w:r>
          </w:p>
        </w:tc>
        <w:tc>
          <w:tcPr>
            <w:tcW w:w="3689" w:type="dxa"/>
            <w:tcBorders>
              <w:top w:val="nil"/>
              <w:left w:val="nil"/>
              <w:bottom w:val="single" w:sz="4" w:space="0" w:color="auto"/>
              <w:right w:val="single" w:sz="4" w:space="0" w:color="auto"/>
            </w:tcBorders>
            <w:shd w:val="clear" w:color="auto" w:fill="auto"/>
            <w:vAlign w:val="center"/>
            <w:hideMark/>
          </w:tcPr>
          <w:p w14:paraId="734F77EF" w14:textId="77777777" w:rsidR="00D801A5" w:rsidRPr="00BC6A8F" w:rsidRDefault="00D801A5" w:rsidP="00D801A5">
            <w:pPr>
              <w:spacing w:after="0" w:line="240" w:lineRule="auto"/>
              <w:rPr>
                <w:rFonts w:ascii="Arial" w:eastAsia="Times New Roman" w:hAnsi="Arial" w:cs="Arial"/>
                <w:i/>
                <w:iCs/>
                <w:color w:val="000000"/>
                <w:sz w:val="20"/>
                <w:szCs w:val="20"/>
                <w:lang w:eastAsia="en-GB"/>
              </w:rPr>
            </w:pPr>
            <w:r w:rsidRPr="00BC6A8F">
              <w:rPr>
                <w:rFonts w:ascii="Arial" w:eastAsia="Times New Roman" w:hAnsi="Arial" w:cs="Arial"/>
                <w:i/>
                <w:iCs/>
                <w:color w:val="000000"/>
                <w:sz w:val="20"/>
                <w:szCs w:val="20"/>
                <w:lang w:eastAsia="en-GB"/>
              </w:rPr>
              <w:t>Banbury Supply</w:t>
            </w:r>
          </w:p>
        </w:tc>
        <w:tc>
          <w:tcPr>
            <w:tcW w:w="1858" w:type="dxa"/>
            <w:tcBorders>
              <w:top w:val="nil"/>
              <w:left w:val="nil"/>
              <w:bottom w:val="single" w:sz="4" w:space="0" w:color="auto"/>
              <w:right w:val="single" w:sz="4" w:space="0" w:color="auto"/>
            </w:tcBorders>
            <w:shd w:val="clear" w:color="auto" w:fill="auto"/>
            <w:vAlign w:val="center"/>
            <w:hideMark/>
          </w:tcPr>
          <w:p w14:paraId="4AB90223"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1553</w:t>
            </w:r>
          </w:p>
        </w:tc>
        <w:tc>
          <w:tcPr>
            <w:tcW w:w="1827" w:type="dxa"/>
            <w:tcBorders>
              <w:top w:val="nil"/>
              <w:left w:val="nil"/>
              <w:bottom w:val="single" w:sz="4" w:space="0" w:color="auto"/>
              <w:right w:val="single" w:sz="4" w:space="0" w:color="auto"/>
            </w:tcBorders>
            <w:shd w:val="clear" w:color="auto" w:fill="auto"/>
            <w:vAlign w:val="center"/>
            <w:hideMark/>
          </w:tcPr>
          <w:p w14:paraId="3693CB5D"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1553</w:t>
            </w:r>
          </w:p>
        </w:tc>
      </w:tr>
      <w:tr w:rsidR="00D801A5" w:rsidRPr="00BC6A8F" w14:paraId="51296C83" w14:textId="77777777" w:rsidTr="00097705">
        <w:trPr>
          <w:trHeight w:val="300"/>
        </w:trPr>
        <w:tc>
          <w:tcPr>
            <w:tcW w:w="960" w:type="dxa"/>
            <w:vMerge/>
            <w:tcBorders>
              <w:top w:val="nil"/>
              <w:left w:val="single" w:sz="4" w:space="0" w:color="auto"/>
              <w:bottom w:val="single" w:sz="4" w:space="0" w:color="auto"/>
              <w:right w:val="single" w:sz="4" w:space="0" w:color="auto"/>
            </w:tcBorders>
            <w:vAlign w:val="center"/>
            <w:hideMark/>
          </w:tcPr>
          <w:p w14:paraId="55E1FEDD" w14:textId="77777777" w:rsidR="00D801A5" w:rsidRPr="00BC6A8F" w:rsidRDefault="00D801A5" w:rsidP="00D801A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59FB34E8"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(ii)</w:t>
            </w:r>
          </w:p>
        </w:tc>
        <w:tc>
          <w:tcPr>
            <w:tcW w:w="3689" w:type="dxa"/>
            <w:tcBorders>
              <w:top w:val="nil"/>
              <w:left w:val="nil"/>
              <w:bottom w:val="single" w:sz="4" w:space="0" w:color="auto"/>
              <w:right w:val="single" w:sz="4" w:space="0" w:color="auto"/>
            </w:tcBorders>
            <w:shd w:val="clear" w:color="auto" w:fill="auto"/>
            <w:vAlign w:val="center"/>
            <w:hideMark/>
          </w:tcPr>
          <w:p w14:paraId="15299335" w14:textId="77777777" w:rsidR="00D801A5" w:rsidRPr="00BC6A8F" w:rsidRDefault="00D801A5" w:rsidP="00D801A5">
            <w:pPr>
              <w:spacing w:after="0" w:line="240" w:lineRule="auto"/>
              <w:rPr>
                <w:rFonts w:ascii="Arial" w:eastAsia="Times New Roman" w:hAnsi="Arial" w:cs="Arial"/>
                <w:i/>
                <w:iCs/>
                <w:color w:val="000000"/>
                <w:sz w:val="20"/>
                <w:szCs w:val="20"/>
                <w:lang w:eastAsia="en-GB"/>
              </w:rPr>
            </w:pPr>
            <w:r w:rsidRPr="00BC6A8F">
              <w:rPr>
                <w:rFonts w:ascii="Arial" w:eastAsia="Times New Roman" w:hAnsi="Arial" w:cs="Arial"/>
                <w:i/>
                <w:iCs/>
                <w:color w:val="000000"/>
                <w:sz w:val="20"/>
                <w:szCs w:val="20"/>
                <w:lang w:eastAsia="en-GB"/>
              </w:rPr>
              <w:t>Bicester Supply</w:t>
            </w:r>
          </w:p>
        </w:tc>
        <w:tc>
          <w:tcPr>
            <w:tcW w:w="1858" w:type="dxa"/>
            <w:tcBorders>
              <w:top w:val="nil"/>
              <w:left w:val="nil"/>
              <w:bottom w:val="single" w:sz="4" w:space="0" w:color="auto"/>
              <w:right w:val="single" w:sz="4" w:space="0" w:color="auto"/>
            </w:tcBorders>
            <w:shd w:val="clear" w:color="auto" w:fill="auto"/>
            <w:vAlign w:val="center"/>
            <w:hideMark/>
          </w:tcPr>
          <w:p w14:paraId="77011372"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1312</w:t>
            </w:r>
          </w:p>
        </w:tc>
        <w:tc>
          <w:tcPr>
            <w:tcW w:w="1827" w:type="dxa"/>
            <w:tcBorders>
              <w:top w:val="nil"/>
              <w:left w:val="nil"/>
              <w:bottom w:val="single" w:sz="4" w:space="0" w:color="auto"/>
              <w:right w:val="single" w:sz="4" w:space="0" w:color="auto"/>
            </w:tcBorders>
            <w:shd w:val="clear" w:color="auto" w:fill="auto"/>
            <w:vAlign w:val="center"/>
            <w:hideMark/>
          </w:tcPr>
          <w:p w14:paraId="7F53E948"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1312</w:t>
            </w:r>
          </w:p>
        </w:tc>
      </w:tr>
      <w:tr w:rsidR="00D801A5" w:rsidRPr="00BC6A8F" w14:paraId="71776544" w14:textId="77777777" w:rsidTr="00097705">
        <w:trPr>
          <w:trHeight w:val="300"/>
        </w:trPr>
        <w:tc>
          <w:tcPr>
            <w:tcW w:w="960" w:type="dxa"/>
            <w:vMerge/>
            <w:tcBorders>
              <w:top w:val="nil"/>
              <w:left w:val="single" w:sz="4" w:space="0" w:color="auto"/>
              <w:bottom w:val="single" w:sz="4" w:space="0" w:color="auto"/>
              <w:right w:val="single" w:sz="4" w:space="0" w:color="auto"/>
            </w:tcBorders>
            <w:vAlign w:val="center"/>
            <w:hideMark/>
          </w:tcPr>
          <w:p w14:paraId="3D34B315" w14:textId="77777777" w:rsidR="00D801A5" w:rsidRPr="00BC6A8F" w:rsidRDefault="00D801A5" w:rsidP="00D801A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29C71023"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(iii)</w:t>
            </w:r>
          </w:p>
        </w:tc>
        <w:tc>
          <w:tcPr>
            <w:tcW w:w="3689" w:type="dxa"/>
            <w:tcBorders>
              <w:top w:val="nil"/>
              <w:left w:val="nil"/>
              <w:bottom w:val="single" w:sz="4" w:space="0" w:color="auto"/>
              <w:right w:val="single" w:sz="4" w:space="0" w:color="auto"/>
            </w:tcBorders>
            <w:shd w:val="clear" w:color="auto" w:fill="auto"/>
            <w:vAlign w:val="center"/>
            <w:hideMark/>
          </w:tcPr>
          <w:p w14:paraId="54C2CA95" w14:textId="77777777" w:rsidR="00D801A5" w:rsidRPr="00BC6A8F" w:rsidRDefault="00D801A5" w:rsidP="00D801A5">
            <w:pPr>
              <w:spacing w:after="0" w:line="240" w:lineRule="auto"/>
              <w:rPr>
                <w:rFonts w:ascii="Arial" w:eastAsia="Times New Roman" w:hAnsi="Arial" w:cs="Arial"/>
                <w:i/>
                <w:iCs/>
                <w:color w:val="000000"/>
                <w:sz w:val="20"/>
                <w:szCs w:val="20"/>
                <w:lang w:eastAsia="en-GB"/>
              </w:rPr>
            </w:pPr>
            <w:r w:rsidRPr="00BC6A8F">
              <w:rPr>
                <w:rFonts w:ascii="Arial" w:eastAsia="Times New Roman" w:hAnsi="Arial" w:cs="Arial"/>
                <w:i/>
                <w:iCs/>
                <w:color w:val="000000"/>
                <w:sz w:val="20"/>
                <w:szCs w:val="20"/>
                <w:lang w:eastAsia="en-GB"/>
              </w:rPr>
              <w:t>Other Areas</w:t>
            </w:r>
          </w:p>
        </w:tc>
        <w:tc>
          <w:tcPr>
            <w:tcW w:w="1858" w:type="dxa"/>
            <w:tcBorders>
              <w:top w:val="nil"/>
              <w:left w:val="nil"/>
              <w:bottom w:val="single" w:sz="4" w:space="0" w:color="auto"/>
              <w:right w:val="single" w:sz="4" w:space="0" w:color="auto"/>
            </w:tcBorders>
            <w:shd w:val="clear" w:color="auto" w:fill="auto"/>
            <w:vAlign w:val="center"/>
            <w:hideMark/>
          </w:tcPr>
          <w:p w14:paraId="4FE294FD"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1179</w:t>
            </w:r>
          </w:p>
        </w:tc>
        <w:tc>
          <w:tcPr>
            <w:tcW w:w="1827" w:type="dxa"/>
            <w:tcBorders>
              <w:top w:val="nil"/>
              <w:left w:val="nil"/>
              <w:bottom w:val="single" w:sz="4" w:space="0" w:color="auto"/>
              <w:right w:val="single" w:sz="4" w:space="0" w:color="auto"/>
            </w:tcBorders>
            <w:shd w:val="clear" w:color="auto" w:fill="auto"/>
            <w:vAlign w:val="center"/>
            <w:hideMark/>
          </w:tcPr>
          <w:p w14:paraId="427A861A"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1179</w:t>
            </w:r>
          </w:p>
        </w:tc>
      </w:tr>
      <w:tr w:rsidR="00D801A5" w:rsidRPr="00BC6A8F" w14:paraId="2DB93EDF" w14:textId="77777777" w:rsidTr="00097705">
        <w:trPr>
          <w:trHeight w:val="300"/>
        </w:trPr>
        <w:tc>
          <w:tcPr>
            <w:tcW w:w="960" w:type="dxa"/>
            <w:vMerge/>
            <w:tcBorders>
              <w:top w:val="nil"/>
              <w:left w:val="single" w:sz="4" w:space="0" w:color="auto"/>
              <w:bottom w:val="single" w:sz="4" w:space="0" w:color="auto"/>
              <w:right w:val="single" w:sz="4" w:space="0" w:color="auto"/>
            </w:tcBorders>
            <w:vAlign w:val="center"/>
            <w:hideMark/>
          </w:tcPr>
          <w:p w14:paraId="0C74C908" w14:textId="77777777" w:rsidR="00D801A5" w:rsidRPr="00BC6A8F" w:rsidRDefault="00D801A5" w:rsidP="00D801A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7750FDF6"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(iv)</w:t>
            </w:r>
          </w:p>
        </w:tc>
        <w:tc>
          <w:tcPr>
            <w:tcW w:w="3689" w:type="dxa"/>
            <w:tcBorders>
              <w:top w:val="nil"/>
              <w:left w:val="nil"/>
              <w:bottom w:val="single" w:sz="4" w:space="0" w:color="auto"/>
              <w:right w:val="single" w:sz="4" w:space="0" w:color="auto"/>
            </w:tcBorders>
            <w:shd w:val="clear" w:color="auto" w:fill="auto"/>
            <w:vAlign w:val="center"/>
            <w:hideMark/>
          </w:tcPr>
          <w:p w14:paraId="792BC033" w14:textId="77777777" w:rsidR="00D801A5" w:rsidRPr="00BC6A8F" w:rsidRDefault="00D801A5" w:rsidP="00D801A5">
            <w:pPr>
              <w:spacing w:after="0" w:line="240" w:lineRule="auto"/>
              <w:rPr>
                <w:rFonts w:ascii="Arial" w:eastAsia="Times New Roman" w:hAnsi="Arial" w:cs="Arial"/>
                <w:i/>
                <w:iCs/>
                <w:color w:val="000000"/>
                <w:sz w:val="20"/>
                <w:szCs w:val="20"/>
                <w:lang w:eastAsia="en-GB"/>
              </w:rPr>
            </w:pPr>
            <w:r w:rsidRPr="00BC6A8F">
              <w:rPr>
                <w:rFonts w:ascii="Arial" w:eastAsia="Times New Roman" w:hAnsi="Arial" w:cs="Arial"/>
                <w:i/>
                <w:iCs/>
                <w:color w:val="000000"/>
                <w:sz w:val="20"/>
                <w:szCs w:val="20"/>
                <w:lang w:eastAsia="en-GB"/>
              </w:rPr>
              <w:t>Windfall</w:t>
            </w:r>
          </w:p>
        </w:tc>
        <w:tc>
          <w:tcPr>
            <w:tcW w:w="1858" w:type="dxa"/>
            <w:tcBorders>
              <w:top w:val="nil"/>
              <w:left w:val="nil"/>
              <w:bottom w:val="single" w:sz="4" w:space="0" w:color="auto"/>
              <w:right w:val="single" w:sz="4" w:space="0" w:color="auto"/>
            </w:tcBorders>
            <w:shd w:val="clear" w:color="auto" w:fill="auto"/>
            <w:vAlign w:val="center"/>
            <w:hideMark/>
          </w:tcPr>
          <w:p w14:paraId="1E794BDB"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200</w:t>
            </w:r>
          </w:p>
        </w:tc>
        <w:tc>
          <w:tcPr>
            <w:tcW w:w="1827" w:type="dxa"/>
            <w:tcBorders>
              <w:top w:val="nil"/>
              <w:left w:val="nil"/>
              <w:bottom w:val="single" w:sz="4" w:space="0" w:color="auto"/>
              <w:right w:val="single" w:sz="4" w:space="0" w:color="auto"/>
            </w:tcBorders>
            <w:shd w:val="clear" w:color="auto" w:fill="auto"/>
            <w:vAlign w:val="center"/>
            <w:hideMark/>
          </w:tcPr>
          <w:p w14:paraId="2E5FD69E"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200</w:t>
            </w:r>
          </w:p>
        </w:tc>
      </w:tr>
      <w:tr w:rsidR="00D801A5" w:rsidRPr="00BC6A8F" w14:paraId="61F98E12" w14:textId="77777777" w:rsidTr="00097705">
        <w:trPr>
          <w:trHeight w:val="540"/>
        </w:trPr>
        <w:tc>
          <w:tcPr>
            <w:tcW w:w="960" w:type="dxa"/>
            <w:vMerge/>
            <w:tcBorders>
              <w:top w:val="nil"/>
              <w:left w:val="single" w:sz="4" w:space="0" w:color="auto"/>
              <w:bottom w:val="single" w:sz="4" w:space="0" w:color="auto"/>
              <w:right w:val="single" w:sz="4" w:space="0" w:color="auto"/>
            </w:tcBorders>
            <w:vAlign w:val="center"/>
            <w:hideMark/>
          </w:tcPr>
          <w:p w14:paraId="36ADB1D3" w14:textId="77777777" w:rsidR="00D801A5" w:rsidRPr="00BC6A8F" w:rsidRDefault="00D801A5" w:rsidP="00D801A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408BCA10"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f</w:t>
            </w:r>
          </w:p>
        </w:tc>
        <w:tc>
          <w:tcPr>
            <w:tcW w:w="3689" w:type="dxa"/>
            <w:tcBorders>
              <w:top w:val="nil"/>
              <w:left w:val="nil"/>
              <w:bottom w:val="single" w:sz="4" w:space="0" w:color="auto"/>
              <w:right w:val="single" w:sz="4" w:space="0" w:color="auto"/>
            </w:tcBorders>
            <w:shd w:val="clear" w:color="auto" w:fill="auto"/>
            <w:vAlign w:val="center"/>
            <w:hideMark/>
          </w:tcPr>
          <w:p w14:paraId="4DD39C8E" w14:textId="77777777" w:rsidR="00D801A5" w:rsidRPr="00BC6A8F" w:rsidRDefault="00D801A5" w:rsidP="00D801A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Deliverable Supply over next 5 Years</w:t>
            </w:r>
          </w:p>
        </w:tc>
        <w:tc>
          <w:tcPr>
            <w:tcW w:w="1858" w:type="dxa"/>
            <w:tcBorders>
              <w:top w:val="nil"/>
              <w:left w:val="nil"/>
              <w:bottom w:val="single" w:sz="4" w:space="0" w:color="auto"/>
              <w:right w:val="single" w:sz="4" w:space="0" w:color="auto"/>
            </w:tcBorders>
            <w:shd w:val="clear" w:color="000000" w:fill="FFFF00"/>
            <w:vAlign w:val="center"/>
            <w:hideMark/>
          </w:tcPr>
          <w:p w14:paraId="4A29DE22"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4244</w:t>
            </w:r>
          </w:p>
        </w:tc>
        <w:tc>
          <w:tcPr>
            <w:tcW w:w="1827" w:type="dxa"/>
            <w:tcBorders>
              <w:top w:val="nil"/>
              <w:left w:val="nil"/>
              <w:bottom w:val="single" w:sz="4" w:space="0" w:color="auto"/>
              <w:right w:val="single" w:sz="4" w:space="0" w:color="auto"/>
            </w:tcBorders>
            <w:shd w:val="clear" w:color="000000" w:fill="FFFF00"/>
            <w:vAlign w:val="center"/>
            <w:hideMark/>
          </w:tcPr>
          <w:p w14:paraId="433BA36E" w14:textId="77777777"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4244</w:t>
            </w:r>
          </w:p>
        </w:tc>
      </w:tr>
      <w:tr w:rsidR="00D801A5" w:rsidRPr="00BC6A8F" w14:paraId="2E7A1AE4" w14:textId="77777777" w:rsidTr="00097705">
        <w:trPr>
          <w:trHeight w:val="540"/>
        </w:trPr>
        <w:tc>
          <w:tcPr>
            <w:tcW w:w="96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3DCC43F2" w14:textId="3D04C675" w:rsidR="00D801A5" w:rsidRPr="00BC6A8F" w:rsidRDefault="00D801A5" w:rsidP="00D801A5">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Five Year Supply</w:t>
            </w:r>
          </w:p>
        </w:tc>
        <w:tc>
          <w:tcPr>
            <w:tcW w:w="1300" w:type="dxa"/>
            <w:tcBorders>
              <w:top w:val="nil"/>
              <w:left w:val="nil"/>
              <w:bottom w:val="single" w:sz="4" w:space="0" w:color="auto"/>
              <w:right w:val="single" w:sz="4" w:space="0" w:color="auto"/>
            </w:tcBorders>
            <w:shd w:val="clear" w:color="000000" w:fill="DDEBF7"/>
            <w:vAlign w:val="center"/>
            <w:hideMark/>
          </w:tcPr>
          <w:p w14:paraId="60577AF8"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g</w:t>
            </w:r>
          </w:p>
        </w:tc>
        <w:tc>
          <w:tcPr>
            <w:tcW w:w="3689" w:type="dxa"/>
            <w:tcBorders>
              <w:top w:val="nil"/>
              <w:left w:val="nil"/>
              <w:bottom w:val="single" w:sz="4" w:space="0" w:color="auto"/>
              <w:right w:val="single" w:sz="4" w:space="0" w:color="auto"/>
            </w:tcBorders>
            <w:shd w:val="clear" w:color="auto" w:fill="auto"/>
            <w:vAlign w:val="center"/>
            <w:hideMark/>
          </w:tcPr>
          <w:p w14:paraId="1715770E" w14:textId="77777777" w:rsidR="00D801A5" w:rsidRPr="00BC6A8F" w:rsidRDefault="00D801A5" w:rsidP="00D801A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Total years supply over next 5 years (f/ e)</w:t>
            </w:r>
          </w:p>
        </w:tc>
        <w:tc>
          <w:tcPr>
            <w:tcW w:w="1858" w:type="dxa"/>
            <w:tcBorders>
              <w:top w:val="nil"/>
              <w:left w:val="nil"/>
              <w:bottom w:val="single" w:sz="4" w:space="0" w:color="auto"/>
              <w:right w:val="single" w:sz="4" w:space="0" w:color="auto"/>
            </w:tcBorders>
            <w:shd w:val="clear" w:color="auto" w:fill="auto"/>
            <w:vAlign w:val="center"/>
            <w:hideMark/>
          </w:tcPr>
          <w:p w14:paraId="2D850A56"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5.69</w:t>
            </w:r>
          </w:p>
        </w:tc>
        <w:tc>
          <w:tcPr>
            <w:tcW w:w="1827" w:type="dxa"/>
            <w:tcBorders>
              <w:top w:val="nil"/>
              <w:left w:val="nil"/>
              <w:bottom w:val="single" w:sz="4" w:space="0" w:color="auto"/>
              <w:right w:val="single" w:sz="4" w:space="0" w:color="auto"/>
            </w:tcBorders>
            <w:shd w:val="clear" w:color="auto" w:fill="auto"/>
            <w:vAlign w:val="center"/>
            <w:hideMark/>
          </w:tcPr>
          <w:p w14:paraId="63EA4C33" w14:textId="77777777" w:rsidR="00D801A5" w:rsidRPr="00BC6A8F" w:rsidRDefault="00D801A5" w:rsidP="00D801A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5.45</w:t>
            </w:r>
          </w:p>
        </w:tc>
      </w:tr>
      <w:tr w:rsidR="00CD2C27" w:rsidRPr="00BC6A8F" w14:paraId="51D9A665" w14:textId="77777777" w:rsidTr="00097705">
        <w:trPr>
          <w:trHeight w:val="540"/>
        </w:trPr>
        <w:tc>
          <w:tcPr>
            <w:tcW w:w="960" w:type="dxa"/>
            <w:vMerge/>
            <w:tcBorders>
              <w:top w:val="nil"/>
              <w:left w:val="single" w:sz="4" w:space="0" w:color="auto"/>
              <w:bottom w:val="single" w:sz="4" w:space="0" w:color="auto"/>
              <w:right w:val="single" w:sz="4" w:space="0" w:color="auto"/>
            </w:tcBorders>
            <w:vAlign w:val="center"/>
            <w:hideMark/>
          </w:tcPr>
          <w:p w14:paraId="1D6678EB" w14:textId="77777777" w:rsidR="00CD2C27" w:rsidRPr="00BC6A8F" w:rsidRDefault="00CD2C27" w:rsidP="00097705">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7F398BE9" w14:textId="77777777" w:rsidR="00CD2C27" w:rsidRPr="00BC6A8F" w:rsidRDefault="00CD2C27" w:rsidP="00097705">
            <w:pPr>
              <w:spacing w:after="0" w:line="240" w:lineRule="auto"/>
              <w:jc w:val="center"/>
              <w:rPr>
                <w:rFonts w:ascii="Arial" w:eastAsia="Times New Roman" w:hAnsi="Arial" w:cs="Arial"/>
                <w:b/>
                <w:bCs/>
                <w:color w:val="000000"/>
                <w:sz w:val="20"/>
                <w:szCs w:val="20"/>
                <w:lang w:eastAsia="en-GB"/>
              </w:rPr>
            </w:pPr>
            <w:r w:rsidRPr="00BC6A8F">
              <w:rPr>
                <w:rFonts w:ascii="Arial" w:eastAsia="Times New Roman" w:hAnsi="Arial" w:cs="Arial"/>
                <w:b/>
                <w:bCs/>
                <w:color w:val="000000"/>
                <w:sz w:val="20"/>
                <w:szCs w:val="20"/>
                <w:lang w:eastAsia="en-GB"/>
              </w:rPr>
              <w:t>h</w:t>
            </w:r>
          </w:p>
        </w:tc>
        <w:tc>
          <w:tcPr>
            <w:tcW w:w="3689" w:type="dxa"/>
            <w:tcBorders>
              <w:top w:val="nil"/>
              <w:left w:val="nil"/>
              <w:bottom w:val="single" w:sz="4" w:space="0" w:color="auto"/>
              <w:right w:val="single" w:sz="4" w:space="0" w:color="auto"/>
            </w:tcBorders>
            <w:shd w:val="clear" w:color="auto" w:fill="auto"/>
            <w:vAlign w:val="center"/>
            <w:hideMark/>
          </w:tcPr>
          <w:p w14:paraId="5DB960DB" w14:textId="77777777" w:rsidR="00CD2C27" w:rsidRPr="00BC6A8F" w:rsidRDefault="00CD2C27" w:rsidP="00097705">
            <w:pPr>
              <w:spacing w:after="0" w:line="240" w:lineRule="auto"/>
              <w:rPr>
                <w:rFonts w:ascii="Arial" w:eastAsia="Times New Roman" w:hAnsi="Arial" w:cs="Arial"/>
                <w:color w:val="000000"/>
                <w:sz w:val="20"/>
                <w:szCs w:val="20"/>
                <w:lang w:eastAsia="en-GB"/>
              </w:rPr>
            </w:pPr>
            <w:r w:rsidRPr="00BC6A8F">
              <w:rPr>
                <w:rFonts w:ascii="Arial" w:eastAsia="Times New Roman" w:hAnsi="Arial" w:cs="Arial"/>
                <w:color w:val="000000"/>
                <w:sz w:val="20"/>
                <w:szCs w:val="20"/>
                <w:lang w:eastAsia="en-GB"/>
              </w:rPr>
              <w:t xml:space="preserve">‘Shortfall’ / </w:t>
            </w:r>
            <w:proofErr w:type="gramStart"/>
            <w:r w:rsidRPr="00BC6A8F">
              <w:rPr>
                <w:rFonts w:ascii="Arial" w:eastAsia="Times New Roman" w:hAnsi="Arial" w:cs="Arial"/>
                <w:color w:val="000000"/>
                <w:sz w:val="20"/>
                <w:szCs w:val="20"/>
                <w:lang w:eastAsia="en-GB"/>
              </w:rPr>
              <w:t>Surplus(</w:t>
            </w:r>
            <w:proofErr w:type="gramEnd"/>
            <w:r w:rsidRPr="00BC6A8F">
              <w:rPr>
                <w:rFonts w:ascii="Arial" w:eastAsia="Times New Roman" w:hAnsi="Arial" w:cs="Arial"/>
                <w:color w:val="000000"/>
                <w:sz w:val="20"/>
                <w:szCs w:val="20"/>
                <w:lang w:eastAsia="en-GB"/>
              </w:rPr>
              <w:t>f – d)</w:t>
            </w:r>
          </w:p>
        </w:tc>
        <w:tc>
          <w:tcPr>
            <w:tcW w:w="1858" w:type="dxa"/>
            <w:tcBorders>
              <w:top w:val="nil"/>
              <w:left w:val="nil"/>
              <w:bottom w:val="single" w:sz="4" w:space="0" w:color="auto"/>
              <w:right w:val="single" w:sz="4" w:space="0" w:color="auto"/>
            </w:tcBorders>
            <w:shd w:val="clear" w:color="auto" w:fill="auto"/>
            <w:vAlign w:val="center"/>
            <w:hideMark/>
          </w:tcPr>
          <w:p w14:paraId="2BC58B19" w14:textId="77777777" w:rsidR="00CD2C27" w:rsidRPr="00BC6A8F" w:rsidRDefault="00CD2C27" w:rsidP="00097705">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BC6A8F">
              <w:rPr>
                <w:rFonts w:ascii="Arial" w:eastAsia="Times New Roman" w:hAnsi="Arial" w:cs="Arial"/>
                <w:color w:val="000000"/>
                <w:sz w:val="20"/>
                <w:szCs w:val="20"/>
                <w:lang w:eastAsia="en-GB"/>
              </w:rPr>
              <w:t>515</w:t>
            </w:r>
          </w:p>
        </w:tc>
        <w:tc>
          <w:tcPr>
            <w:tcW w:w="1827" w:type="dxa"/>
            <w:tcBorders>
              <w:top w:val="nil"/>
              <w:left w:val="nil"/>
              <w:bottom w:val="single" w:sz="4" w:space="0" w:color="auto"/>
              <w:right w:val="single" w:sz="4" w:space="0" w:color="auto"/>
            </w:tcBorders>
            <w:shd w:val="clear" w:color="auto" w:fill="auto"/>
            <w:vAlign w:val="center"/>
            <w:hideMark/>
          </w:tcPr>
          <w:p w14:paraId="54761A3E" w14:textId="77777777" w:rsidR="00CD2C27" w:rsidRPr="00BC6A8F" w:rsidRDefault="00CD2C27" w:rsidP="00097705">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Pr="00BC6A8F">
              <w:rPr>
                <w:rFonts w:ascii="Arial" w:eastAsia="Times New Roman" w:hAnsi="Arial" w:cs="Arial"/>
                <w:color w:val="000000"/>
                <w:sz w:val="20"/>
                <w:szCs w:val="20"/>
                <w:lang w:eastAsia="en-GB"/>
              </w:rPr>
              <w:t>349</w:t>
            </w:r>
          </w:p>
        </w:tc>
      </w:tr>
    </w:tbl>
    <w:p w14:paraId="25D163C8" w14:textId="336F3B37" w:rsidR="00D801A5" w:rsidRDefault="00D801A5" w:rsidP="00CD2C27">
      <w:pPr>
        <w:pStyle w:val="SPRUTables"/>
        <w:numPr>
          <w:ilvl w:val="0"/>
          <w:numId w:val="0"/>
        </w:numPr>
        <w:ind w:left="720"/>
      </w:pPr>
    </w:p>
    <w:p w14:paraId="4D3F7669" w14:textId="77777777" w:rsidR="00D801A5" w:rsidRDefault="00D801A5">
      <w:pPr>
        <w:rPr>
          <w:rFonts w:ascii="Arial Bold" w:hAnsi="Arial Bold" w:cs="Arial"/>
          <w:b/>
        </w:rPr>
      </w:pPr>
      <w:r>
        <w:br w:type="page"/>
      </w:r>
    </w:p>
    <w:p w14:paraId="6CEDC97E" w14:textId="77777777" w:rsidR="00CD2C27" w:rsidRDefault="00CD2C27" w:rsidP="00CD2C27">
      <w:pPr>
        <w:pStyle w:val="aSPRUSubHeadings"/>
      </w:pPr>
      <w:bookmarkStart w:id="53" w:name="_Toc134515199"/>
      <w:r>
        <w:lastRenderedPageBreak/>
        <w:t>Published Assessment of Supply Versus Requirement – Partial Review (Oxford’s Unmet Needs)</w:t>
      </w:r>
      <w:bookmarkEnd w:id="53"/>
    </w:p>
    <w:p w14:paraId="7957DECE" w14:textId="77777777" w:rsidR="00CD2C27" w:rsidRDefault="00CD2C27" w:rsidP="00CD2C27">
      <w:pPr>
        <w:pStyle w:val="SPRU41Paragraphs"/>
      </w:pPr>
      <w:r>
        <w:t>While it is not relevant to the Council’s case for the requirement against which supply should be assessed I set out below the contents of the published HLSS in relation to the separate monitoring of supply against strategic policy PR12a of the Partial Review.</w:t>
      </w:r>
    </w:p>
    <w:p w14:paraId="3B0B84BD" w14:textId="77777777" w:rsidR="00CD2C27" w:rsidRDefault="00CD2C27" w:rsidP="00CD2C27">
      <w:pPr>
        <w:pStyle w:val="SPRUTables"/>
      </w:pPr>
      <w:r>
        <w:t>Supply versus Requirement (Oxford’s Unmet Needs following Partial Review)</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4820"/>
        <w:gridCol w:w="2860"/>
      </w:tblGrid>
      <w:tr w:rsidR="00CD2C27" w:rsidRPr="00A127A0" w14:paraId="764BE4A9" w14:textId="77777777" w:rsidTr="00097705">
        <w:trPr>
          <w:trHeight w:val="540"/>
        </w:trPr>
        <w:tc>
          <w:tcPr>
            <w:tcW w:w="1300" w:type="dxa"/>
            <w:shd w:val="clear" w:color="000000" w:fill="DDEBF7"/>
            <w:vAlign w:val="center"/>
            <w:hideMark/>
          </w:tcPr>
          <w:p w14:paraId="43F022E6"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Step</w:t>
            </w:r>
          </w:p>
        </w:tc>
        <w:tc>
          <w:tcPr>
            <w:tcW w:w="4820" w:type="dxa"/>
            <w:shd w:val="clear" w:color="000000" w:fill="DDEBF7"/>
            <w:vAlign w:val="center"/>
            <w:hideMark/>
          </w:tcPr>
          <w:p w14:paraId="6E779C08"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Description</w:t>
            </w:r>
          </w:p>
        </w:tc>
        <w:tc>
          <w:tcPr>
            <w:tcW w:w="2860" w:type="dxa"/>
            <w:shd w:val="clear" w:color="000000" w:fill="DDEBF7"/>
            <w:vAlign w:val="center"/>
            <w:hideMark/>
          </w:tcPr>
          <w:p w14:paraId="7DA9CDDF"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Five Year Period 2022/23-26/27 (current period)</w:t>
            </w:r>
          </w:p>
        </w:tc>
      </w:tr>
      <w:tr w:rsidR="00CD2C27" w:rsidRPr="00A127A0" w14:paraId="20D386E9" w14:textId="77777777" w:rsidTr="00097705">
        <w:trPr>
          <w:trHeight w:val="300"/>
        </w:trPr>
        <w:tc>
          <w:tcPr>
            <w:tcW w:w="1300" w:type="dxa"/>
            <w:shd w:val="clear" w:color="000000" w:fill="DDEBF7"/>
            <w:vAlign w:val="center"/>
            <w:hideMark/>
          </w:tcPr>
          <w:p w14:paraId="589022F3"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a</w:t>
            </w:r>
          </w:p>
        </w:tc>
        <w:tc>
          <w:tcPr>
            <w:tcW w:w="4820" w:type="dxa"/>
            <w:shd w:val="clear" w:color="auto" w:fill="auto"/>
            <w:vAlign w:val="center"/>
            <w:hideMark/>
          </w:tcPr>
          <w:p w14:paraId="2C99B259"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Partial Review requirement 2021/22-2025/26</w:t>
            </w:r>
          </w:p>
        </w:tc>
        <w:tc>
          <w:tcPr>
            <w:tcW w:w="2860" w:type="dxa"/>
            <w:shd w:val="clear" w:color="auto" w:fill="auto"/>
            <w:vAlign w:val="center"/>
            <w:hideMark/>
          </w:tcPr>
          <w:p w14:paraId="1F5BD3A8"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1700</w:t>
            </w:r>
          </w:p>
        </w:tc>
      </w:tr>
      <w:tr w:rsidR="00CD2C27" w:rsidRPr="00A127A0" w14:paraId="34C762D3" w14:textId="77777777" w:rsidTr="00097705">
        <w:trPr>
          <w:trHeight w:val="300"/>
        </w:trPr>
        <w:tc>
          <w:tcPr>
            <w:tcW w:w="1300" w:type="dxa"/>
            <w:shd w:val="clear" w:color="000000" w:fill="DDEBF7"/>
            <w:vAlign w:val="center"/>
            <w:hideMark/>
          </w:tcPr>
          <w:p w14:paraId="6DEB58EE"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b</w:t>
            </w:r>
          </w:p>
        </w:tc>
        <w:tc>
          <w:tcPr>
            <w:tcW w:w="4820" w:type="dxa"/>
            <w:shd w:val="clear" w:color="auto" w:fill="auto"/>
            <w:vAlign w:val="center"/>
            <w:hideMark/>
          </w:tcPr>
          <w:p w14:paraId="78BF9CD1"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2021/22-2025/26 Annual Requirement (a / 5)</w:t>
            </w:r>
          </w:p>
        </w:tc>
        <w:tc>
          <w:tcPr>
            <w:tcW w:w="2860" w:type="dxa"/>
            <w:shd w:val="clear" w:color="auto" w:fill="auto"/>
            <w:vAlign w:val="center"/>
            <w:hideMark/>
          </w:tcPr>
          <w:p w14:paraId="69EFEF97"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340</w:t>
            </w:r>
          </w:p>
        </w:tc>
      </w:tr>
      <w:tr w:rsidR="00CD2C27" w:rsidRPr="00A127A0" w14:paraId="73BA9912" w14:textId="77777777" w:rsidTr="00097705">
        <w:trPr>
          <w:trHeight w:val="300"/>
        </w:trPr>
        <w:tc>
          <w:tcPr>
            <w:tcW w:w="1300" w:type="dxa"/>
            <w:shd w:val="clear" w:color="000000" w:fill="DDEBF7"/>
            <w:vAlign w:val="center"/>
            <w:hideMark/>
          </w:tcPr>
          <w:p w14:paraId="602712DD"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c</w:t>
            </w:r>
          </w:p>
        </w:tc>
        <w:tc>
          <w:tcPr>
            <w:tcW w:w="4820" w:type="dxa"/>
            <w:shd w:val="clear" w:color="auto" w:fill="auto"/>
            <w:vAlign w:val="center"/>
            <w:hideMark/>
          </w:tcPr>
          <w:p w14:paraId="560B9CCC"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Partial Review requirement 2026/27-2030/31</w:t>
            </w:r>
          </w:p>
        </w:tc>
        <w:tc>
          <w:tcPr>
            <w:tcW w:w="2860" w:type="dxa"/>
            <w:shd w:val="clear" w:color="auto" w:fill="auto"/>
            <w:vAlign w:val="center"/>
            <w:hideMark/>
          </w:tcPr>
          <w:p w14:paraId="168B2942"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2700</w:t>
            </w:r>
          </w:p>
        </w:tc>
      </w:tr>
      <w:tr w:rsidR="00CD2C27" w:rsidRPr="00A127A0" w14:paraId="3027F45C" w14:textId="77777777" w:rsidTr="00097705">
        <w:trPr>
          <w:trHeight w:val="300"/>
        </w:trPr>
        <w:tc>
          <w:tcPr>
            <w:tcW w:w="1300" w:type="dxa"/>
            <w:shd w:val="clear" w:color="000000" w:fill="DDEBF7"/>
            <w:vAlign w:val="center"/>
            <w:hideMark/>
          </w:tcPr>
          <w:p w14:paraId="588F4E69"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d</w:t>
            </w:r>
          </w:p>
        </w:tc>
        <w:tc>
          <w:tcPr>
            <w:tcW w:w="4820" w:type="dxa"/>
            <w:shd w:val="clear" w:color="auto" w:fill="auto"/>
            <w:vAlign w:val="center"/>
            <w:hideMark/>
          </w:tcPr>
          <w:p w14:paraId="0CBFEA30"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2021/22-2025/26 Annual Requirement (c / 5)</w:t>
            </w:r>
          </w:p>
        </w:tc>
        <w:tc>
          <w:tcPr>
            <w:tcW w:w="2860" w:type="dxa"/>
            <w:shd w:val="clear" w:color="auto" w:fill="auto"/>
            <w:vAlign w:val="center"/>
            <w:hideMark/>
          </w:tcPr>
          <w:p w14:paraId="3987F753"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540</w:t>
            </w:r>
          </w:p>
        </w:tc>
      </w:tr>
      <w:tr w:rsidR="00CD2C27" w:rsidRPr="00A127A0" w14:paraId="3A47D026" w14:textId="77777777" w:rsidTr="00097705">
        <w:trPr>
          <w:trHeight w:val="300"/>
        </w:trPr>
        <w:tc>
          <w:tcPr>
            <w:tcW w:w="1300" w:type="dxa"/>
            <w:shd w:val="clear" w:color="000000" w:fill="DDEBF7"/>
            <w:vAlign w:val="center"/>
            <w:hideMark/>
          </w:tcPr>
          <w:p w14:paraId="07D632A9"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e</w:t>
            </w:r>
          </w:p>
        </w:tc>
        <w:tc>
          <w:tcPr>
            <w:tcW w:w="4820" w:type="dxa"/>
            <w:shd w:val="clear" w:color="auto" w:fill="auto"/>
            <w:vAlign w:val="center"/>
            <w:hideMark/>
          </w:tcPr>
          <w:p w14:paraId="3F622A94"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Requirement to date (b x years)</w:t>
            </w:r>
          </w:p>
        </w:tc>
        <w:tc>
          <w:tcPr>
            <w:tcW w:w="2860" w:type="dxa"/>
            <w:shd w:val="clear" w:color="auto" w:fill="auto"/>
            <w:vAlign w:val="center"/>
            <w:hideMark/>
          </w:tcPr>
          <w:p w14:paraId="3408378C"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340</w:t>
            </w:r>
          </w:p>
        </w:tc>
      </w:tr>
      <w:tr w:rsidR="00CD2C27" w:rsidRPr="00A127A0" w14:paraId="592DD0EB" w14:textId="77777777" w:rsidTr="00097705">
        <w:trPr>
          <w:trHeight w:val="300"/>
        </w:trPr>
        <w:tc>
          <w:tcPr>
            <w:tcW w:w="1300" w:type="dxa"/>
            <w:shd w:val="clear" w:color="000000" w:fill="DDEBF7"/>
            <w:vAlign w:val="center"/>
            <w:hideMark/>
          </w:tcPr>
          <w:p w14:paraId="700916EC"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f</w:t>
            </w:r>
          </w:p>
        </w:tc>
        <w:tc>
          <w:tcPr>
            <w:tcW w:w="4820" w:type="dxa"/>
            <w:shd w:val="clear" w:color="auto" w:fill="auto"/>
            <w:vAlign w:val="center"/>
            <w:hideMark/>
          </w:tcPr>
          <w:p w14:paraId="27C142C3"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Completions 2021/22</w:t>
            </w:r>
          </w:p>
        </w:tc>
        <w:tc>
          <w:tcPr>
            <w:tcW w:w="2860" w:type="dxa"/>
            <w:shd w:val="clear" w:color="auto" w:fill="auto"/>
            <w:vAlign w:val="center"/>
            <w:hideMark/>
          </w:tcPr>
          <w:p w14:paraId="3C2B0363"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0</w:t>
            </w:r>
          </w:p>
        </w:tc>
      </w:tr>
      <w:tr w:rsidR="00CD2C27" w:rsidRPr="00A127A0" w14:paraId="694211B1" w14:textId="77777777" w:rsidTr="00097705">
        <w:trPr>
          <w:trHeight w:val="300"/>
        </w:trPr>
        <w:tc>
          <w:tcPr>
            <w:tcW w:w="1300" w:type="dxa"/>
            <w:shd w:val="clear" w:color="000000" w:fill="DDEBF7"/>
            <w:vAlign w:val="center"/>
            <w:hideMark/>
          </w:tcPr>
          <w:p w14:paraId="4DB4AD0C"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g</w:t>
            </w:r>
          </w:p>
        </w:tc>
        <w:tc>
          <w:tcPr>
            <w:tcW w:w="4820" w:type="dxa"/>
            <w:shd w:val="clear" w:color="auto" w:fill="auto"/>
            <w:vAlign w:val="center"/>
            <w:hideMark/>
          </w:tcPr>
          <w:p w14:paraId="275F91DB"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Shortfall at 31/3/22 (f - e)</w:t>
            </w:r>
          </w:p>
        </w:tc>
        <w:tc>
          <w:tcPr>
            <w:tcW w:w="2860" w:type="dxa"/>
            <w:shd w:val="clear" w:color="auto" w:fill="auto"/>
            <w:vAlign w:val="center"/>
            <w:hideMark/>
          </w:tcPr>
          <w:p w14:paraId="186B5900"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340</w:t>
            </w:r>
          </w:p>
        </w:tc>
      </w:tr>
      <w:tr w:rsidR="00CD2C27" w:rsidRPr="00A127A0" w14:paraId="0C2DCAC4" w14:textId="77777777" w:rsidTr="00097705">
        <w:trPr>
          <w:trHeight w:val="540"/>
        </w:trPr>
        <w:tc>
          <w:tcPr>
            <w:tcW w:w="1300" w:type="dxa"/>
            <w:shd w:val="clear" w:color="000000" w:fill="DDEBF7"/>
            <w:vAlign w:val="center"/>
            <w:hideMark/>
          </w:tcPr>
          <w:p w14:paraId="26AD9216"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h</w:t>
            </w:r>
          </w:p>
        </w:tc>
        <w:tc>
          <w:tcPr>
            <w:tcW w:w="4820" w:type="dxa"/>
            <w:shd w:val="clear" w:color="auto" w:fill="auto"/>
            <w:vAlign w:val="center"/>
            <w:hideMark/>
          </w:tcPr>
          <w:p w14:paraId="6BCA2736"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Base requirement over next 5 years ((b x 4) + (d x 1))</w:t>
            </w:r>
          </w:p>
        </w:tc>
        <w:tc>
          <w:tcPr>
            <w:tcW w:w="2860" w:type="dxa"/>
            <w:shd w:val="clear" w:color="auto" w:fill="auto"/>
            <w:vAlign w:val="center"/>
            <w:hideMark/>
          </w:tcPr>
          <w:p w14:paraId="454F3EEC"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1900</w:t>
            </w:r>
          </w:p>
        </w:tc>
      </w:tr>
      <w:tr w:rsidR="00CD2C27" w:rsidRPr="00A127A0" w14:paraId="4B6649A7" w14:textId="77777777" w:rsidTr="00097705">
        <w:trPr>
          <w:trHeight w:val="540"/>
        </w:trPr>
        <w:tc>
          <w:tcPr>
            <w:tcW w:w="1300" w:type="dxa"/>
            <w:shd w:val="clear" w:color="000000" w:fill="DDEBF7"/>
            <w:vAlign w:val="center"/>
            <w:hideMark/>
          </w:tcPr>
          <w:p w14:paraId="53C86B50"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proofErr w:type="spellStart"/>
            <w:r w:rsidRPr="00A127A0">
              <w:rPr>
                <w:rFonts w:ascii="Arial" w:eastAsia="Times New Roman" w:hAnsi="Arial" w:cs="Arial"/>
                <w:b/>
                <w:bCs/>
                <w:color w:val="000000"/>
                <w:sz w:val="20"/>
                <w:szCs w:val="20"/>
                <w:lang w:eastAsia="en-GB"/>
              </w:rPr>
              <w:t>i</w:t>
            </w:r>
            <w:proofErr w:type="spellEnd"/>
          </w:p>
        </w:tc>
        <w:tc>
          <w:tcPr>
            <w:tcW w:w="4820" w:type="dxa"/>
            <w:shd w:val="clear" w:color="auto" w:fill="auto"/>
            <w:vAlign w:val="center"/>
            <w:hideMark/>
          </w:tcPr>
          <w:p w14:paraId="4AC9B90C"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Base requirement over next 5 years plus 5% buffer (h x 1.05)</w:t>
            </w:r>
          </w:p>
        </w:tc>
        <w:tc>
          <w:tcPr>
            <w:tcW w:w="2860" w:type="dxa"/>
            <w:shd w:val="clear" w:color="auto" w:fill="auto"/>
            <w:vAlign w:val="center"/>
            <w:hideMark/>
          </w:tcPr>
          <w:p w14:paraId="37CCEB29"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1995</w:t>
            </w:r>
          </w:p>
        </w:tc>
      </w:tr>
      <w:tr w:rsidR="00CD2C27" w:rsidRPr="00A127A0" w14:paraId="23BC024B" w14:textId="77777777" w:rsidTr="00097705">
        <w:trPr>
          <w:trHeight w:val="540"/>
        </w:trPr>
        <w:tc>
          <w:tcPr>
            <w:tcW w:w="1300" w:type="dxa"/>
            <w:shd w:val="clear" w:color="000000" w:fill="DDEBF7"/>
            <w:vAlign w:val="center"/>
            <w:hideMark/>
          </w:tcPr>
          <w:p w14:paraId="2E2469A1"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j</w:t>
            </w:r>
          </w:p>
        </w:tc>
        <w:tc>
          <w:tcPr>
            <w:tcW w:w="4820" w:type="dxa"/>
            <w:shd w:val="clear" w:color="auto" w:fill="auto"/>
            <w:vAlign w:val="center"/>
            <w:hideMark/>
          </w:tcPr>
          <w:p w14:paraId="45F516C9"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Revised Annual Requirement over next 5 years (d / 5)</w:t>
            </w:r>
          </w:p>
        </w:tc>
        <w:tc>
          <w:tcPr>
            <w:tcW w:w="2860" w:type="dxa"/>
            <w:shd w:val="clear" w:color="auto" w:fill="auto"/>
            <w:vAlign w:val="center"/>
            <w:hideMark/>
          </w:tcPr>
          <w:p w14:paraId="6677F9EE"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399</w:t>
            </w:r>
          </w:p>
        </w:tc>
      </w:tr>
      <w:tr w:rsidR="00CD2C27" w:rsidRPr="00A127A0" w14:paraId="11A0A5B7" w14:textId="77777777" w:rsidTr="00097705">
        <w:trPr>
          <w:trHeight w:val="300"/>
        </w:trPr>
        <w:tc>
          <w:tcPr>
            <w:tcW w:w="1300" w:type="dxa"/>
            <w:shd w:val="clear" w:color="000000" w:fill="DDEBF7"/>
            <w:vAlign w:val="center"/>
            <w:hideMark/>
          </w:tcPr>
          <w:p w14:paraId="7EB0C11F"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k</w:t>
            </w:r>
          </w:p>
        </w:tc>
        <w:tc>
          <w:tcPr>
            <w:tcW w:w="4820" w:type="dxa"/>
            <w:shd w:val="clear" w:color="auto" w:fill="auto"/>
            <w:vAlign w:val="center"/>
            <w:hideMark/>
          </w:tcPr>
          <w:p w14:paraId="5DEDC635"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Deliverable Supply over next 5 Years</w:t>
            </w:r>
          </w:p>
        </w:tc>
        <w:tc>
          <w:tcPr>
            <w:tcW w:w="2860" w:type="dxa"/>
            <w:shd w:val="clear" w:color="auto" w:fill="auto"/>
            <w:vAlign w:val="center"/>
            <w:hideMark/>
          </w:tcPr>
          <w:p w14:paraId="05D9DA84"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80</w:t>
            </w:r>
          </w:p>
        </w:tc>
      </w:tr>
      <w:tr w:rsidR="00CD2C27" w:rsidRPr="00A127A0" w14:paraId="34528092" w14:textId="77777777" w:rsidTr="00097705">
        <w:trPr>
          <w:trHeight w:val="300"/>
        </w:trPr>
        <w:tc>
          <w:tcPr>
            <w:tcW w:w="1300" w:type="dxa"/>
            <w:shd w:val="clear" w:color="000000" w:fill="DDEBF7"/>
            <w:vAlign w:val="center"/>
            <w:hideMark/>
          </w:tcPr>
          <w:p w14:paraId="5B0213F4"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l</w:t>
            </w:r>
          </w:p>
        </w:tc>
        <w:tc>
          <w:tcPr>
            <w:tcW w:w="4820" w:type="dxa"/>
            <w:shd w:val="clear" w:color="auto" w:fill="auto"/>
            <w:vAlign w:val="center"/>
            <w:hideMark/>
          </w:tcPr>
          <w:p w14:paraId="79C45380"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Total years supply over next 5 years (f/ e)</w:t>
            </w:r>
          </w:p>
        </w:tc>
        <w:tc>
          <w:tcPr>
            <w:tcW w:w="2860" w:type="dxa"/>
            <w:shd w:val="clear" w:color="auto" w:fill="auto"/>
            <w:vAlign w:val="center"/>
            <w:hideMark/>
          </w:tcPr>
          <w:p w14:paraId="7BC449DC"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0.20</w:t>
            </w:r>
          </w:p>
        </w:tc>
      </w:tr>
      <w:tr w:rsidR="00CD2C27" w:rsidRPr="00A127A0" w14:paraId="703758FF" w14:textId="77777777" w:rsidTr="00097705">
        <w:trPr>
          <w:trHeight w:val="300"/>
        </w:trPr>
        <w:tc>
          <w:tcPr>
            <w:tcW w:w="1300" w:type="dxa"/>
            <w:shd w:val="clear" w:color="000000" w:fill="DDEBF7"/>
            <w:vAlign w:val="center"/>
            <w:hideMark/>
          </w:tcPr>
          <w:p w14:paraId="5C1B406C" w14:textId="77777777" w:rsidR="00CD2C27" w:rsidRPr="00A127A0" w:rsidRDefault="00CD2C27" w:rsidP="00097705">
            <w:pPr>
              <w:spacing w:after="0" w:line="240" w:lineRule="auto"/>
              <w:jc w:val="center"/>
              <w:rPr>
                <w:rFonts w:ascii="Arial" w:eastAsia="Times New Roman" w:hAnsi="Arial" w:cs="Arial"/>
                <w:b/>
                <w:bCs/>
                <w:color w:val="000000"/>
                <w:sz w:val="20"/>
                <w:szCs w:val="20"/>
                <w:lang w:eastAsia="en-GB"/>
              </w:rPr>
            </w:pPr>
            <w:r w:rsidRPr="00A127A0">
              <w:rPr>
                <w:rFonts w:ascii="Arial" w:eastAsia="Times New Roman" w:hAnsi="Arial" w:cs="Arial"/>
                <w:b/>
                <w:bCs/>
                <w:color w:val="000000"/>
                <w:sz w:val="20"/>
                <w:szCs w:val="20"/>
                <w:lang w:eastAsia="en-GB"/>
              </w:rPr>
              <w:t>m</w:t>
            </w:r>
          </w:p>
        </w:tc>
        <w:tc>
          <w:tcPr>
            <w:tcW w:w="4820" w:type="dxa"/>
            <w:shd w:val="clear" w:color="auto" w:fill="auto"/>
            <w:vAlign w:val="center"/>
            <w:hideMark/>
          </w:tcPr>
          <w:p w14:paraId="1C8351D8" w14:textId="77777777" w:rsidR="00CD2C27" w:rsidRPr="00A127A0" w:rsidRDefault="00CD2C27" w:rsidP="00097705">
            <w:pPr>
              <w:spacing w:after="0" w:line="240" w:lineRule="auto"/>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‘Shortfall’ (f – d)</w:t>
            </w:r>
          </w:p>
        </w:tc>
        <w:tc>
          <w:tcPr>
            <w:tcW w:w="2860" w:type="dxa"/>
            <w:shd w:val="clear" w:color="auto" w:fill="auto"/>
            <w:vAlign w:val="center"/>
            <w:hideMark/>
          </w:tcPr>
          <w:p w14:paraId="74E78071" w14:textId="77777777" w:rsidR="00CD2C27" w:rsidRPr="00A127A0" w:rsidRDefault="00CD2C27" w:rsidP="00097705">
            <w:pPr>
              <w:spacing w:after="0" w:line="240" w:lineRule="auto"/>
              <w:jc w:val="center"/>
              <w:rPr>
                <w:rFonts w:ascii="Arial" w:eastAsia="Times New Roman" w:hAnsi="Arial" w:cs="Arial"/>
                <w:color w:val="000000"/>
                <w:sz w:val="20"/>
                <w:szCs w:val="20"/>
                <w:lang w:eastAsia="en-GB"/>
              </w:rPr>
            </w:pPr>
            <w:r w:rsidRPr="00A127A0">
              <w:rPr>
                <w:rFonts w:ascii="Arial" w:eastAsia="Times New Roman" w:hAnsi="Arial" w:cs="Arial"/>
                <w:color w:val="000000"/>
                <w:sz w:val="20"/>
                <w:szCs w:val="20"/>
                <w:lang w:eastAsia="en-GB"/>
              </w:rPr>
              <w:t>-1915</w:t>
            </w:r>
          </w:p>
        </w:tc>
      </w:tr>
    </w:tbl>
    <w:p w14:paraId="165E28D9" w14:textId="77777777" w:rsidR="00CD2C27" w:rsidRDefault="00CD2C27" w:rsidP="00CD2C27">
      <w:pPr>
        <w:pStyle w:val="SPRU71Paragraphs"/>
        <w:numPr>
          <w:ilvl w:val="0"/>
          <w:numId w:val="0"/>
        </w:numPr>
        <w:ind w:left="737"/>
      </w:pPr>
    </w:p>
    <w:p w14:paraId="3551CA33" w14:textId="77777777" w:rsidR="00CD2C27" w:rsidRDefault="00CD2C27" w:rsidP="00CD2C27">
      <w:pPr>
        <w:rPr>
          <w:rFonts w:ascii="Arial Bold" w:hAnsi="Arial Bold" w:cs="Arial"/>
          <w:b/>
        </w:rPr>
      </w:pPr>
      <w:r>
        <w:br w:type="page"/>
      </w:r>
    </w:p>
    <w:p w14:paraId="751DC819" w14:textId="4B4369C1" w:rsidR="007C0CE2" w:rsidRDefault="00704265" w:rsidP="00EA7113">
      <w:pPr>
        <w:pStyle w:val="SPRUChapterHeadings10"/>
      </w:pPr>
      <w:bookmarkStart w:id="54" w:name="_Toc134515176"/>
      <w:bookmarkEnd w:id="45"/>
      <w:bookmarkEnd w:id="46"/>
      <w:bookmarkEnd w:id="47"/>
      <w:r>
        <w:lastRenderedPageBreak/>
        <w:t>The</w:t>
      </w:r>
      <w:r w:rsidR="007C5B06">
        <w:t xml:space="preserve"> Housing Requirement </w:t>
      </w:r>
      <w:r w:rsidR="0047308C">
        <w:t>Against WHich Supply is Assessed</w:t>
      </w:r>
      <w:bookmarkEnd w:id="54"/>
    </w:p>
    <w:p w14:paraId="1A21E45E" w14:textId="6621A00C" w:rsidR="00BD30D8" w:rsidRDefault="00BD30D8" w:rsidP="002455BA">
      <w:pPr>
        <w:pStyle w:val="aSPRUSubHeadings"/>
        <w:numPr>
          <w:ilvl w:val="0"/>
          <w:numId w:val="47"/>
        </w:numPr>
      </w:pPr>
      <w:bookmarkStart w:id="55" w:name="_Toc134515177"/>
      <w:r>
        <w:t xml:space="preserve">Introduction and </w:t>
      </w:r>
      <w:r w:rsidR="00A7460B">
        <w:t>Summary of the Council’s Case</w:t>
      </w:r>
      <w:bookmarkEnd w:id="55"/>
    </w:p>
    <w:p w14:paraId="358AAA37" w14:textId="11926177" w:rsidR="00A7460B" w:rsidRDefault="00446DE8" w:rsidP="00B23645">
      <w:pPr>
        <w:pStyle w:val="SPRU51Paragraphs"/>
        <w:ind w:left="709" w:hanging="709"/>
      </w:pPr>
      <w:r>
        <w:t xml:space="preserve">Within this main section of my Proof of Evidence I </w:t>
      </w:r>
      <w:r w:rsidR="00F72347">
        <w:t xml:space="preserve">address the principal issue between the parties on the matter of housing land supply. This concerns </w:t>
      </w:r>
      <w:r w:rsidR="007105BB">
        <w:t xml:space="preserve">the requirement against which supply should be assessed. </w:t>
      </w:r>
      <w:r w:rsidR="006B4092">
        <w:t xml:space="preserve">On the Council’s case – that the five-year requirement is provided by </w:t>
      </w:r>
      <w:r w:rsidR="00E075D6">
        <w:t xml:space="preserve">local housing need calculated for Cherwell District – the Appellant’s own position on supply </w:t>
      </w:r>
      <w:r w:rsidR="00980E12">
        <w:t xml:space="preserve">(which the Council does not accept) </w:t>
      </w:r>
      <w:r w:rsidR="00E075D6">
        <w:t xml:space="preserve">at the point of exchanging evidence would result in a deficit of just </w:t>
      </w:r>
      <w:r w:rsidR="00980E12">
        <w:t>97 units.</w:t>
      </w:r>
    </w:p>
    <w:p w14:paraId="21C066E6" w14:textId="29395397" w:rsidR="00895877" w:rsidRDefault="00895877" w:rsidP="00B23645">
      <w:pPr>
        <w:pStyle w:val="SPRU51Paragraphs"/>
        <w:ind w:left="709" w:hanging="709"/>
      </w:pPr>
      <w:r>
        <w:t xml:space="preserve">I present the Council’s case </w:t>
      </w:r>
      <w:r w:rsidR="00096F5D">
        <w:t xml:space="preserve">within the context that it is agreed that the housing requirement in adopted strategic policies </w:t>
      </w:r>
      <w:r w:rsidR="0017157C">
        <w:t xml:space="preserve">relating to the needs of Cherwell District has been reviewed and </w:t>
      </w:r>
      <w:r w:rsidR="00F87663">
        <w:t xml:space="preserve">it is agreed that </w:t>
      </w:r>
      <w:r w:rsidR="00106E31">
        <w:t xml:space="preserve">this requires updating. </w:t>
      </w:r>
      <w:r w:rsidR="000A70F3">
        <w:t>The first sentence of footnote 39 to paragraph 74 of the NPPF2021 is not engaged</w:t>
      </w:r>
      <w:r w:rsidR="00C5145A">
        <w:t xml:space="preserve">. I </w:t>
      </w:r>
      <w:r w:rsidR="00B43EAA">
        <w:t>have therefore not addressed in detail the contents of the Council Regulation 10A Review of Policies within my Proof of Evidence</w:t>
      </w:r>
      <w:r w:rsidR="00F51A82">
        <w:t>.</w:t>
      </w:r>
      <w:r w:rsidR="00B43EAA">
        <w:t xml:space="preserve"> </w:t>
      </w:r>
      <w:r w:rsidR="00F51A82">
        <w:t>I</w:t>
      </w:r>
      <w:r w:rsidR="00B43EAA">
        <w:t xml:space="preserve"> reserve the </w:t>
      </w:r>
      <w:r w:rsidR="00E9015A">
        <w:t xml:space="preserve">right to do so should the Appellant’s evidence contradict </w:t>
      </w:r>
      <w:r w:rsidR="00E66C63">
        <w:t xml:space="preserve">the agreed position </w:t>
      </w:r>
      <w:r w:rsidR="00E9015A">
        <w:t xml:space="preserve">that </w:t>
      </w:r>
      <w:r w:rsidR="00F51A82">
        <w:t>this</w:t>
      </w:r>
      <w:r w:rsidR="00E9015A">
        <w:t xml:space="preserve"> results in local housing need </w:t>
      </w:r>
      <w:r w:rsidR="00666CFB">
        <w:t>forming the basis of the requirement to assess supply.</w:t>
      </w:r>
    </w:p>
    <w:p w14:paraId="1F518C30" w14:textId="564FC095" w:rsidR="005C4A67" w:rsidRDefault="005C4A67" w:rsidP="00B23645">
      <w:pPr>
        <w:pStyle w:val="SPRU51Paragraphs"/>
        <w:ind w:left="709" w:hanging="709"/>
      </w:pPr>
      <w:r>
        <w:t>The Council’s case is simple</w:t>
      </w:r>
      <w:r w:rsidR="009809AC">
        <w:t>. It is consistent with national policy and accords with the adopted development plan</w:t>
      </w:r>
      <w:r w:rsidR="00411403">
        <w:t xml:space="preserve"> and supported by relevant Appeal Decisions</w:t>
      </w:r>
      <w:r w:rsidR="00F27F19">
        <w:rPr>
          <w:rStyle w:val="FootnoteReference"/>
        </w:rPr>
        <w:footnoteReference w:id="2"/>
      </w:r>
      <w:r w:rsidR="00137242">
        <w:rPr>
          <w:rStyle w:val="FootnoteReference"/>
        </w:rPr>
        <w:footnoteReference w:id="3"/>
      </w:r>
      <w:r w:rsidR="00411403">
        <w:t>.</w:t>
      </w:r>
    </w:p>
    <w:p w14:paraId="4A46567A" w14:textId="47F43969" w:rsidR="00411403" w:rsidRDefault="001939C6" w:rsidP="00B23645">
      <w:pPr>
        <w:pStyle w:val="SPRU51Paragraphs"/>
        <w:ind w:left="709" w:hanging="709"/>
      </w:pPr>
      <w:r>
        <w:t xml:space="preserve">NPPF2021 </w:t>
      </w:r>
      <w:r w:rsidR="00B74810">
        <w:t>Paragraph 74 is clear regarding the use of local housing need</w:t>
      </w:r>
      <w:r w:rsidR="007C1838">
        <w:t xml:space="preserve"> to assess housing land supply in the circumstances of Cherwell District. </w:t>
      </w:r>
      <w:r w:rsidR="00786A62">
        <w:t xml:space="preserve">The calculation of LHN operates </w:t>
      </w:r>
      <w:r w:rsidR="00FD49A3">
        <w:t xml:space="preserve">housing need </w:t>
      </w:r>
      <w:r w:rsidR="00786A62">
        <w:t xml:space="preserve">purely on </w:t>
      </w:r>
      <w:r w:rsidR="00FD49A3">
        <w:t xml:space="preserve">administrative boundaries. </w:t>
      </w:r>
    </w:p>
    <w:p w14:paraId="617BC8A4" w14:textId="6CB60937" w:rsidR="00190F1B" w:rsidRDefault="00682F6D" w:rsidP="00B23645">
      <w:pPr>
        <w:pStyle w:val="SPRU51Paragraphs"/>
        <w:ind w:left="709" w:hanging="709"/>
      </w:pPr>
      <w:r>
        <w:t xml:space="preserve">The </w:t>
      </w:r>
      <w:r w:rsidR="007B7A59">
        <w:t xml:space="preserve">central premise of the </w:t>
      </w:r>
      <w:r>
        <w:t>Appellant</w:t>
      </w:r>
      <w:r w:rsidR="007B7A59">
        <w:t xml:space="preserve">’s case is that the application of local housing need alters how supply should be </w:t>
      </w:r>
      <w:r w:rsidR="00BB534F">
        <w:t xml:space="preserve">accounted for. This fundamentally conflates need and supply. It is not </w:t>
      </w:r>
      <w:proofErr w:type="gramStart"/>
      <w:r w:rsidR="00BB534F">
        <w:t>correct</w:t>
      </w:r>
      <w:proofErr w:type="gramEnd"/>
      <w:r w:rsidR="00BB534F">
        <w:t xml:space="preserve"> and</w:t>
      </w:r>
      <w:r w:rsidR="00C33BD4">
        <w:t xml:space="preserve"> it is</w:t>
      </w:r>
      <w:r w:rsidR="00BB534F">
        <w:t xml:space="preserve"> not supported by </w:t>
      </w:r>
      <w:r w:rsidR="00042BC3">
        <w:t xml:space="preserve">either the wording of NPPF2021 paragraph 74, the Planning Practice Guidance or the approach to the standard method calculation. </w:t>
      </w:r>
    </w:p>
    <w:p w14:paraId="678251D2" w14:textId="21E982F8" w:rsidR="00682F6D" w:rsidRDefault="00190F1B" w:rsidP="00B23645">
      <w:pPr>
        <w:pStyle w:val="SPRU51Paragraphs"/>
        <w:ind w:left="709" w:hanging="709"/>
      </w:pPr>
      <w:r>
        <w:t>In the circumstances for Cherwell District th</w:t>
      </w:r>
      <w:r w:rsidR="0053472E">
        <w:t xml:space="preserve">e errors with the Appellant’s position are compounded by the point that the </w:t>
      </w:r>
      <w:r w:rsidR="00922903">
        <w:t xml:space="preserve">clear </w:t>
      </w:r>
      <w:r w:rsidR="0053472E">
        <w:t xml:space="preserve">approach to </w:t>
      </w:r>
      <w:r w:rsidR="00A027E0">
        <w:t xml:space="preserve">accounting for supply related to Oxford’s unmet needs remains as set out </w:t>
      </w:r>
      <w:r w:rsidR="00B8508F">
        <w:t>in adopted strategic policies of the development plan that are less than five years old and fully consistent with national policy</w:t>
      </w:r>
      <w:r w:rsidR="00FD1F68">
        <w:t xml:space="preserve">. These provide for a specific approach to managing supply </w:t>
      </w:r>
      <w:r w:rsidR="00EB0731">
        <w:t xml:space="preserve">for the housing requirement </w:t>
      </w:r>
      <w:r w:rsidR="00206B65">
        <w:t xml:space="preserve">related to </w:t>
      </w:r>
      <w:r w:rsidR="00EB0731">
        <w:t>these needs.</w:t>
      </w:r>
      <w:r w:rsidR="00F17EB3">
        <w:t xml:space="preserve"> The approach to managing supply is consistent with the</w:t>
      </w:r>
      <w:r w:rsidR="007439D8">
        <w:t xml:space="preserve"> spatial strategy to provide for sustainable development.</w:t>
      </w:r>
    </w:p>
    <w:p w14:paraId="4C64DBE3" w14:textId="1A93ABA7" w:rsidR="000F64B7" w:rsidRDefault="007E0606" w:rsidP="00B23645">
      <w:pPr>
        <w:pStyle w:val="SPRU51Paragraphs"/>
        <w:ind w:left="709" w:hanging="709"/>
      </w:pPr>
      <w:r>
        <w:t>T</w:t>
      </w:r>
      <w:r w:rsidR="008375CF">
        <w:t xml:space="preserve">he Appellant </w:t>
      </w:r>
      <w:r>
        <w:t xml:space="preserve">has not through either the Topic </w:t>
      </w:r>
      <w:proofErr w:type="spellStart"/>
      <w:r>
        <w:t>SoCG</w:t>
      </w:r>
      <w:proofErr w:type="spellEnd"/>
      <w:r>
        <w:t xml:space="preserve"> or its Statement of Case </w:t>
      </w:r>
      <w:r w:rsidR="007C1922">
        <w:t xml:space="preserve">offered </w:t>
      </w:r>
      <w:r w:rsidR="008375CF">
        <w:t xml:space="preserve">evidence that directly supports its approach to alter the management of supply </w:t>
      </w:r>
      <w:r w:rsidR="00854B0D">
        <w:t xml:space="preserve">or </w:t>
      </w:r>
      <w:r w:rsidR="00E931A6">
        <w:t xml:space="preserve">to </w:t>
      </w:r>
      <w:r w:rsidR="00766153">
        <w:t>dis</w:t>
      </w:r>
      <w:r w:rsidR="00E931A6">
        <w:t xml:space="preserve">apply the approach to Oxford’s unmet needs identified by </w:t>
      </w:r>
      <w:r w:rsidR="00854B0D">
        <w:t xml:space="preserve">the housing requirement in </w:t>
      </w:r>
      <w:r w:rsidR="00E931A6">
        <w:t xml:space="preserve">adopted strategic policies of the Cherwell Local Plan </w:t>
      </w:r>
      <w:r w:rsidR="00766153">
        <w:t>P</w:t>
      </w:r>
      <w:r w:rsidR="00E931A6">
        <w:t xml:space="preserve">artial </w:t>
      </w:r>
      <w:r w:rsidR="00766153">
        <w:t>R</w:t>
      </w:r>
      <w:r w:rsidR="00E931A6">
        <w:t>eview.</w:t>
      </w:r>
      <w:r w:rsidR="00A77A70">
        <w:t xml:space="preserve"> </w:t>
      </w:r>
      <w:r w:rsidR="00717685">
        <w:t>I nonetheless use this section of my Proof of Evidence to support the Council’s position and respond to those elements I understand that the Appellant relies upon for its case</w:t>
      </w:r>
      <w:r w:rsidR="008410E0">
        <w:t>. I therefore structure the remainder of this section as follows</w:t>
      </w:r>
      <w:r w:rsidR="00717685">
        <w:t>:</w:t>
      </w:r>
    </w:p>
    <w:p w14:paraId="309920CD" w14:textId="3F0439C2" w:rsidR="00D50A13" w:rsidRDefault="008410E0" w:rsidP="00D50A13">
      <w:pPr>
        <w:pStyle w:val="SPRU41Paragraphs"/>
        <w:numPr>
          <w:ilvl w:val="1"/>
          <w:numId w:val="14"/>
        </w:numPr>
      </w:pPr>
      <w:r>
        <w:t>I provide c</w:t>
      </w:r>
      <w:r w:rsidR="00D50A13">
        <w:t xml:space="preserve">larification of the housing requirement in adopted strategic policies and their </w:t>
      </w:r>
      <w:r>
        <w:t xml:space="preserve">status and </w:t>
      </w:r>
      <w:r w:rsidR="00D50A13">
        <w:t>operation</w:t>
      </w:r>
      <w:r w:rsidR="0031363C">
        <w:t xml:space="preserve"> in Cherwell District</w:t>
      </w:r>
    </w:p>
    <w:p w14:paraId="05DEA92F" w14:textId="2C4D1ED7" w:rsidR="00D50A13" w:rsidRDefault="008410E0" w:rsidP="00D50A13">
      <w:pPr>
        <w:pStyle w:val="SPRU41Paragraphs"/>
        <w:numPr>
          <w:ilvl w:val="1"/>
          <w:numId w:val="14"/>
        </w:numPr>
      </w:pPr>
      <w:r>
        <w:t>I clarify t</w:t>
      </w:r>
      <w:r w:rsidR="00D50A13">
        <w:t>he operation of NPPF2021 paragraph 74</w:t>
      </w:r>
      <w:r>
        <w:t xml:space="preserve"> with particular emphasis </w:t>
      </w:r>
      <w:r w:rsidR="00EB248B">
        <w:t xml:space="preserve">that it cannot change the status of the adopted development plan, and that it contains a </w:t>
      </w:r>
      <w:r w:rsidR="00F528C6">
        <w:t xml:space="preserve">clear reference to </w:t>
      </w:r>
      <w:r w:rsidR="00F528C6" w:rsidRPr="00F528C6">
        <w:rPr>
          <w:i/>
          <w:iCs/>
        </w:rPr>
        <w:t>policies</w:t>
      </w:r>
      <w:r w:rsidR="00F528C6">
        <w:t xml:space="preserve"> (plural)</w:t>
      </w:r>
    </w:p>
    <w:p w14:paraId="2493E21A" w14:textId="24FF5940" w:rsidR="00EC20E4" w:rsidRDefault="00F528C6" w:rsidP="00D50A13">
      <w:pPr>
        <w:pStyle w:val="SPRU41Paragraphs"/>
        <w:numPr>
          <w:ilvl w:val="1"/>
          <w:numId w:val="14"/>
        </w:numPr>
      </w:pPr>
      <w:r>
        <w:lastRenderedPageBreak/>
        <w:t>I summarise n</w:t>
      </w:r>
      <w:r w:rsidR="00EC20E4">
        <w:t xml:space="preserve">ational policy in relation to plan-making and </w:t>
      </w:r>
      <w:r>
        <w:t xml:space="preserve">provision for </w:t>
      </w:r>
      <w:r w:rsidR="00EC20E4">
        <w:t xml:space="preserve">unmet </w:t>
      </w:r>
      <w:proofErr w:type="gramStart"/>
      <w:r w:rsidR="00EC20E4">
        <w:t>needs</w:t>
      </w:r>
      <w:proofErr w:type="gramEnd"/>
    </w:p>
    <w:p w14:paraId="290EC38E" w14:textId="4D33289A" w:rsidR="00B72052" w:rsidRDefault="00B72052" w:rsidP="00D50A13">
      <w:pPr>
        <w:pStyle w:val="SPRU41Paragraphs"/>
        <w:numPr>
          <w:ilvl w:val="1"/>
          <w:numId w:val="14"/>
        </w:numPr>
      </w:pPr>
      <w:r>
        <w:t xml:space="preserve">I respond to the Grove Appeal Decision relied upon by the Appellants and distinguish between the circumstances </w:t>
      </w:r>
      <w:r w:rsidR="0064580D">
        <w:t>in Cherwell District and Vale of White Horse District</w:t>
      </w:r>
    </w:p>
    <w:p w14:paraId="60E26D71" w14:textId="51DD122A" w:rsidR="006924DB" w:rsidRDefault="00F528C6" w:rsidP="00D50A13">
      <w:pPr>
        <w:pStyle w:val="SPRU41Paragraphs"/>
        <w:numPr>
          <w:ilvl w:val="1"/>
          <w:numId w:val="14"/>
        </w:numPr>
      </w:pPr>
      <w:r>
        <w:t>Within Section xx of my Proof of Evidence I respond directly to the Appellant’s reliance upon the Housing Delivery Test to support its case</w:t>
      </w:r>
    </w:p>
    <w:p w14:paraId="1CF7224B" w14:textId="174D909A" w:rsidR="00796A33" w:rsidRDefault="0064580D" w:rsidP="002455BA">
      <w:pPr>
        <w:pStyle w:val="aSPRUSubHeadings"/>
        <w:numPr>
          <w:ilvl w:val="0"/>
          <w:numId w:val="47"/>
        </w:numPr>
      </w:pPr>
      <w:bookmarkStart w:id="56" w:name="_Toc134515178"/>
      <w:r>
        <w:t>The Housing Requirement in Adopted Strategic Policies</w:t>
      </w:r>
      <w:bookmarkEnd w:id="56"/>
    </w:p>
    <w:p w14:paraId="723702A9" w14:textId="77777777" w:rsidR="00796A33" w:rsidRDefault="00796A33" w:rsidP="0000299B">
      <w:pPr>
        <w:pStyle w:val="SPRU51Paragraphs"/>
        <w:ind w:left="709"/>
      </w:pPr>
      <w:r>
        <w:t>The development plan for Cherwell contains three strategic policies relevant for consideration under paragraph 74 of the NPPF2021:</w:t>
      </w:r>
    </w:p>
    <w:p w14:paraId="36895A44" w14:textId="77777777" w:rsidR="00D90083" w:rsidRDefault="00796A33" w:rsidP="00796A33">
      <w:pPr>
        <w:pStyle w:val="SPRU41Paragraphs"/>
        <w:numPr>
          <w:ilvl w:val="2"/>
          <w:numId w:val="33"/>
        </w:numPr>
      </w:pPr>
      <w:r w:rsidRPr="0021610F">
        <w:rPr>
          <w:b/>
          <w:bCs/>
        </w:rPr>
        <w:t>Policy BSC1</w:t>
      </w:r>
      <w:r>
        <w:t xml:space="preserve"> from the</w:t>
      </w:r>
      <w:r w:rsidRPr="00111BBB">
        <w:t xml:space="preserve"> Cherwell Local Plan (Part 1) (adopted July 2015) </w:t>
      </w:r>
      <w:r>
        <w:t xml:space="preserve">which has been found to require updating for the purposes of providing the housing requirement in adopted strategic policies in the NPPF2021 paragraph 74 and footnote 39. </w:t>
      </w:r>
    </w:p>
    <w:p w14:paraId="436E09ED" w14:textId="5724B6E5" w:rsidR="00796A33" w:rsidRDefault="00796A33" w:rsidP="00D90083">
      <w:pPr>
        <w:pStyle w:val="SPRU41Paragraphs"/>
        <w:numPr>
          <w:ilvl w:val="0"/>
          <w:numId w:val="0"/>
        </w:numPr>
        <w:ind w:left="2340"/>
      </w:pPr>
      <w:r>
        <w:t>T</w:t>
      </w:r>
      <w:r w:rsidRPr="00111BBB">
        <w:t>he policy of the NPPF at paragraph 74 and footnote 39, to apply local housing need where the strategic policies are more than five years old and to use the standard method</w:t>
      </w:r>
      <w:r>
        <w:t xml:space="preserve"> for Cherwell District</w:t>
      </w:r>
      <w:r w:rsidRPr="00111BBB">
        <w:t>, is therefore applicable</w:t>
      </w:r>
      <w:r>
        <w:t>.</w:t>
      </w:r>
    </w:p>
    <w:p w14:paraId="34E8941F" w14:textId="77777777" w:rsidR="00D90083" w:rsidRDefault="00D90083" w:rsidP="00D90083">
      <w:pPr>
        <w:pStyle w:val="SPRU41Paragraphs"/>
        <w:numPr>
          <w:ilvl w:val="0"/>
          <w:numId w:val="0"/>
        </w:numPr>
        <w:ind w:left="2340"/>
      </w:pPr>
    </w:p>
    <w:p w14:paraId="3C7CBB39" w14:textId="77777777" w:rsidR="00D90083" w:rsidRDefault="00796A33" w:rsidP="00796A33">
      <w:pPr>
        <w:pStyle w:val="SPRU41Paragraphs"/>
        <w:numPr>
          <w:ilvl w:val="2"/>
          <w:numId w:val="33"/>
        </w:numPr>
      </w:pPr>
      <w:r w:rsidRPr="0021610F">
        <w:rPr>
          <w:b/>
          <w:bCs/>
        </w:rPr>
        <w:t>Policies PR1 and PR12a</w:t>
      </w:r>
      <w:r w:rsidRPr="00111BBB">
        <w:t xml:space="preserve"> </w:t>
      </w:r>
      <w:r>
        <w:t xml:space="preserve">of the </w:t>
      </w:r>
      <w:r w:rsidRPr="00111BBB">
        <w:t>‘Cherwell Local Plan 2011-2031 (Part 1) Partial Review- Oxford’s Unmet Housing Need’ or “Partial Review”</w:t>
      </w:r>
      <w:r>
        <w:t xml:space="preserve"> </w:t>
      </w:r>
      <w:r w:rsidRPr="00111BBB">
        <w:t>respectively specify the contribution towards unmet needs (4,400 dwellings) and arrangements for maintaining housing land supply to meet these needs.</w:t>
      </w:r>
      <w:r>
        <w:t xml:space="preserve"> These policies are less than five years old. </w:t>
      </w:r>
    </w:p>
    <w:p w14:paraId="1B9882BE" w14:textId="4E58B74C" w:rsidR="00796A33" w:rsidRDefault="00796A33" w:rsidP="00D90083">
      <w:pPr>
        <w:pStyle w:val="SPRU41Paragraphs"/>
        <w:numPr>
          <w:ilvl w:val="0"/>
          <w:numId w:val="0"/>
        </w:numPr>
        <w:ind w:left="2340"/>
      </w:pPr>
      <w:r>
        <w:t>T</w:t>
      </w:r>
      <w:r w:rsidRPr="00037413">
        <w:t>he policy of the NPPF at paragraph 74 and footnote 39, to apply local housing need where the strategic policies are more than five years old and to use the standard method, is therefore not applicable to the housing requirement in the adopted strategic policies of the Partial Review.</w:t>
      </w:r>
    </w:p>
    <w:p w14:paraId="0BAAA292" w14:textId="77777777" w:rsidR="000511F8" w:rsidRDefault="000511F8" w:rsidP="0000299B">
      <w:pPr>
        <w:pStyle w:val="SPRU51Paragraphs"/>
        <w:ind w:left="709" w:hanging="709"/>
      </w:pPr>
      <w:r>
        <w:t>The Maintaining Housing Supply chapter of the Partial Review sets out how the plan is intended to be monitored and is supported by Policies PR12a and PR12b. It states (at paragraphs 5.159 – 5.160):</w:t>
      </w:r>
    </w:p>
    <w:p w14:paraId="2C2B6A05" w14:textId="77777777" w:rsidR="000511F8" w:rsidRPr="00F45BF6" w:rsidRDefault="000511F8" w:rsidP="00D90083">
      <w:pPr>
        <w:pStyle w:val="SPRUQuotations"/>
        <w:ind w:left="1440"/>
        <w:jc w:val="both"/>
      </w:pPr>
      <w:r w:rsidRPr="00F45BF6">
        <w:t xml:space="preserve">“The Partial Review of the Local Plan is a focused Plan to help meet the identified unmet needs of Oxford. We have developed a specific strategy to meet Oxford’s needs; to fulfil our objectives and achieve a defined vision that does not undermine the delivery of the separate strategy for meeting Cherwell’s needs. </w:t>
      </w:r>
    </w:p>
    <w:p w14:paraId="188F1763" w14:textId="77777777" w:rsidR="000511F8" w:rsidRPr="00F45BF6" w:rsidRDefault="000511F8" w:rsidP="00D90083">
      <w:pPr>
        <w:pStyle w:val="SPRUQuotations"/>
        <w:ind w:left="1440"/>
        <w:jc w:val="both"/>
      </w:pPr>
      <w:r w:rsidRPr="00F45BF6">
        <w:t>Consequently, it is appropriate and necessary that the monitoring of housing supply for Oxford’s needs is undertaken separately from that for Cherwell and only housing supply that meets the vision and objectives for Oxford is approved.”</w:t>
      </w:r>
    </w:p>
    <w:p w14:paraId="4480F513" w14:textId="77777777" w:rsidR="000511F8" w:rsidRDefault="000511F8" w:rsidP="0000299B">
      <w:pPr>
        <w:pStyle w:val="SPRU51Paragraphs"/>
        <w:ind w:left="709" w:hanging="709"/>
      </w:pPr>
      <w:r>
        <w:t>The intention to disaggregate the land supply is set out in Policy 12a, which states:</w:t>
      </w:r>
    </w:p>
    <w:p w14:paraId="2246B804" w14:textId="77777777" w:rsidR="000511F8" w:rsidRPr="00F45BF6" w:rsidRDefault="000511F8" w:rsidP="00A84CA9">
      <w:pPr>
        <w:pStyle w:val="SPRUQuotations"/>
        <w:ind w:left="1440"/>
      </w:pPr>
      <w:r w:rsidRPr="00F45BF6">
        <w:t>“The Council will manage the supply of housing land for the purpose of constructing 4,400 homes to meet Oxford’s needs. A separate five-year housing land supply will be maintained for meeting Oxford’s needs.”</w:t>
      </w:r>
    </w:p>
    <w:p w14:paraId="0E0E2A54" w14:textId="77777777" w:rsidR="000511F8" w:rsidRPr="000511F8" w:rsidRDefault="000511F8" w:rsidP="0000299B">
      <w:pPr>
        <w:pStyle w:val="SPRU51Paragraphs"/>
        <w:ind w:left="709" w:hanging="709"/>
      </w:pPr>
      <w:r w:rsidRPr="000511F8">
        <w:t xml:space="preserve">I also note that the Partial Review examination Inspector, in paragraph 148 of his report, endorsed this approach where it ensures specific regard to the performance of the proposed strategy in response to addressing Oxford’s unmet needs: </w:t>
      </w:r>
    </w:p>
    <w:p w14:paraId="507A86D2" w14:textId="77777777" w:rsidR="000511F8" w:rsidRPr="00F45BF6" w:rsidRDefault="000511F8" w:rsidP="00D90083">
      <w:pPr>
        <w:pStyle w:val="SPRUQuotations"/>
        <w:ind w:left="1440"/>
        <w:jc w:val="both"/>
      </w:pPr>
      <w:r>
        <w:t>“</w:t>
      </w:r>
      <w:r w:rsidRPr="00F45BF6">
        <w:t xml:space="preserve">Policy PR12a is concerned with delivery and the maintenance of housing supply. I can see the sense of the Council wanting to separate out their commitment to meeting Oxford’s unmet needs from their own commitments in the Local Plan 2015, as set out </w:t>
      </w:r>
      <w:r w:rsidRPr="00F45BF6">
        <w:lastRenderedPageBreak/>
        <w:t xml:space="preserve">in the first paragraph of the policy. That would avoid the situation where meeting Oxford’s unmet needs could be disregarded because of </w:t>
      </w:r>
      <w:proofErr w:type="gramStart"/>
      <w:r w:rsidRPr="00F45BF6">
        <w:t>better than expected</w:t>
      </w:r>
      <w:proofErr w:type="gramEnd"/>
      <w:r w:rsidRPr="00F45BF6">
        <w:t xml:space="preserve"> performance on the Local Plan 2015 Cherwell commitments, or vice versa.</w:t>
      </w:r>
      <w:r>
        <w:t>”</w:t>
      </w:r>
    </w:p>
    <w:p w14:paraId="2EEE72D9" w14:textId="77777777" w:rsidR="000511F8" w:rsidRPr="00D25E70" w:rsidRDefault="000511F8" w:rsidP="0000299B">
      <w:pPr>
        <w:pStyle w:val="SPRU51Paragraphs"/>
        <w:ind w:left="709" w:hanging="709"/>
      </w:pPr>
      <w:r w:rsidRPr="00D25E70">
        <w:t xml:space="preserve">The current situation, on the Council’s case, is that absent a </w:t>
      </w:r>
      <w:proofErr w:type="gramStart"/>
      <w:r w:rsidRPr="00D25E70">
        <w:t>five year</w:t>
      </w:r>
      <w:proofErr w:type="gramEnd"/>
      <w:r w:rsidRPr="00D25E70">
        <w:t xml:space="preserve"> housing land supply monitored separately from within those sites making a contribution towards part of Oxford’s unmet needs the tilted balance would be engaged for the purposes of decision-taking against the policies and allocations provided to meet those needs within the Partial Review. However, it would not be engaged in the remainder of Cherwell District where the standard method is applicable to the requirement against which supply should be assessed. </w:t>
      </w:r>
    </w:p>
    <w:p w14:paraId="0CB8C993" w14:textId="77777777" w:rsidR="000511F8" w:rsidRPr="00D25E70" w:rsidRDefault="000511F8" w:rsidP="0000299B">
      <w:pPr>
        <w:pStyle w:val="SPRU51Paragraphs"/>
        <w:ind w:left="709" w:hanging="709"/>
      </w:pPr>
      <w:r w:rsidRPr="00D25E70">
        <w:t xml:space="preserve">To include the policies and allocations specifically identified to meet part of Oxford’s unmet needs within the assessment of supply against requirements within a single figure for the </w:t>
      </w:r>
      <w:proofErr w:type="gramStart"/>
      <w:r w:rsidRPr="00D25E70">
        <w:t>District</w:t>
      </w:r>
      <w:proofErr w:type="gramEnd"/>
      <w:r w:rsidRPr="00D25E70">
        <w:t xml:space="preserve"> would mean that the tilted balance would be engaged throughout the District giving a presumption in favour of sustainable development in all areas. </w:t>
      </w:r>
    </w:p>
    <w:p w14:paraId="4988519E" w14:textId="2819BE9B" w:rsidR="0064580D" w:rsidRDefault="000511F8" w:rsidP="0000299B">
      <w:pPr>
        <w:pStyle w:val="SPRU51Paragraphs"/>
        <w:ind w:left="709" w:hanging="709"/>
      </w:pPr>
      <w:r>
        <w:t xml:space="preserve">That would materially undermine the spatial strategy of the Council as such an approach would potentially lead to a response to increase supply across the </w:t>
      </w:r>
      <w:proofErr w:type="gramStart"/>
      <w:r>
        <w:t>District</w:t>
      </w:r>
      <w:proofErr w:type="gramEnd"/>
      <w:r>
        <w:t xml:space="preserve"> due to under-delivery against policies and allocations to provide for unmet need in Oxford in the most accessible and well-related locations in the District as identified for this purpose. This would ignore the objectives for the Partial Review and provision to contribute towards part of Oxford’s unmet needs.</w:t>
      </w:r>
    </w:p>
    <w:p w14:paraId="58DEB0F1" w14:textId="7CA19662" w:rsidR="00796A33" w:rsidRDefault="000511F8" w:rsidP="00796A33">
      <w:pPr>
        <w:pStyle w:val="aSPRUSubHeadings"/>
      </w:pPr>
      <w:bookmarkStart w:id="57" w:name="_Toc134515179"/>
      <w:r>
        <w:t xml:space="preserve">The </w:t>
      </w:r>
      <w:r w:rsidR="00796A33">
        <w:t xml:space="preserve">Application of National Policy in NPPF2021 Paragraph </w:t>
      </w:r>
      <w:r w:rsidR="00D866B3">
        <w:t>74</w:t>
      </w:r>
      <w:bookmarkEnd w:id="57"/>
    </w:p>
    <w:p w14:paraId="5624DEBA" w14:textId="61B861F5" w:rsidR="007C0CE2" w:rsidRDefault="007C0CE2" w:rsidP="0000299B">
      <w:pPr>
        <w:pStyle w:val="SPRU51Paragraphs"/>
        <w:ind w:left="709" w:hanging="709"/>
      </w:pPr>
      <w:r>
        <w:t xml:space="preserve">Paragraph </w:t>
      </w:r>
      <w:r w:rsidR="00B8641B">
        <w:t>74</w:t>
      </w:r>
      <w:r>
        <w:t xml:space="preserve"> of the </w:t>
      </w:r>
      <w:r w:rsidR="00B8641B">
        <w:t xml:space="preserve">NPPF2021 </w:t>
      </w:r>
      <w:r>
        <w:t>has two limbs</w:t>
      </w:r>
      <w:r w:rsidR="008C0E8C">
        <w:t xml:space="preserve">. The </w:t>
      </w:r>
      <w:r w:rsidR="008C0E8C" w:rsidRPr="00F32E69">
        <w:t xml:space="preserve">first limb </w:t>
      </w:r>
      <w:r w:rsidR="008C0E8C">
        <w:t>requires identification of</w:t>
      </w:r>
      <w:r w:rsidR="008C0E8C" w:rsidRPr="00F32E69">
        <w:t xml:space="preserve"> the housing requirement set out in adopted strategic policies for the purposes of paragraph</w:t>
      </w:r>
      <w:r w:rsidR="008C0E8C">
        <w:t xml:space="preserve"> </w:t>
      </w:r>
      <w:r w:rsidR="00B8641B">
        <w:t>74</w:t>
      </w:r>
      <w:r w:rsidR="008C0E8C" w:rsidRPr="00F32E69">
        <w:t>.</w:t>
      </w:r>
      <w:r w:rsidR="008C0E8C">
        <w:t xml:space="preserve"> </w:t>
      </w:r>
    </w:p>
    <w:p w14:paraId="78EBFA92" w14:textId="77777777" w:rsidR="002C2E51" w:rsidRDefault="00FB2A34" w:rsidP="0000299B">
      <w:pPr>
        <w:pStyle w:val="SPRU51Paragraphs"/>
        <w:ind w:left="709" w:hanging="709"/>
      </w:pPr>
      <w:r>
        <w:t xml:space="preserve">Paragraph </w:t>
      </w:r>
      <w:r w:rsidR="00B8641B">
        <w:t>74</w:t>
      </w:r>
      <w:r>
        <w:t xml:space="preserve"> of the NPPF, not being the adopted development plan, cannot and does not seek to change the housing requirement set out in the adopted development plan.</w:t>
      </w:r>
      <w:r w:rsidRPr="00F32E69">
        <w:t xml:space="preserve"> </w:t>
      </w:r>
      <w:r w:rsidR="00D54D82">
        <w:t>B</w:t>
      </w:r>
      <w:r>
        <w:t>y referring to</w:t>
      </w:r>
      <w:r w:rsidRPr="00F32E69">
        <w:t xml:space="preserve"> </w:t>
      </w:r>
      <w:r>
        <w:t>“</w:t>
      </w:r>
      <w:r w:rsidRPr="00F32E69">
        <w:rPr>
          <w:i/>
          <w:iCs/>
        </w:rPr>
        <w:t>adopted strategic policies</w:t>
      </w:r>
      <w:r>
        <w:t>” in the</w:t>
      </w:r>
      <w:r w:rsidRPr="00F32E69">
        <w:t xml:space="preserve"> plural</w:t>
      </w:r>
      <w:r w:rsidR="00FB268C">
        <w:t>,</w:t>
      </w:r>
      <w:r>
        <w:t xml:space="preserve"> </w:t>
      </w:r>
      <w:r w:rsidR="00D54D82">
        <w:t xml:space="preserve">the NPPF </w:t>
      </w:r>
      <w:r>
        <w:t>contemplates that regard may need to be had to more than one strategic policy</w:t>
      </w:r>
      <w:r w:rsidRPr="00F32E69">
        <w:t>.</w:t>
      </w:r>
    </w:p>
    <w:p w14:paraId="49993D09" w14:textId="77777777" w:rsidR="00796A33" w:rsidRDefault="002C2E51" w:rsidP="0000299B">
      <w:pPr>
        <w:pStyle w:val="SPRU51Paragraphs"/>
        <w:ind w:left="709" w:hanging="709"/>
      </w:pPr>
      <w:r>
        <w:t>Paragraph 74 of the NPPF2021 does not prejudice the flexibility with which relevant strategic policies might be applied for the purposes of applying and assessing deliverable supply against the housing requirement. This is necessarily the case in order that the national policy requirement for the assessment of housing land supply does not hinder support elsewhere in national policy for either</w:t>
      </w:r>
      <w:r w:rsidR="00796A33">
        <w:t>:</w:t>
      </w:r>
    </w:p>
    <w:p w14:paraId="15DA91A6" w14:textId="7D1252AF" w:rsidR="00796A33" w:rsidRDefault="002C2E51" w:rsidP="00796A33">
      <w:pPr>
        <w:pStyle w:val="SPRU41Paragraphs"/>
        <w:numPr>
          <w:ilvl w:val="1"/>
          <w:numId w:val="14"/>
        </w:numPr>
      </w:pPr>
      <w:r>
        <w:t>joint plan-making arrangements</w:t>
      </w:r>
      <w:r w:rsidR="00796A33">
        <w:t>;</w:t>
      </w:r>
      <w:r>
        <w:t xml:space="preserve"> or </w:t>
      </w:r>
    </w:p>
    <w:p w14:paraId="0F74049C" w14:textId="419F4303" w:rsidR="007055F2" w:rsidRDefault="002C2E51" w:rsidP="00796A33">
      <w:pPr>
        <w:pStyle w:val="SPRU41Paragraphs"/>
        <w:numPr>
          <w:ilvl w:val="1"/>
          <w:numId w:val="14"/>
        </w:numPr>
      </w:pPr>
      <w:r>
        <w:t>where authorities are required to consider contributions towards needs that cannot be met in neighbouring areas</w:t>
      </w:r>
      <w:r w:rsidR="007055F2">
        <w:t xml:space="preserve"> and provide for these needs in a sustainable way</w:t>
      </w:r>
      <w:r>
        <w:t>.</w:t>
      </w:r>
      <w:r w:rsidR="00035D82">
        <w:t xml:space="preserve"> </w:t>
      </w:r>
    </w:p>
    <w:p w14:paraId="4A9DD339" w14:textId="0C369859" w:rsidR="00035D82" w:rsidRDefault="00035D82" w:rsidP="0000299B">
      <w:pPr>
        <w:pStyle w:val="SPRU51Paragraphs"/>
        <w:ind w:left="709" w:hanging="709"/>
      </w:pPr>
      <w:r>
        <w:t>The relevant components of the housing requirement in adopted strategic policies may be adopted at different times, across different development plans and subject to different conclusions in terms of how supply should be assessed. Paragraph 74 of the NPPF2021 does not state that the housing requirement in adopted strategic policies must be identified based on the sum of all relevant components</w:t>
      </w:r>
      <w:r w:rsidR="00A76C47">
        <w:t>.</w:t>
      </w:r>
      <w:r>
        <w:t xml:space="preserve"> </w:t>
      </w:r>
      <w:r w:rsidR="00A76C47">
        <w:t xml:space="preserve">Neither does paragraph 74 state </w:t>
      </w:r>
      <w:r>
        <w:t>that one set of figures within (or across) given policies should take precedence.</w:t>
      </w:r>
    </w:p>
    <w:p w14:paraId="1A9C6B4C" w14:textId="77777777" w:rsidR="00E41F25" w:rsidRDefault="00035D82" w:rsidP="0000299B">
      <w:pPr>
        <w:pStyle w:val="SPRU51Paragraphs"/>
        <w:ind w:left="709" w:hanging="709"/>
      </w:pPr>
      <w:r>
        <w:t xml:space="preserve">Any such reading of paragraph 74 would </w:t>
      </w:r>
      <w:r w:rsidR="007055F2">
        <w:t>be inconsistent with the relevant legislative framework</w:t>
      </w:r>
      <w:r w:rsidR="00E41F25">
        <w:t xml:space="preserve">. </w:t>
      </w:r>
      <w:r w:rsidR="00D936A9">
        <w:t>Part 8, Section 34 (3) of The Town and Country Planning (Local Planning) (England) Regulations 2012 require</w:t>
      </w:r>
      <w:r w:rsidR="00E41F25">
        <w:t>s</w:t>
      </w:r>
      <w:r w:rsidR="00D936A9">
        <w:t xml:space="preserve"> that: </w:t>
      </w:r>
    </w:p>
    <w:p w14:paraId="2D347827" w14:textId="752E7886" w:rsidR="00E41F25" w:rsidRPr="00796A33" w:rsidRDefault="00D936A9" w:rsidP="00D90083">
      <w:pPr>
        <w:pStyle w:val="SPRUQuotations"/>
        <w:ind w:left="1440"/>
        <w:jc w:val="both"/>
      </w:pPr>
      <w:r w:rsidRPr="00796A33">
        <w:t xml:space="preserve">“(3) Where a policy specified in a local plan specifies an annual number, or a number relating to any other period of net additional dwellings or net additional affordable dwellings in any part of the local planning authority’s area, the local planning authority’s monitoring report must specify the relevant number for the part of the local </w:t>
      </w:r>
      <w:r w:rsidRPr="00796A33">
        <w:lastRenderedPageBreak/>
        <w:t>planning authority’s area concerned</w:t>
      </w:r>
      <w:r w:rsidR="00E41F25" w:rsidRPr="00796A33">
        <w:t xml:space="preserve"> </w:t>
      </w:r>
      <w:r w:rsidRPr="00796A33">
        <w:t xml:space="preserve">— </w:t>
      </w:r>
    </w:p>
    <w:p w14:paraId="3AF27CB3" w14:textId="03A6B32D" w:rsidR="00E41F25" w:rsidRPr="00796A33" w:rsidRDefault="00D936A9" w:rsidP="00A84CA9">
      <w:pPr>
        <w:pStyle w:val="SPRUQuotations"/>
        <w:ind w:left="1457" w:firstLine="703"/>
      </w:pPr>
      <w:r w:rsidRPr="00796A33">
        <w:t xml:space="preserve">(a) in the period in respect of which the report is made, and </w:t>
      </w:r>
    </w:p>
    <w:p w14:paraId="63B9ABD2" w14:textId="7DCCF57B" w:rsidR="00D936A9" w:rsidRPr="00E41F25" w:rsidRDefault="00D936A9" w:rsidP="00A84CA9">
      <w:pPr>
        <w:pStyle w:val="SPRUQuotations"/>
        <w:ind w:left="1457" w:firstLine="703"/>
      </w:pPr>
      <w:r w:rsidRPr="00796A33">
        <w:t xml:space="preserve">(b) since the policy was first published, </w:t>
      </w:r>
      <w:proofErr w:type="gramStart"/>
      <w:r w:rsidRPr="00796A33">
        <w:t>adopted</w:t>
      </w:r>
      <w:proofErr w:type="gramEnd"/>
      <w:r w:rsidRPr="00796A33">
        <w:t xml:space="preserve"> or approved.”</w:t>
      </w:r>
    </w:p>
    <w:p w14:paraId="7F4EAF4D" w14:textId="620A298C" w:rsidR="006B2CFC" w:rsidRDefault="00FB0BF6" w:rsidP="002110C5">
      <w:pPr>
        <w:pStyle w:val="aSPRUSubHeadings"/>
      </w:pPr>
      <w:bookmarkStart w:id="58" w:name="_Toc134515180"/>
      <w:r>
        <w:t>Provision for Unmet Housing Needs Through Plan-Making and Adopted Strategic Policies</w:t>
      </w:r>
      <w:bookmarkEnd w:id="58"/>
    </w:p>
    <w:p w14:paraId="1903200A" w14:textId="77777777" w:rsidR="00B709ED" w:rsidRPr="00111BBB" w:rsidRDefault="00B709ED" w:rsidP="0000299B">
      <w:pPr>
        <w:pStyle w:val="SPRU51Paragraphs"/>
        <w:ind w:left="709" w:hanging="709"/>
      </w:pPr>
      <w:r w:rsidRPr="00111BBB">
        <w:t xml:space="preserve">Contributions towards unmet needs are a creature of </w:t>
      </w:r>
      <w:r>
        <w:t>the development plan and an outcome from the preparation of strategic policies. These contributions</w:t>
      </w:r>
      <w:r w:rsidRPr="00111BBB">
        <w:t xml:space="preserve"> only result from testing as part of the development plan process. This results in their inclusion as part of the housing requirement(s) of adopted strategic policies for the purposes of the first limb of NPPF2021 paragraph 74. </w:t>
      </w:r>
    </w:p>
    <w:p w14:paraId="27F0D8CE" w14:textId="77777777" w:rsidR="00B709ED" w:rsidRDefault="00B709ED" w:rsidP="0000299B">
      <w:pPr>
        <w:pStyle w:val="SPRU51Paragraphs"/>
        <w:ind w:left="709" w:hanging="709"/>
      </w:pPr>
      <w:r>
        <w:t xml:space="preserve">The inclusion of contributions towards unmet needs is not assumed or expressly dealt within in national policy in NPPF2021 paragraph 74. </w:t>
      </w:r>
    </w:p>
    <w:p w14:paraId="5DBA2103" w14:textId="77777777" w:rsidR="00B709ED" w:rsidRDefault="00B709ED" w:rsidP="0000299B">
      <w:pPr>
        <w:pStyle w:val="SPRU51Paragraphs"/>
        <w:ind w:left="709" w:hanging="709"/>
      </w:pPr>
      <w:r>
        <w:t xml:space="preserve">Firstly, where the first limb of Paragraph 74 is engaged and the housing requirement in adopted strategic policies is used to assess supply this does not stipulate that any contribution towards unmet needs is to be assessed as part of an overall total. </w:t>
      </w:r>
    </w:p>
    <w:p w14:paraId="4891698C" w14:textId="77777777" w:rsidR="00B709ED" w:rsidRDefault="00B709ED" w:rsidP="0000299B">
      <w:pPr>
        <w:pStyle w:val="SPRU51Paragraphs"/>
        <w:ind w:left="709" w:hanging="709"/>
      </w:pPr>
      <w:r>
        <w:t xml:space="preserve">Secondly, Paragraph 74 provides no qualification for considering unmet needs where local housing need calculated using the standard method provides the requirement against which supply is assessed (i.e., where the second limb is engaged). </w:t>
      </w:r>
    </w:p>
    <w:p w14:paraId="320C1997" w14:textId="6DA7E280" w:rsidR="006B2CFC" w:rsidRPr="006B2CFC" w:rsidRDefault="006B2CFC" w:rsidP="0000299B">
      <w:pPr>
        <w:pStyle w:val="SPRU51Paragraphs"/>
        <w:ind w:left="709" w:hanging="709"/>
      </w:pPr>
      <w:r w:rsidRPr="006B2CFC">
        <w:t xml:space="preserve">National policy supports the plan-making process to achieve </w:t>
      </w:r>
      <w:r w:rsidR="007E2E08">
        <w:t>potential contributions to unmet needs</w:t>
      </w:r>
      <w:r w:rsidRPr="006B2CFC">
        <w:t xml:space="preserve"> where the outcome is to be reflected in adopted strategic policies that may take various forms and approaches (see NPPF2021 paragraph 17) and ultimately applicable to the housing requirement against which supply is assessed for the purposes of NPPF2021 paragraph 74.</w:t>
      </w:r>
    </w:p>
    <w:p w14:paraId="3B6B8679" w14:textId="77777777" w:rsidR="006B2CFC" w:rsidRDefault="006B2CFC" w:rsidP="0000299B">
      <w:pPr>
        <w:pStyle w:val="SPRU51Paragraphs"/>
        <w:ind w:left="709" w:hanging="709"/>
      </w:pPr>
      <w:r w:rsidRPr="006B2CFC">
        <w:t>Paragraph 11(b) (subject to criteria (</w:t>
      </w:r>
      <w:proofErr w:type="spellStart"/>
      <w:r w:rsidRPr="006B2CFC">
        <w:t>i</w:t>
      </w:r>
      <w:proofErr w:type="spellEnd"/>
      <w:r w:rsidRPr="006B2CFC">
        <w:t xml:space="preserve">) and (ii)) provides for the presumption for sustainable development in plan-making to prepare strategic policies that provide for any needs that cannot be met within neighbouring areas. </w:t>
      </w:r>
    </w:p>
    <w:p w14:paraId="0F9904D9" w14:textId="77777777" w:rsidR="006B2CFC" w:rsidRDefault="006B2CFC" w:rsidP="0000299B">
      <w:pPr>
        <w:pStyle w:val="SPRU51Paragraphs"/>
        <w:ind w:left="709" w:hanging="709"/>
      </w:pPr>
      <w:r w:rsidRPr="006B2CFC">
        <w:t xml:space="preserve">Paragraph 35 provides for the Examination of Plans and stipulates that unmet need should be accommodated as part of a positively prepared strategy consistent with the aims of sustainable development. </w:t>
      </w:r>
    </w:p>
    <w:p w14:paraId="153E8369" w14:textId="2712998A" w:rsidR="006B2CFC" w:rsidRPr="006B2CFC" w:rsidRDefault="006B2CFC" w:rsidP="0000299B">
      <w:pPr>
        <w:pStyle w:val="SPRU51Paragraphs"/>
        <w:ind w:left="709" w:hanging="709"/>
      </w:pPr>
      <w:r w:rsidRPr="006B2CFC">
        <w:t xml:space="preserve">Paragraph 61 stipulates that any needs that cannot be met within neighbouring areas should also be </w:t>
      </w:r>
      <w:proofErr w:type="gramStart"/>
      <w:r w:rsidRPr="006B2CFC">
        <w:t>taken into account</w:t>
      </w:r>
      <w:proofErr w:type="gramEnd"/>
      <w:r w:rsidRPr="006B2CFC">
        <w:t xml:space="preserve"> in establishing the amount of housing to be planned for as part of the preparation of strategic policies (see also PPG ID: 2a-010-20201216). </w:t>
      </w:r>
      <w:commentRangeStart w:id="59"/>
      <w:r w:rsidRPr="006B2CFC">
        <w:t>Paragraph 66 explains that the role of establishing a housing requirement for the whole of a strategic policy-making authority’s area is to show the extent to which needs (including unmet needs from neighbouring areas) can be met over the plan period.</w:t>
      </w:r>
      <w:commentRangeEnd w:id="59"/>
      <w:r w:rsidRPr="006B2CFC">
        <w:rPr>
          <w:rStyle w:val="CommentReference"/>
          <w:rFonts w:eastAsiaTheme="minorHAnsi"/>
          <w:sz w:val="22"/>
          <w:szCs w:val="24"/>
        </w:rPr>
        <w:commentReference w:id="59"/>
      </w:r>
    </w:p>
    <w:p w14:paraId="1A44068C" w14:textId="77777777" w:rsidR="006B2CFC" w:rsidRPr="006B2CFC" w:rsidRDefault="006B2CFC" w:rsidP="0000299B">
      <w:pPr>
        <w:pStyle w:val="SPRU51Paragraphs"/>
        <w:ind w:left="709" w:hanging="709"/>
      </w:pPr>
      <w:commentRangeStart w:id="60"/>
      <w:r w:rsidRPr="006B2CFC">
        <w:t>Support for this process is part of a plan-led approach to ensuring opportunities to increase the provision of land towards overall housing needs and significantly boost supply. Disregarding relevant strategic policies providing for the housing requirement in respect of those outcomes and applicable under the first limb of NPPF2021 paragraph 74 where they are less than five years old is a departure from the development plan, contrary to the objectives of national policy and would run country of the objectives of the Partial Review.</w:t>
      </w:r>
      <w:commentRangeEnd w:id="60"/>
      <w:r>
        <w:rPr>
          <w:rStyle w:val="CommentReference"/>
          <w:rFonts w:asciiTheme="minorHAnsi" w:eastAsiaTheme="minorHAnsi" w:hAnsiTheme="minorHAnsi" w:cstheme="minorBidi"/>
          <w:lang w:eastAsia="en-US"/>
        </w:rPr>
        <w:commentReference w:id="60"/>
      </w:r>
    </w:p>
    <w:p w14:paraId="229587AE" w14:textId="77777777" w:rsidR="00A7431F" w:rsidRDefault="00A7431F" w:rsidP="00A7431F">
      <w:pPr>
        <w:pStyle w:val="SPRU41Paragraphs"/>
        <w:numPr>
          <w:ilvl w:val="0"/>
          <w:numId w:val="0"/>
        </w:numPr>
        <w:ind w:left="737"/>
      </w:pPr>
    </w:p>
    <w:p w14:paraId="5B143CF2" w14:textId="3A889C07" w:rsidR="00741351" w:rsidRDefault="00741351" w:rsidP="00741351">
      <w:pPr>
        <w:pStyle w:val="aSPRUSubHeadings"/>
      </w:pPr>
      <w:bookmarkStart w:id="61" w:name="_Toc134515181"/>
      <w:r>
        <w:t>The Grove Appeal Decision</w:t>
      </w:r>
      <w:bookmarkEnd w:id="61"/>
    </w:p>
    <w:p w14:paraId="3272F6A4" w14:textId="77777777" w:rsidR="00741351" w:rsidRPr="00785846" w:rsidRDefault="00741351" w:rsidP="0000299B">
      <w:pPr>
        <w:pStyle w:val="SPRU51Paragraphs"/>
        <w:ind w:left="709" w:hanging="709"/>
      </w:pPr>
      <w:r w:rsidRPr="00785846">
        <w:t xml:space="preserve">The Appellant for this Appeal relies on the outcome of the inclusion of unmet needs as part of the requirement against which supply should be assessed in relation to the Grove Appeal Decision (APP/V3120/W/22/3310788). The Appellant does not address the point that as part </w:t>
      </w:r>
      <w:r w:rsidRPr="00785846">
        <w:lastRenderedPageBreak/>
        <w:t xml:space="preserve">of the Vale of White Horse District Council’s evidence to that Inquiry it expressly relied on the housing requirement in adopted strategic policies as its starting point and expressly stated that there.  </w:t>
      </w:r>
    </w:p>
    <w:p w14:paraId="7F6CCC8A" w14:textId="77777777" w:rsidR="00741351" w:rsidRPr="002110C5" w:rsidRDefault="00741351" w:rsidP="00D90083">
      <w:pPr>
        <w:pStyle w:val="SPRUQuotations"/>
        <w:ind w:left="1440"/>
        <w:jc w:val="both"/>
      </w:pPr>
      <w:r w:rsidRPr="002110C5">
        <w:t xml:space="preserve">3.33. The Vale of White Horse District Council has agreed to take on unmet from Oxford City Council, which was planned for in Local Plan Part 2 Core Policy 4a. Local Plan Part 2 is less than 5 years old so Core Policy 4a is not subject to this local plan review. </w:t>
      </w:r>
    </w:p>
    <w:p w14:paraId="0BEFB79B" w14:textId="77777777" w:rsidR="00741351" w:rsidRDefault="00741351" w:rsidP="00D90083">
      <w:pPr>
        <w:pStyle w:val="SPRUQuotations"/>
        <w:ind w:left="1440"/>
        <w:jc w:val="both"/>
      </w:pPr>
      <w:r w:rsidRPr="002110C5">
        <w:t>3.34. Therefore, it is necessary to make an adjustment to the local housing need to add the 183 dwellings per annum set out in Core Policy 4a to accommodate Oxford’s unmet need. Such an adjustment is not directly covered by advice in the NPPF, PPG or the Housing Delivery Test Measurement Rule Book, but the additional requirement in Core Policy 4a is less than 5 years old. There is nothing to indicate that the unmet need it addresses have fallen away. Indeed, the examination and adoption of the Oxford Local Plan in 2020 indicated this unmet need still existed.</w:t>
      </w:r>
    </w:p>
    <w:p w14:paraId="06637753" w14:textId="77777777" w:rsidR="00741351" w:rsidRPr="00785846" w:rsidRDefault="00741351" w:rsidP="0000299B">
      <w:pPr>
        <w:pStyle w:val="SPRU51Paragraphs"/>
        <w:ind w:left="709" w:hanging="709"/>
      </w:pPr>
      <w:r w:rsidRPr="00785846">
        <w:t>Inspector Bore likewise indicated that the treatment of contributions towards Oxford’s unmet needs was a function of the application of the strategic policies within the adopted Local Plan Part 2. Inspector Bore identified those parts of Core Policy 4a that apply separately (in relation to unmet needs) and against which use of the standard method is not applicable when assessing their function as part of the housing requirement in adopted strategic policies as distinct from those that require updating (Core Policy 4). Paragraph 12 of the Decision Letter summarises these conclusions:</w:t>
      </w:r>
    </w:p>
    <w:p w14:paraId="30E55F9A" w14:textId="77777777" w:rsidR="00741351" w:rsidRPr="00E41F25" w:rsidRDefault="00741351" w:rsidP="00741351">
      <w:pPr>
        <w:pStyle w:val="SPRUQuotations"/>
        <w:ind w:left="1440"/>
        <w:jc w:val="both"/>
      </w:pPr>
      <w:r w:rsidRPr="00E41F25">
        <w:t xml:space="preserve">12. Core Policy 4a of Local Plan Part 2 is only 3 years old and has not been reviewed. However, the housing requirement in that policy, apart from the City of Oxford allowance, is the same as that set out in Core Policy 4 of Local Plan Part 1. The provenance of Core Policy 4a and its derivation from the same figure and the same ageing statistical inputs and projections as Core Policy 4 are a clear indication that its housing requirement (apart from the Oxford allowance) is also out of date for the purposes of assessing the </w:t>
      </w:r>
      <w:proofErr w:type="gramStart"/>
      <w:r w:rsidRPr="00E41F25">
        <w:t>5 year</w:t>
      </w:r>
      <w:proofErr w:type="gramEnd"/>
      <w:r w:rsidRPr="00E41F25">
        <w:t xml:space="preserve"> housing land supply.</w:t>
      </w:r>
    </w:p>
    <w:p w14:paraId="1C649E29" w14:textId="77777777" w:rsidR="00741351" w:rsidRDefault="00741351" w:rsidP="00A7431F">
      <w:pPr>
        <w:pStyle w:val="SPRU41Paragraphs"/>
        <w:numPr>
          <w:ilvl w:val="0"/>
          <w:numId w:val="0"/>
        </w:numPr>
        <w:ind w:left="737"/>
      </w:pPr>
    </w:p>
    <w:p w14:paraId="068DA025" w14:textId="2EAF9FE3" w:rsidR="00EA70E9" w:rsidRDefault="00EA70E9" w:rsidP="0000299B">
      <w:pPr>
        <w:pStyle w:val="SPRU51Paragraphs"/>
        <w:ind w:left="709" w:hanging="709"/>
      </w:pPr>
      <w:r w:rsidRPr="006B2CFC">
        <w:t xml:space="preserve">The </w:t>
      </w:r>
      <w:r>
        <w:t xml:space="preserve">Cherwell Local Plan Part 1 </w:t>
      </w:r>
      <w:r w:rsidRPr="006B2CFC">
        <w:t xml:space="preserve">Partial Review was progressed and adopted with its focus on the specific purpose to contribute towards Oxford’s unmet needs. </w:t>
      </w:r>
    </w:p>
    <w:p w14:paraId="024562F8" w14:textId="77777777" w:rsidR="00EA70E9" w:rsidRDefault="00EA70E9" w:rsidP="0000299B">
      <w:pPr>
        <w:pStyle w:val="SPRU51Paragraphs"/>
        <w:ind w:left="709" w:hanging="709"/>
      </w:pPr>
      <w:r>
        <w:t xml:space="preserve">In this respect there is a material difference in the planned approach to meeting Oxford’s unmet needs between </w:t>
      </w:r>
      <w:proofErr w:type="spellStart"/>
      <w:r>
        <w:t>VoWH</w:t>
      </w:r>
      <w:proofErr w:type="spellEnd"/>
      <w:r>
        <w:t xml:space="preserve"> and CDC. It is relevant to identify why the circumstances for how the contribution towards Oxford’s unmet needs in the Vale of White Horse is distinct from that in Cherwell District.</w:t>
      </w:r>
    </w:p>
    <w:p w14:paraId="3AF2680F" w14:textId="77777777" w:rsidR="00EA70E9" w:rsidRPr="00D96F1D" w:rsidRDefault="00EA70E9" w:rsidP="0000299B">
      <w:pPr>
        <w:pStyle w:val="SPRU51Paragraphs"/>
        <w:ind w:left="709" w:hanging="709"/>
        <w:rPr>
          <w:b/>
          <w:bCs/>
        </w:rPr>
      </w:pPr>
      <w:r>
        <w:t>Within the VOWH Part 2 Local Plan this commits to delivering the 2,200 homes within the Abingdon on Thames and Oxford Fringe Sub-Areas. Additional allocations were made within this sub-area. However, the sites were not ring fenced.</w:t>
      </w:r>
    </w:p>
    <w:p w14:paraId="008EE87D" w14:textId="77777777" w:rsidR="00EA70E9" w:rsidRPr="00D96F1D" w:rsidRDefault="00EA70E9" w:rsidP="00435399">
      <w:pPr>
        <w:pStyle w:val="SPRUQuotations"/>
        <w:ind w:left="1440"/>
        <w:jc w:val="both"/>
        <w:rPr>
          <w:b/>
          <w:bCs/>
        </w:rPr>
      </w:pPr>
      <w:r w:rsidRPr="00D96F1D">
        <w:rPr>
          <w:rFonts w:cstheme="minorHAnsi"/>
          <w:sz w:val="24"/>
        </w:rPr>
        <w:t>“2.15.</w:t>
      </w:r>
      <w:r w:rsidRPr="00D96F1D">
        <w:rPr>
          <w:rFonts w:cstheme="minorHAnsi"/>
          <w:b/>
          <w:bCs/>
          <w:sz w:val="24"/>
        </w:rPr>
        <w:t xml:space="preserve"> </w:t>
      </w:r>
      <w:r w:rsidRPr="00D96F1D">
        <w:t>The Vale is not seeking to ring fence allocations for the purposes of addressing the agreed quantum of Oxford’s unmet need to be met within the Vale. The unmet need is met by a combination of the Part 1 strategic allocations and the Part 2 additional allocations.”</w:t>
      </w:r>
    </w:p>
    <w:p w14:paraId="0579B025" w14:textId="77777777" w:rsidR="00EA70E9" w:rsidRPr="00EA70E9" w:rsidRDefault="00EA70E9" w:rsidP="0000299B">
      <w:pPr>
        <w:pStyle w:val="SPRU51Paragraphs"/>
        <w:ind w:left="709" w:hanging="709"/>
      </w:pPr>
      <w:r w:rsidRPr="00EA70E9">
        <w:t xml:space="preserve">The plan goes on to expand on their approach and justifications (paragraphs 2.16-2.18) noting, “It is the case that whilst the sites listed above are allocated within the Part 1 plan with the primary intention of meeting the Vale’s own objectively assessed need for housing, the sites are also well located to provide for Oxford’s unmet housing need. Housing on these sites would be just as much available to those people falling into the category of Oxford’s </w:t>
      </w:r>
      <w:r w:rsidRPr="00EA70E9">
        <w:lastRenderedPageBreak/>
        <w:t>need as to those of the Vale</w:t>
      </w:r>
      <w:r w:rsidRPr="00EA70E9">
        <w:rPr>
          <w:rStyle w:val="FootnoteReference"/>
          <w:rFonts w:eastAsiaTheme="majorEastAsia"/>
          <w:vertAlign w:val="baseline"/>
        </w:rPr>
        <w:footnoteReference w:id="4"/>
      </w:r>
      <w:r w:rsidRPr="00EA70E9">
        <w:t>”.</w:t>
      </w:r>
    </w:p>
    <w:p w14:paraId="28673FC7" w14:textId="77777777" w:rsidR="00EA70E9" w:rsidRDefault="00EA70E9" w:rsidP="0000299B">
      <w:pPr>
        <w:pStyle w:val="SPRU51Paragraphs"/>
        <w:ind w:left="709" w:hanging="709"/>
      </w:pPr>
      <w:r>
        <w:t>Moreover, as set out in paragraph 2.25 the allocation of affordable housing was to be agreed and there were no specific rights or allocations.</w:t>
      </w:r>
    </w:p>
    <w:p w14:paraId="1C068D72" w14:textId="5E1884D2" w:rsidR="00EA70E9" w:rsidRDefault="00EA70E9" w:rsidP="0000299B">
      <w:pPr>
        <w:pStyle w:val="SPRU51Paragraphs"/>
        <w:ind w:left="709" w:hanging="709"/>
      </w:pPr>
      <w:r>
        <w:t xml:space="preserve">Unlike </w:t>
      </w:r>
      <w:proofErr w:type="spellStart"/>
      <w:r>
        <w:t>VoWH</w:t>
      </w:r>
      <w:proofErr w:type="spellEnd"/>
      <w:r>
        <w:t xml:space="preserve"> CDC planned to meet needs on specific, allocated sites. The rationale for the approach is clearly set out within the Partial Review and is the reason why Cherwell has </w:t>
      </w:r>
      <w:r>
        <w:rPr>
          <w:b/>
          <w:bCs/>
        </w:rPr>
        <w:t>not</w:t>
      </w:r>
      <w:r>
        <w:t xml:space="preserve"> added the unmet needs to the overall </w:t>
      </w:r>
      <w:r w:rsidR="00540FBE">
        <w:t>requirement.</w:t>
      </w:r>
      <w:r>
        <w:t xml:space="preserve"> </w:t>
      </w:r>
    </w:p>
    <w:p w14:paraId="426D01ED" w14:textId="77777777" w:rsidR="00EA70E9" w:rsidRDefault="00EA70E9" w:rsidP="00435399">
      <w:pPr>
        <w:pStyle w:val="SPRUQuotations"/>
        <w:ind w:left="1440"/>
        <w:jc w:val="both"/>
      </w:pPr>
      <w:r>
        <w:t xml:space="preserve">“1.4 The Partial Review provides a vision, </w:t>
      </w:r>
      <w:proofErr w:type="gramStart"/>
      <w:r>
        <w:t>objectives</w:t>
      </w:r>
      <w:proofErr w:type="gramEnd"/>
      <w:r>
        <w:t xml:space="preserve"> and specific policies for delivering additional development to help meet Oxford's housing needs. It seeks to do this in a way that will best serve Oxford's needs and provide benefits for existing communities in Cherwell and adjoining areas. The Partial Review is a positively prepared Plan</w:t>
      </w:r>
      <w:r w:rsidRPr="002D1A84">
        <w:rPr>
          <w:b/>
          <w:bCs/>
        </w:rPr>
        <w:t>. It avoids undermining the existing Local Plan's development strategy for meeting Cherwell's needs and detracting from the delivery of growth at Bicester, Banbury and former RAF Upper Heyford</w:t>
      </w:r>
      <w:r>
        <w:t>. The Plan aims to achieve sustainable development which will be deliverable by 2031.”</w:t>
      </w:r>
    </w:p>
    <w:p w14:paraId="3C48ED5A" w14:textId="77777777" w:rsidR="00E41F25" w:rsidRDefault="00E41F25" w:rsidP="00E41F25">
      <w:pPr>
        <w:pStyle w:val="SPRU41Paragraphs"/>
        <w:numPr>
          <w:ilvl w:val="0"/>
          <w:numId w:val="0"/>
        </w:numPr>
        <w:ind w:left="737"/>
      </w:pPr>
    </w:p>
    <w:p w14:paraId="4B2096B3" w14:textId="1837B7D2" w:rsidR="006B2CFC" w:rsidRDefault="00F84C50" w:rsidP="006B2CFC">
      <w:pPr>
        <w:pStyle w:val="aSPRUSubHeadings"/>
      </w:pPr>
      <w:bookmarkStart w:id="62" w:name="_Toc134515182"/>
      <w:r>
        <w:t>Summary of My Response to the Appellant’s Case</w:t>
      </w:r>
      <w:bookmarkEnd w:id="62"/>
    </w:p>
    <w:p w14:paraId="0DEBB6BA" w14:textId="77777777" w:rsidR="006B2CFC" w:rsidRDefault="006B2CFC" w:rsidP="0000299B">
      <w:pPr>
        <w:pStyle w:val="SPRU51Paragraphs"/>
        <w:ind w:left="709"/>
      </w:pPr>
      <w:r>
        <w:t xml:space="preserve">The Appellant’s case relies on a departure from the adopted development plan for the purposes of identifying the housing requirement against which supply should be assessed. This is not consistent with the operation of paragraph 74 of the NPPF2021 particularly in terms of the treatment of unmet housing need. </w:t>
      </w:r>
    </w:p>
    <w:p w14:paraId="6A7B44C9" w14:textId="77A4471E" w:rsidR="006B2CFC" w:rsidRDefault="006B2CFC" w:rsidP="0000299B">
      <w:pPr>
        <w:pStyle w:val="SPRU51Paragraphs"/>
        <w:ind w:left="709"/>
      </w:pPr>
      <w:r>
        <w:t xml:space="preserve">Changes to the approach in the adopted development plan in terms of the location, </w:t>
      </w:r>
      <w:proofErr w:type="gramStart"/>
      <w:r>
        <w:t>scale</w:t>
      </w:r>
      <w:proofErr w:type="gramEnd"/>
      <w:r>
        <w:t xml:space="preserve"> and approach regarding managing supply (in this case specifically towards Oxford’s unmet needs) are not appropriate for consideration as part of a S78 Appeal. This is a point summarised with the Leigh Sinton Appeal Decision in Malvern District</w:t>
      </w:r>
      <w:r>
        <w:rPr>
          <w:rStyle w:val="FootnoteReference"/>
        </w:rPr>
        <w:footnoteReference w:id="5"/>
      </w:r>
      <w:r>
        <w:t>. This relates to the circumstances of the South Worcestershire Joint Plan but makes relevant observations on national policy including:</w:t>
      </w:r>
    </w:p>
    <w:p w14:paraId="160AB6E7" w14:textId="77777777" w:rsidR="006B2CFC" w:rsidRDefault="006B2CFC" w:rsidP="00D90083">
      <w:pPr>
        <w:pStyle w:val="SPRU41Paragraphs"/>
        <w:numPr>
          <w:ilvl w:val="0"/>
          <w:numId w:val="54"/>
        </w:numPr>
      </w:pPr>
      <w:r>
        <w:t>The specific wording of NPPF2021 paragraph 74 does not stipulate a requirement for ‘each individual authority’ to identify a single housing requirement against which supply should be assessed. The context for the NPPF does not support the view that references to the specific wording used of ‘local planning authorities’, ‘authority’ and ‘their’ indicate that individual authorities are required to monitor their housing land supply (or do so against a single figure) (DL Paragraph 42)</w:t>
      </w:r>
    </w:p>
    <w:p w14:paraId="34177444" w14:textId="7F0316EC" w:rsidR="006B2CFC" w:rsidRDefault="006B2CFC" w:rsidP="00D90083">
      <w:pPr>
        <w:pStyle w:val="SPRU41Paragraphs"/>
        <w:numPr>
          <w:ilvl w:val="0"/>
          <w:numId w:val="54"/>
        </w:numPr>
      </w:pPr>
      <w:r>
        <w:t xml:space="preserve">The HDT is a separate measure from the identification of the requirement against which supply should be assessed. Within the above Appeal Decision this relates to the options to measure the HDT jointly or on a single authority </w:t>
      </w:r>
      <w:r w:rsidR="00540FBE">
        <w:t>basis,</w:t>
      </w:r>
      <w:r>
        <w:t xml:space="preserve"> but the same point is true for the application of the net unmet needs adjustment which differs between the two processes. The two processes, although linked to a certain degree, are still separate processes with one being backwards looking and the other forward looking (DL Paragraph 43).</w:t>
      </w:r>
    </w:p>
    <w:p w14:paraId="02D41EF6" w14:textId="64170DD8" w:rsidR="006B2CFC" w:rsidRDefault="006B2CFC" w:rsidP="00D90083">
      <w:pPr>
        <w:pStyle w:val="SPRU41Paragraphs"/>
        <w:numPr>
          <w:ilvl w:val="0"/>
          <w:numId w:val="54"/>
        </w:numPr>
      </w:pPr>
      <w:r>
        <w:t xml:space="preserve">The PPG does not cover every possible situation in respect of identifying how the housing requirement against which supply should be assessed is identified. In the circumstances of this </w:t>
      </w:r>
      <w:r w:rsidR="00540FBE">
        <w:t>Appeal,</w:t>
      </w:r>
      <w:r>
        <w:t xml:space="preserve"> it is pertinent that there are relatively few examples of Plans that make a </w:t>
      </w:r>
      <w:proofErr w:type="gramStart"/>
      <w:r>
        <w:t>contributions</w:t>
      </w:r>
      <w:proofErr w:type="gramEnd"/>
      <w:r>
        <w:t xml:space="preserve"> towards part of neighbours’ unmet needs. This may contribute towards why PPG does not expressly refer to how these are to be dealt </w:t>
      </w:r>
      <w:r>
        <w:lastRenderedPageBreak/>
        <w:t>with as part of the requirement against which supply is to be assessed (DL Paragraph 44 and supporting High Court case reference</w:t>
      </w:r>
      <w:r w:rsidRPr="00C73616">
        <w:t xml:space="preserve"> </w:t>
      </w:r>
      <w:r w:rsidRPr="00C73616">
        <w:rPr>
          <w:i/>
          <w:iCs/>
        </w:rPr>
        <w:t>Tewkesbury Borough Council v SSHCLG</w:t>
      </w:r>
      <w:r w:rsidRPr="00C73616">
        <w:t xml:space="preserve"> [2021] EWHC 2782 (Admin</w:t>
      </w:r>
      <w:proofErr w:type="gramStart"/>
      <w:r w:rsidRPr="00C73616">
        <w:t>)</w:t>
      </w:r>
      <w:r>
        <w:t xml:space="preserve"> .</w:t>
      </w:r>
      <w:proofErr w:type="gramEnd"/>
    </w:p>
    <w:p w14:paraId="1EB47712" w14:textId="77777777" w:rsidR="006B2CFC" w:rsidRDefault="006B2CFC" w:rsidP="00D90083">
      <w:pPr>
        <w:pStyle w:val="SPRU41Paragraphs"/>
        <w:numPr>
          <w:ilvl w:val="0"/>
          <w:numId w:val="54"/>
        </w:numPr>
      </w:pPr>
      <w:r>
        <w:t xml:space="preserve">An alternative approach, which in this case would ignore the approach towards contributions for part of unmet needs within adopted strategic policies and accounting for these on an individual authority basis, should not be followed where it has not been tested at examination (DL Paragraph 44). </w:t>
      </w:r>
    </w:p>
    <w:p w14:paraId="464777E1" w14:textId="79CBA81B" w:rsidR="00A171C6" w:rsidRDefault="00A171C6" w:rsidP="0000299B">
      <w:pPr>
        <w:pStyle w:val="SPRU51Paragraphs"/>
        <w:ind w:left="709"/>
      </w:pPr>
      <w:r>
        <w:t>It follows that that the circumstances of the housing requirement in adopting strategic policies related to the contribution towards part of unmet needs in Cherwell District could be (and are) distinct from those in the Vale of White Horse.</w:t>
      </w:r>
    </w:p>
    <w:p w14:paraId="4B88AEA0" w14:textId="799B397B" w:rsidR="009B7E08" w:rsidRDefault="009B7E08" w:rsidP="0000299B">
      <w:pPr>
        <w:pStyle w:val="SPRU51Paragraphs"/>
        <w:ind w:left="709"/>
      </w:pPr>
      <w:r>
        <w:t xml:space="preserve">The Appellant does not allege that </w:t>
      </w:r>
      <w:r w:rsidR="002110C5">
        <w:t>relevant strategic</w:t>
      </w:r>
      <w:r>
        <w:t xml:space="preserve"> policies </w:t>
      </w:r>
      <w:r w:rsidR="002110C5">
        <w:t xml:space="preserve">of the Cherwell Local Plan Partial Review </w:t>
      </w:r>
      <w:r>
        <w:t>need to be subject a review in accordance with Regulation 10A and a conclusion that they do not require updating</w:t>
      </w:r>
      <w:r w:rsidR="002110C5">
        <w:t xml:space="preserve"> </w:t>
      </w:r>
      <w:proofErr w:type="gramStart"/>
      <w:r w:rsidR="002110C5">
        <w:t>in order to</w:t>
      </w:r>
      <w:proofErr w:type="gramEnd"/>
      <w:r w:rsidR="002110C5">
        <w:t xml:space="preserve"> be applied separately for the purposes of NPPF2021 paragraph 74</w:t>
      </w:r>
      <w:r>
        <w:t>. That is correct as a matter of principle because the relevant policies are less than five years old.</w:t>
      </w:r>
    </w:p>
    <w:p w14:paraId="6EC565AA" w14:textId="77777777" w:rsidR="002110C5" w:rsidRDefault="009B7E08" w:rsidP="0000299B">
      <w:pPr>
        <w:pStyle w:val="SPRU51Paragraphs"/>
        <w:ind w:left="709"/>
      </w:pPr>
      <w:r>
        <w:t xml:space="preserve">Taken to its conclusion, the Appellant’s case for treatment of unmet needs as part of the housing requirement against which supply must be assessed for the purposes of NPPF2021 paragraph 74 would be a disincentive to the preparation of strategic policies to meet these needs. </w:t>
      </w:r>
    </w:p>
    <w:p w14:paraId="477E8528" w14:textId="03A14B9F" w:rsidR="00D25E70" w:rsidRDefault="009B7E08" w:rsidP="0000299B">
      <w:pPr>
        <w:pStyle w:val="SPRU51Paragraphs"/>
        <w:ind w:left="709"/>
      </w:pPr>
      <w:r>
        <w:t>If it was the case that in all cases where local housing need is applicable to the assessment of supply then any contribution towards unmet needs must be added to the sum total then the policies for the housing requirement contributing towards Oxford’s unmet needs in the Partial Review Local Plan would have been at risk of playing no role in</w:t>
      </w:r>
      <w:r w:rsidR="007B4062">
        <w:t xml:space="preserve"> providing</w:t>
      </w:r>
      <w:r>
        <w:t xml:space="preserve"> the spatial distribution or management of supply to meet those needs almost immediately upon adoption of that Plan. </w:t>
      </w:r>
    </w:p>
    <w:p w14:paraId="504C6109" w14:textId="2B85CFB8" w:rsidR="009B7E08" w:rsidRDefault="006B2CFC" w:rsidP="0000299B">
      <w:pPr>
        <w:pStyle w:val="SPRU51Paragraphs"/>
        <w:ind w:left="709"/>
      </w:pPr>
      <w:r>
        <w:t>In other words, it would have been open to Cherwell District to find that the housing requirement in Policy BSC1 required updating only subject to it abandoning the approach to addressing Oxford’s unmet needs in the Partial Review</w:t>
      </w:r>
    </w:p>
    <w:p w14:paraId="26D68350" w14:textId="5639E768" w:rsidR="009B7E08" w:rsidRDefault="009B7E08" w:rsidP="0000299B">
      <w:pPr>
        <w:pStyle w:val="SPRU51Paragraphs"/>
        <w:ind w:left="709"/>
      </w:pPr>
      <w:r>
        <w:t>Depending on the circumstances it would risk the tilted balance being engaged to meet needs at locations not in accordance with the carefully designed spatial strategy a</w:t>
      </w:r>
      <w:r w:rsidR="00360948">
        <w:t>n</w:t>
      </w:r>
      <w:r>
        <w:t>d justification for the allocation of sites to contribute towards part of Oxford’s unmet needs</w:t>
      </w:r>
      <w:r w:rsidR="002110C5">
        <w:t xml:space="preserve"> within Cherwell District</w:t>
      </w:r>
      <w:r>
        <w:t>.</w:t>
      </w:r>
    </w:p>
    <w:p w14:paraId="6E83C948" w14:textId="77777777" w:rsidR="009B7E08" w:rsidRDefault="009B7E08" w:rsidP="009B7E08">
      <w:pPr>
        <w:pStyle w:val="SPRU41Paragraphs"/>
        <w:numPr>
          <w:ilvl w:val="0"/>
          <w:numId w:val="0"/>
        </w:numPr>
        <w:ind w:left="737"/>
      </w:pPr>
    </w:p>
    <w:p w14:paraId="368FC013" w14:textId="77777777" w:rsidR="00D8728A" w:rsidRDefault="00D8728A" w:rsidP="009B7E08">
      <w:pPr>
        <w:pStyle w:val="SPRU41Paragraphs"/>
        <w:numPr>
          <w:ilvl w:val="0"/>
          <w:numId w:val="0"/>
        </w:numPr>
        <w:ind w:left="737"/>
      </w:pPr>
    </w:p>
    <w:p w14:paraId="70DA9F02" w14:textId="77777777" w:rsidR="00D8728A" w:rsidRDefault="00D8728A" w:rsidP="009B7E08">
      <w:pPr>
        <w:pStyle w:val="SPRU41Paragraphs"/>
        <w:numPr>
          <w:ilvl w:val="0"/>
          <w:numId w:val="0"/>
        </w:numPr>
        <w:ind w:left="737"/>
      </w:pPr>
    </w:p>
    <w:p w14:paraId="0A3D6752" w14:textId="77777777" w:rsidR="00D8728A" w:rsidRDefault="00D8728A" w:rsidP="009B7E08">
      <w:pPr>
        <w:pStyle w:val="SPRU41Paragraphs"/>
        <w:numPr>
          <w:ilvl w:val="0"/>
          <w:numId w:val="0"/>
        </w:numPr>
        <w:ind w:left="737"/>
      </w:pPr>
    </w:p>
    <w:p w14:paraId="3FB12EA6" w14:textId="77777777" w:rsidR="00EA7113" w:rsidRDefault="00EA7113">
      <w:pPr>
        <w:rPr>
          <w:rFonts w:ascii="Arial" w:hAnsi="Arial" w:cs="Arial"/>
        </w:rPr>
      </w:pPr>
      <w:r>
        <w:br w:type="page"/>
      </w:r>
    </w:p>
    <w:p w14:paraId="51EB8D66" w14:textId="77777777" w:rsidR="006F7115" w:rsidRPr="00CA27F8" w:rsidRDefault="006F7115" w:rsidP="006F7115">
      <w:pPr>
        <w:pStyle w:val="SPRUChapterHeadings10"/>
      </w:pPr>
      <w:bookmarkStart w:id="63" w:name="_Toc62222864"/>
      <w:bookmarkStart w:id="64" w:name="_Toc64379076"/>
      <w:bookmarkStart w:id="65" w:name="_Toc134515183"/>
      <w:bookmarkStart w:id="66" w:name="_Hlk62040814"/>
      <w:bookmarkEnd w:id="32"/>
      <w:bookmarkEnd w:id="33"/>
      <w:r w:rsidRPr="00CA27F8">
        <w:lastRenderedPageBreak/>
        <w:t>Housing Delivery Test and the Appropriate Buffer</w:t>
      </w:r>
      <w:bookmarkEnd w:id="63"/>
      <w:bookmarkEnd w:id="64"/>
      <w:bookmarkEnd w:id="65"/>
    </w:p>
    <w:p w14:paraId="52CBFBA4" w14:textId="3B9CBCC3" w:rsidR="0014776A" w:rsidRDefault="0014776A" w:rsidP="0014776A">
      <w:pPr>
        <w:pStyle w:val="aSPRUSubHeadings"/>
        <w:numPr>
          <w:ilvl w:val="0"/>
          <w:numId w:val="53"/>
        </w:numPr>
      </w:pPr>
      <w:r>
        <w:t>The Housing D</w:t>
      </w:r>
      <w:r w:rsidR="00E55730">
        <w:t>elivery Test 2021 – Result for Cherwell District Council</w:t>
      </w:r>
    </w:p>
    <w:p w14:paraId="549C7418" w14:textId="66E74EEE" w:rsidR="006F7115" w:rsidRPr="00CA27F8" w:rsidRDefault="006F7115" w:rsidP="0021610F">
      <w:pPr>
        <w:pStyle w:val="SPRU61Paragraphs"/>
      </w:pPr>
      <w:r w:rsidRPr="00CA27F8">
        <w:t xml:space="preserve">The official </w:t>
      </w:r>
      <w:r w:rsidR="00BA7316">
        <w:t>2021</w:t>
      </w:r>
      <w:r w:rsidRPr="00CA27F8">
        <w:t xml:space="preserve"> Housing Delivery Test (</w:t>
      </w:r>
      <w:r w:rsidR="00BA7316">
        <w:t>14</w:t>
      </w:r>
      <w:r w:rsidRPr="006D4007">
        <w:rPr>
          <w:vertAlign w:val="superscript"/>
        </w:rPr>
        <w:t>th</w:t>
      </w:r>
      <w:r w:rsidRPr="00CA27F8">
        <w:t xml:space="preserve"> January </w:t>
      </w:r>
      <w:r w:rsidR="00BA7316">
        <w:t>2022</w:t>
      </w:r>
      <w:r w:rsidRPr="00CA27F8">
        <w:t xml:space="preserve">) confirms that a 5% buffer should be applied as the Council delivered </w:t>
      </w:r>
      <w:r w:rsidR="00A417AF">
        <w:t>153</w:t>
      </w:r>
      <w:r w:rsidRPr="00CA27F8">
        <w:t xml:space="preserve">% of </w:t>
      </w:r>
      <w:r w:rsidR="000D2002">
        <w:t>the number of homes required</w:t>
      </w:r>
      <w:r w:rsidRPr="00CA27F8">
        <w:t xml:space="preserve"> as calculated during the HDT. </w:t>
      </w:r>
    </w:p>
    <w:p w14:paraId="111EA818" w14:textId="77777777" w:rsidR="006F7115" w:rsidRPr="00CA27F8" w:rsidRDefault="006F7115" w:rsidP="00A417AF">
      <w:pPr>
        <w:pStyle w:val="SPRUTables"/>
        <w:ind w:left="360"/>
        <w:jc w:val="center"/>
      </w:pPr>
      <w:r w:rsidRPr="00CA27F8">
        <w:t>Housing Delivery Test Result</w:t>
      </w:r>
    </w:p>
    <w:tbl>
      <w:tblPr>
        <w:tblW w:w="5420" w:type="dxa"/>
        <w:tblInd w:w="2117" w:type="dxa"/>
        <w:tblLook w:val="04A0" w:firstRow="1" w:lastRow="0" w:firstColumn="1" w:lastColumn="0" w:noHBand="0" w:noVBand="1"/>
      </w:tblPr>
      <w:tblGrid>
        <w:gridCol w:w="1460"/>
        <w:gridCol w:w="2200"/>
        <w:gridCol w:w="1760"/>
      </w:tblGrid>
      <w:tr w:rsidR="00A417AF" w:rsidRPr="00A417AF" w14:paraId="11F0AFD9" w14:textId="77777777" w:rsidTr="00A417AF">
        <w:trPr>
          <w:trHeight w:val="564"/>
        </w:trPr>
        <w:tc>
          <w:tcPr>
            <w:tcW w:w="1460" w:type="dxa"/>
            <w:vMerge w:val="restart"/>
            <w:tcBorders>
              <w:top w:val="single" w:sz="8" w:space="0" w:color="auto"/>
              <w:left w:val="single" w:sz="8" w:space="0" w:color="auto"/>
              <w:bottom w:val="single" w:sz="8" w:space="0" w:color="000000"/>
              <w:right w:val="single" w:sz="8" w:space="0" w:color="auto"/>
            </w:tcBorders>
            <w:shd w:val="clear" w:color="000000" w:fill="BDD6EE"/>
            <w:textDirection w:val="btLr"/>
            <w:vAlign w:val="center"/>
            <w:hideMark/>
          </w:tcPr>
          <w:p w14:paraId="71A2C5DD" w14:textId="0E2D1615" w:rsidR="00A417AF" w:rsidRPr="00A417AF" w:rsidRDefault="00A417AF" w:rsidP="00A417AF">
            <w:pPr>
              <w:spacing w:after="0" w:line="240" w:lineRule="auto"/>
              <w:jc w:val="center"/>
              <w:rPr>
                <w:rFonts w:ascii="Arial" w:eastAsia="Times New Roman" w:hAnsi="Arial" w:cs="Arial"/>
                <w:b/>
                <w:bCs/>
                <w:color w:val="000000"/>
                <w:sz w:val="20"/>
                <w:szCs w:val="20"/>
                <w:lang w:eastAsia="en-GB"/>
              </w:rPr>
            </w:pPr>
            <w:r w:rsidRPr="00A417AF">
              <w:rPr>
                <w:rFonts w:ascii="Arial" w:eastAsia="Times New Roman" w:hAnsi="Arial" w:cs="Arial"/>
                <w:b/>
                <w:bCs/>
                <w:color w:val="000000"/>
                <w:sz w:val="20"/>
                <w:szCs w:val="20"/>
                <w:lang w:eastAsia="en-GB"/>
              </w:rPr>
              <w:t>Annual Requirement</w:t>
            </w:r>
          </w:p>
        </w:tc>
        <w:tc>
          <w:tcPr>
            <w:tcW w:w="2200" w:type="dxa"/>
            <w:tcBorders>
              <w:top w:val="single" w:sz="8" w:space="0" w:color="auto"/>
              <w:left w:val="nil"/>
              <w:bottom w:val="single" w:sz="8" w:space="0" w:color="auto"/>
              <w:right w:val="single" w:sz="8" w:space="0" w:color="auto"/>
            </w:tcBorders>
            <w:shd w:val="clear" w:color="000000" w:fill="BDD6EE"/>
            <w:vAlign w:val="center"/>
            <w:hideMark/>
          </w:tcPr>
          <w:p w14:paraId="0C8D962A" w14:textId="57C068B3" w:rsidR="00A417AF" w:rsidRPr="00A417AF" w:rsidRDefault="00A417AF" w:rsidP="00A417AF">
            <w:pPr>
              <w:spacing w:after="0" w:line="240" w:lineRule="auto"/>
              <w:jc w:val="center"/>
              <w:rPr>
                <w:rFonts w:ascii="Arial" w:eastAsia="Times New Roman" w:hAnsi="Arial" w:cs="Arial"/>
                <w:b/>
                <w:bCs/>
                <w:color w:val="000000"/>
                <w:sz w:val="20"/>
                <w:szCs w:val="20"/>
                <w:lang w:eastAsia="en-GB"/>
              </w:rPr>
            </w:pPr>
          </w:p>
        </w:tc>
        <w:tc>
          <w:tcPr>
            <w:tcW w:w="1760" w:type="dxa"/>
            <w:tcBorders>
              <w:top w:val="single" w:sz="8" w:space="0" w:color="auto"/>
              <w:left w:val="nil"/>
              <w:bottom w:val="single" w:sz="8" w:space="0" w:color="auto"/>
              <w:right w:val="single" w:sz="8" w:space="0" w:color="auto"/>
            </w:tcBorders>
            <w:shd w:val="clear" w:color="000000" w:fill="BDD6EE"/>
            <w:vAlign w:val="center"/>
            <w:hideMark/>
          </w:tcPr>
          <w:p w14:paraId="2EC68BDF" w14:textId="77777777" w:rsidR="00A417AF" w:rsidRPr="00A417AF" w:rsidRDefault="00A417AF" w:rsidP="00A417AF">
            <w:pPr>
              <w:spacing w:after="0" w:line="240" w:lineRule="auto"/>
              <w:jc w:val="both"/>
              <w:rPr>
                <w:rFonts w:ascii="Arial Bold" w:eastAsia="Times New Roman" w:hAnsi="Arial Bold" w:cs="Calibri"/>
                <w:b/>
                <w:bCs/>
                <w:color w:val="000000"/>
                <w:lang w:eastAsia="en-GB"/>
              </w:rPr>
            </w:pPr>
            <w:r w:rsidRPr="00A417AF">
              <w:rPr>
                <w:rFonts w:ascii="Arial Bold" w:eastAsia="Times New Roman" w:hAnsi="Arial Bold" w:cs="Calibri"/>
                <w:b/>
                <w:bCs/>
                <w:color w:val="000000"/>
                <w:lang w:eastAsia="en-GB"/>
              </w:rPr>
              <w:t>Cherwell District</w:t>
            </w:r>
          </w:p>
        </w:tc>
      </w:tr>
      <w:tr w:rsidR="00A417AF" w:rsidRPr="00A417AF" w14:paraId="13304A28" w14:textId="77777777" w:rsidTr="00A417AF">
        <w:trPr>
          <w:trHeight w:val="804"/>
        </w:trPr>
        <w:tc>
          <w:tcPr>
            <w:tcW w:w="1460" w:type="dxa"/>
            <w:vMerge/>
            <w:tcBorders>
              <w:top w:val="single" w:sz="8" w:space="0" w:color="auto"/>
              <w:left w:val="single" w:sz="8" w:space="0" w:color="auto"/>
              <w:bottom w:val="single" w:sz="8" w:space="0" w:color="000000"/>
              <w:right w:val="single" w:sz="8" w:space="0" w:color="auto"/>
            </w:tcBorders>
            <w:vAlign w:val="center"/>
            <w:hideMark/>
          </w:tcPr>
          <w:p w14:paraId="5996D665" w14:textId="77777777" w:rsidR="00A417AF" w:rsidRPr="00A417AF" w:rsidRDefault="00A417AF" w:rsidP="00A417AF">
            <w:pPr>
              <w:spacing w:after="0" w:line="240" w:lineRule="auto"/>
              <w:rPr>
                <w:rFonts w:ascii="Arial" w:eastAsia="Times New Roman" w:hAnsi="Arial" w:cs="Arial"/>
                <w:b/>
                <w:bCs/>
                <w:color w:val="000000"/>
                <w:sz w:val="20"/>
                <w:szCs w:val="20"/>
                <w:lang w:eastAsia="en-GB"/>
              </w:rPr>
            </w:pPr>
          </w:p>
        </w:tc>
        <w:tc>
          <w:tcPr>
            <w:tcW w:w="2200" w:type="dxa"/>
            <w:tcBorders>
              <w:top w:val="nil"/>
              <w:left w:val="nil"/>
              <w:bottom w:val="single" w:sz="8" w:space="0" w:color="auto"/>
              <w:right w:val="single" w:sz="8" w:space="0" w:color="auto"/>
            </w:tcBorders>
            <w:shd w:val="clear" w:color="auto" w:fill="auto"/>
            <w:vAlign w:val="center"/>
            <w:hideMark/>
          </w:tcPr>
          <w:p w14:paraId="0AABD43C"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2018/19 Requirement</w:t>
            </w:r>
          </w:p>
        </w:tc>
        <w:tc>
          <w:tcPr>
            <w:tcW w:w="1760" w:type="dxa"/>
            <w:tcBorders>
              <w:top w:val="nil"/>
              <w:left w:val="nil"/>
              <w:bottom w:val="single" w:sz="8" w:space="0" w:color="auto"/>
              <w:right w:val="single" w:sz="8" w:space="0" w:color="auto"/>
            </w:tcBorders>
            <w:shd w:val="clear" w:color="auto" w:fill="auto"/>
            <w:vAlign w:val="center"/>
            <w:hideMark/>
          </w:tcPr>
          <w:p w14:paraId="7CF9B8B7"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974</w:t>
            </w:r>
          </w:p>
        </w:tc>
      </w:tr>
      <w:tr w:rsidR="00A417AF" w:rsidRPr="00A417AF" w14:paraId="6F9C3481" w14:textId="77777777" w:rsidTr="00A417AF">
        <w:trPr>
          <w:trHeight w:val="300"/>
        </w:trPr>
        <w:tc>
          <w:tcPr>
            <w:tcW w:w="1460" w:type="dxa"/>
            <w:vMerge/>
            <w:tcBorders>
              <w:top w:val="single" w:sz="8" w:space="0" w:color="auto"/>
              <w:left w:val="single" w:sz="8" w:space="0" w:color="auto"/>
              <w:bottom w:val="single" w:sz="8" w:space="0" w:color="000000"/>
              <w:right w:val="single" w:sz="8" w:space="0" w:color="auto"/>
            </w:tcBorders>
            <w:vAlign w:val="center"/>
            <w:hideMark/>
          </w:tcPr>
          <w:p w14:paraId="3E9995CE" w14:textId="77777777" w:rsidR="00A417AF" w:rsidRPr="00A417AF" w:rsidRDefault="00A417AF" w:rsidP="00A417AF">
            <w:pPr>
              <w:spacing w:after="0" w:line="240" w:lineRule="auto"/>
              <w:rPr>
                <w:rFonts w:ascii="Arial" w:eastAsia="Times New Roman" w:hAnsi="Arial" w:cs="Arial"/>
                <w:b/>
                <w:bCs/>
                <w:color w:val="000000"/>
                <w:sz w:val="20"/>
                <w:szCs w:val="20"/>
                <w:lang w:eastAsia="en-GB"/>
              </w:rPr>
            </w:pPr>
          </w:p>
        </w:tc>
        <w:tc>
          <w:tcPr>
            <w:tcW w:w="2200" w:type="dxa"/>
            <w:tcBorders>
              <w:top w:val="nil"/>
              <w:left w:val="nil"/>
              <w:bottom w:val="single" w:sz="8" w:space="0" w:color="auto"/>
              <w:right w:val="single" w:sz="8" w:space="0" w:color="auto"/>
            </w:tcBorders>
            <w:shd w:val="clear" w:color="auto" w:fill="auto"/>
            <w:vAlign w:val="center"/>
            <w:hideMark/>
          </w:tcPr>
          <w:p w14:paraId="2514DF4C"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2019/20 Requirement</w:t>
            </w:r>
          </w:p>
        </w:tc>
        <w:tc>
          <w:tcPr>
            <w:tcW w:w="1760" w:type="dxa"/>
            <w:tcBorders>
              <w:top w:val="nil"/>
              <w:left w:val="nil"/>
              <w:bottom w:val="single" w:sz="8" w:space="0" w:color="auto"/>
              <w:right w:val="single" w:sz="8" w:space="0" w:color="auto"/>
            </w:tcBorders>
            <w:shd w:val="clear" w:color="auto" w:fill="auto"/>
            <w:vAlign w:val="center"/>
            <w:hideMark/>
          </w:tcPr>
          <w:p w14:paraId="2CC729D2"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881</w:t>
            </w:r>
          </w:p>
        </w:tc>
      </w:tr>
      <w:tr w:rsidR="00A417AF" w:rsidRPr="00A417AF" w14:paraId="2BF48FC4" w14:textId="77777777" w:rsidTr="00A417AF">
        <w:trPr>
          <w:trHeight w:val="300"/>
        </w:trPr>
        <w:tc>
          <w:tcPr>
            <w:tcW w:w="1460" w:type="dxa"/>
            <w:vMerge/>
            <w:tcBorders>
              <w:top w:val="single" w:sz="8" w:space="0" w:color="auto"/>
              <w:left w:val="single" w:sz="8" w:space="0" w:color="auto"/>
              <w:bottom w:val="single" w:sz="8" w:space="0" w:color="000000"/>
              <w:right w:val="single" w:sz="8" w:space="0" w:color="auto"/>
            </w:tcBorders>
            <w:vAlign w:val="center"/>
            <w:hideMark/>
          </w:tcPr>
          <w:p w14:paraId="5697232F" w14:textId="77777777" w:rsidR="00A417AF" w:rsidRPr="00A417AF" w:rsidRDefault="00A417AF" w:rsidP="00A417AF">
            <w:pPr>
              <w:spacing w:after="0" w:line="240" w:lineRule="auto"/>
              <w:rPr>
                <w:rFonts w:ascii="Arial" w:eastAsia="Times New Roman" w:hAnsi="Arial" w:cs="Arial"/>
                <w:b/>
                <w:bCs/>
                <w:color w:val="000000"/>
                <w:sz w:val="20"/>
                <w:szCs w:val="20"/>
                <w:lang w:eastAsia="en-GB"/>
              </w:rPr>
            </w:pPr>
          </w:p>
        </w:tc>
        <w:tc>
          <w:tcPr>
            <w:tcW w:w="2200" w:type="dxa"/>
            <w:tcBorders>
              <w:top w:val="nil"/>
              <w:left w:val="nil"/>
              <w:bottom w:val="single" w:sz="8" w:space="0" w:color="auto"/>
              <w:right w:val="single" w:sz="8" w:space="0" w:color="auto"/>
            </w:tcBorders>
            <w:shd w:val="clear" w:color="auto" w:fill="auto"/>
            <w:vAlign w:val="center"/>
            <w:hideMark/>
          </w:tcPr>
          <w:p w14:paraId="7F2DB8AF"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2020/21 Requirement</w:t>
            </w:r>
          </w:p>
        </w:tc>
        <w:tc>
          <w:tcPr>
            <w:tcW w:w="1760" w:type="dxa"/>
            <w:tcBorders>
              <w:top w:val="nil"/>
              <w:left w:val="nil"/>
              <w:bottom w:val="single" w:sz="8" w:space="0" w:color="auto"/>
              <w:right w:val="single" w:sz="8" w:space="0" w:color="auto"/>
            </w:tcBorders>
            <w:shd w:val="clear" w:color="auto" w:fill="auto"/>
            <w:vAlign w:val="center"/>
            <w:hideMark/>
          </w:tcPr>
          <w:p w14:paraId="18130005"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650</w:t>
            </w:r>
          </w:p>
        </w:tc>
      </w:tr>
      <w:tr w:rsidR="00A417AF" w:rsidRPr="00A417AF" w14:paraId="4AE94C25" w14:textId="77777777" w:rsidTr="00A417AF">
        <w:trPr>
          <w:trHeight w:val="300"/>
        </w:trPr>
        <w:tc>
          <w:tcPr>
            <w:tcW w:w="1460" w:type="dxa"/>
            <w:vMerge/>
            <w:tcBorders>
              <w:top w:val="single" w:sz="8" w:space="0" w:color="auto"/>
              <w:left w:val="single" w:sz="8" w:space="0" w:color="auto"/>
              <w:bottom w:val="single" w:sz="8" w:space="0" w:color="000000"/>
              <w:right w:val="single" w:sz="8" w:space="0" w:color="auto"/>
            </w:tcBorders>
            <w:vAlign w:val="center"/>
            <w:hideMark/>
          </w:tcPr>
          <w:p w14:paraId="603C24C6" w14:textId="77777777" w:rsidR="00A417AF" w:rsidRPr="00A417AF" w:rsidRDefault="00A417AF" w:rsidP="00A417AF">
            <w:pPr>
              <w:spacing w:after="0" w:line="240" w:lineRule="auto"/>
              <w:rPr>
                <w:rFonts w:ascii="Arial" w:eastAsia="Times New Roman" w:hAnsi="Arial" w:cs="Arial"/>
                <w:b/>
                <w:bCs/>
                <w:color w:val="000000"/>
                <w:sz w:val="20"/>
                <w:szCs w:val="20"/>
                <w:lang w:eastAsia="en-GB"/>
              </w:rPr>
            </w:pPr>
          </w:p>
        </w:tc>
        <w:tc>
          <w:tcPr>
            <w:tcW w:w="2200" w:type="dxa"/>
            <w:tcBorders>
              <w:top w:val="nil"/>
              <w:left w:val="nil"/>
              <w:bottom w:val="single" w:sz="8" w:space="0" w:color="auto"/>
              <w:right w:val="single" w:sz="8" w:space="0" w:color="auto"/>
            </w:tcBorders>
            <w:shd w:val="clear" w:color="auto" w:fill="auto"/>
            <w:vAlign w:val="center"/>
            <w:hideMark/>
          </w:tcPr>
          <w:p w14:paraId="7E5BA036"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Total</w:t>
            </w:r>
          </w:p>
        </w:tc>
        <w:tc>
          <w:tcPr>
            <w:tcW w:w="1760" w:type="dxa"/>
            <w:tcBorders>
              <w:top w:val="nil"/>
              <w:left w:val="nil"/>
              <w:bottom w:val="single" w:sz="8" w:space="0" w:color="auto"/>
              <w:right w:val="single" w:sz="8" w:space="0" w:color="auto"/>
            </w:tcBorders>
            <w:shd w:val="clear" w:color="auto" w:fill="auto"/>
            <w:vAlign w:val="center"/>
            <w:hideMark/>
          </w:tcPr>
          <w:p w14:paraId="1C1E211E"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2505</w:t>
            </w:r>
          </w:p>
        </w:tc>
      </w:tr>
      <w:tr w:rsidR="00A417AF" w:rsidRPr="00A417AF" w14:paraId="280989B7" w14:textId="77777777" w:rsidTr="00A417AF">
        <w:trPr>
          <w:trHeight w:val="300"/>
        </w:trPr>
        <w:tc>
          <w:tcPr>
            <w:tcW w:w="1460" w:type="dxa"/>
            <w:vMerge w:val="restart"/>
            <w:tcBorders>
              <w:top w:val="nil"/>
              <w:left w:val="single" w:sz="8" w:space="0" w:color="auto"/>
              <w:bottom w:val="single" w:sz="8" w:space="0" w:color="000000"/>
              <w:right w:val="single" w:sz="8" w:space="0" w:color="auto"/>
            </w:tcBorders>
            <w:shd w:val="clear" w:color="000000" w:fill="BDD6EE"/>
            <w:textDirection w:val="btLr"/>
            <w:vAlign w:val="center"/>
            <w:hideMark/>
          </w:tcPr>
          <w:p w14:paraId="731B15E2" w14:textId="77777777" w:rsidR="00A417AF" w:rsidRPr="00A417AF" w:rsidRDefault="00A417AF" w:rsidP="00A417AF">
            <w:pPr>
              <w:spacing w:after="0" w:line="240" w:lineRule="auto"/>
              <w:jc w:val="both"/>
              <w:rPr>
                <w:rFonts w:ascii="Arial" w:eastAsia="Times New Roman" w:hAnsi="Arial" w:cs="Arial"/>
                <w:b/>
                <w:bCs/>
                <w:color w:val="000000"/>
                <w:sz w:val="20"/>
                <w:szCs w:val="20"/>
                <w:lang w:eastAsia="en-GB"/>
              </w:rPr>
            </w:pPr>
            <w:r w:rsidRPr="00A417AF">
              <w:rPr>
                <w:rFonts w:ascii="Arial" w:eastAsia="Times New Roman" w:hAnsi="Arial" w:cs="Arial"/>
                <w:b/>
                <w:bCs/>
                <w:color w:val="000000"/>
                <w:sz w:val="20"/>
                <w:szCs w:val="20"/>
                <w:lang w:eastAsia="en-GB"/>
              </w:rPr>
              <w:t xml:space="preserve">Recorded Completions </w:t>
            </w:r>
          </w:p>
        </w:tc>
        <w:tc>
          <w:tcPr>
            <w:tcW w:w="2200" w:type="dxa"/>
            <w:tcBorders>
              <w:top w:val="nil"/>
              <w:left w:val="nil"/>
              <w:bottom w:val="single" w:sz="8" w:space="0" w:color="auto"/>
              <w:right w:val="single" w:sz="8" w:space="0" w:color="auto"/>
            </w:tcBorders>
            <w:shd w:val="clear" w:color="000000" w:fill="BDD6EE"/>
            <w:vAlign w:val="center"/>
            <w:hideMark/>
          </w:tcPr>
          <w:p w14:paraId="71237543"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 </w:t>
            </w:r>
          </w:p>
        </w:tc>
        <w:tc>
          <w:tcPr>
            <w:tcW w:w="1760" w:type="dxa"/>
            <w:tcBorders>
              <w:top w:val="nil"/>
              <w:left w:val="nil"/>
              <w:bottom w:val="single" w:sz="8" w:space="0" w:color="auto"/>
              <w:right w:val="single" w:sz="8" w:space="0" w:color="auto"/>
            </w:tcBorders>
            <w:shd w:val="clear" w:color="000000" w:fill="BDD6EE"/>
            <w:vAlign w:val="center"/>
            <w:hideMark/>
          </w:tcPr>
          <w:p w14:paraId="78567669"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 </w:t>
            </w:r>
          </w:p>
        </w:tc>
      </w:tr>
      <w:tr w:rsidR="00A417AF" w:rsidRPr="00A417AF" w14:paraId="40B6ACA5" w14:textId="77777777" w:rsidTr="00A417AF">
        <w:trPr>
          <w:trHeight w:val="300"/>
        </w:trPr>
        <w:tc>
          <w:tcPr>
            <w:tcW w:w="1460" w:type="dxa"/>
            <w:vMerge/>
            <w:tcBorders>
              <w:top w:val="nil"/>
              <w:left w:val="single" w:sz="8" w:space="0" w:color="auto"/>
              <w:bottom w:val="single" w:sz="8" w:space="0" w:color="000000"/>
              <w:right w:val="single" w:sz="8" w:space="0" w:color="auto"/>
            </w:tcBorders>
            <w:vAlign w:val="center"/>
            <w:hideMark/>
          </w:tcPr>
          <w:p w14:paraId="10F4F6CB" w14:textId="77777777" w:rsidR="00A417AF" w:rsidRPr="00A417AF" w:rsidRDefault="00A417AF" w:rsidP="00A417AF">
            <w:pPr>
              <w:spacing w:after="0" w:line="240" w:lineRule="auto"/>
              <w:rPr>
                <w:rFonts w:ascii="Arial" w:eastAsia="Times New Roman" w:hAnsi="Arial" w:cs="Arial"/>
                <w:b/>
                <w:bCs/>
                <w:color w:val="000000"/>
                <w:sz w:val="20"/>
                <w:szCs w:val="20"/>
                <w:lang w:eastAsia="en-GB"/>
              </w:rPr>
            </w:pPr>
          </w:p>
        </w:tc>
        <w:tc>
          <w:tcPr>
            <w:tcW w:w="2200" w:type="dxa"/>
            <w:tcBorders>
              <w:top w:val="nil"/>
              <w:left w:val="nil"/>
              <w:bottom w:val="single" w:sz="8" w:space="0" w:color="auto"/>
              <w:right w:val="single" w:sz="8" w:space="0" w:color="auto"/>
            </w:tcBorders>
            <w:shd w:val="clear" w:color="auto" w:fill="auto"/>
            <w:vAlign w:val="center"/>
            <w:hideMark/>
          </w:tcPr>
          <w:p w14:paraId="20AC7DE6"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2018/19 Completions</w:t>
            </w:r>
          </w:p>
        </w:tc>
        <w:tc>
          <w:tcPr>
            <w:tcW w:w="1760" w:type="dxa"/>
            <w:tcBorders>
              <w:top w:val="nil"/>
              <w:left w:val="nil"/>
              <w:bottom w:val="single" w:sz="8" w:space="0" w:color="auto"/>
              <w:right w:val="single" w:sz="8" w:space="0" w:color="auto"/>
            </w:tcBorders>
            <w:shd w:val="clear" w:color="auto" w:fill="auto"/>
            <w:vAlign w:val="center"/>
            <w:hideMark/>
          </w:tcPr>
          <w:p w14:paraId="1466A438"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1489</w:t>
            </w:r>
          </w:p>
        </w:tc>
      </w:tr>
      <w:tr w:rsidR="00A417AF" w:rsidRPr="00A417AF" w14:paraId="50C15434" w14:textId="77777777" w:rsidTr="00A417AF">
        <w:trPr>
          <w:trHeight w:val="300"/>
        </w:trPr>
        <w:tc>
          <w:tcPr>
            <w:tcW w:w="1460" w:type="dxa"/>
            <w:vMerge/>
            <w:tcBorders>
              <w:top w:val="nil"/>
              <w:left w:val="single" w:sz="8" w:space="0" w:color="auto"/>
              <w:bottom w:val="single" w:sz="8" w:space="0" w:color="000000"/>
              <w:right w:val="single" w:sz="8" w:space="0" w:color="auto"/>
            </w:tcBorders>
            <w:vAlign w:val="center"/>
            <w:hideMark/>
          </w:tcPr>
          <w:p w14:paraId="3B0A078A" w14:textId="77777777" w:rsidR="00A417AF" w:rsidRPr="00A417AF" w:rsidRDefault="00A417AF" w:rsidP="00A417AF">
            <w:pPr>
              <w:spacing w:after="0" w:line="240" w:lineRule="auto"/>
              <w:rPr>
                <w:rFonts w:ascii="Arial" w:eastAsia="Times New Roman" w:hAnsi="Arial" w:cs="Arial"/>
                <w:b/>
                <w:bCs/>
                <w:color w:val="000000"/>
                <w:sz w:val="20"/>
                <w:szCs w:val="20"/>
                <w:lang w:eastAsia="en-GB"/>
              </w:rPr>
            </w:pPr>
          </w:p>
        </w:tc>
        <w:tc>
          <w:tcPr>
            <w:tcW w:w="2200" w:type="dxa"/>
            <w:tcBorders>
              <w:top w:val="nil"/>
              <w:left w:val="nil"/>
              <w:bottom w:val="single" w:sz="8" w:space="0" w:color="auto"/>
              <w:right w:val="single" w:sz="8" w:space="0" w:color="auto"/>
            </w:tcBorders>
            <w:shd w:val="clear" w:color="auto" w:fill="auto"/>
            <w:vAlign w:val="center"/>
            <w:hideMark/>
          </w:tcPr>
          <w:p w14:paraId="0AD00B8F"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2019/20 Completions</w:t>
            </w:r>
          </w:p>
        </w:tc>
        <w:tc>
          <w:tcPr>
            <w:tcW w:w="1760" w:type="dxa"/>
            <w:tcBorders>
              <w:top w:val="nil"/>
              <w:left w:val="nil"/>
              <w:bottom w:val="single" w:sz="8" w:space="0" w:color="auto"/>
              <w:right w:val="single" w:sz="8" w:space="0" w:color="auto"/>
            </w:tcBorders>
            <w:shd w:val="clear" w:color="auto" w:fill="auto"/>
            <w:vAlign w:val="center"/>
            <w:hideMark/>
          </w:tcPr>
          <w:p w14:paraId="6A5818EE"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1159</w:t>
            </w:r>
          </w:p>
        </w:tc>
      </w:tr>
      <w:tr w:rsidR="00A417AF" w:rsidRPr="00A417AF" w14:paraId="77E5E345" w14:textId="77777777" w:rsidTr="00A417AF">
        <w:trPr>
          <w:trHeight w:val="300"/>
        </w:trPr>
        <w:tc>
          <w:tcPr>
            <w:tcW w:w="1460" w:type="dxa"/>
            <w:vMerge/>
            <w:tcBorders>
              <w:top w:val="nil"/>
              <w:left w:val="single" w:sz="8" w:space="0" w:color="auto"/>
              <w:bottom w:val="single" w:sz="8" w:space="0" w:color="000000"/>
              <w:right w:val="single" w:sz="8" w:space="0" w:color="auto"/>
            </w:tcBorders>
            <w:vAlign w:val="center"/>
            <w:hideMark/>
          </w:tcPr>
          <w:p w14:paraId="23C81E64" w14:textId="77777777" w:rsidR="00A417AF" w:rsidRPr="00A417AF" w:rsidRDefault="00A417AF" w:rsidP="00A417AF">
            <w:pPr>
              <w:spacing w:after="0" w:line="240" w:lineRule="auto"/>
              <w:rPr>
                <w:rFonts w:ascii="Arial" w:eastAsia="Times New Roman" w:hAnsi="Arial" w:cs="Arial"/>
                <w:b/>
                <w:bCs/>
                <w:color w:val="000000"/>
                <w:sz w:val="20"/>
                <w:szCs w:val="20"/>
                <w:lang w:eastAsia="en-GB"/>
              </w:rPr>
            </w:pPr>
          </w:p>
        </w:tc>
        <w:tc>
          <w:tcPr>
            <w:tcW w:w="2200" w:type="dxa"/>
            <w:tcBorders>
              <w:top w:val="nil"/>
              <w:left w:val="nil"/>
              <w:bottom w:val="single" w:sz="8" w:space="0" w:color="auto"/>
              <w:right w:val="single" w:sz="8" w:space="0" w:color="auto"/>
            </w:tcBorders>
            <w:shd w:val="clear" w:color="auto" w:fill="auto"/>
            <w:vAlign w:val="center"/>
            <w:hideMark/>
          </w:tcPr>
          <w:p w14:paraId="4F42B174"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2020/21 Completions</w:t>
            </w:r>
          </w:p>
        </w:tc>
        <w:tc>
          <w:tcPr>
            <w:tcW w:w="1760" w:type="dxa"/>
            <w:tcBorders>
              <w:top w:val="nil"/>
              <w:left w:val="nil"/>
              <w:bottom w:val="single" w:sz="8" w:space="0" w:color="auto"/>
              <w:right w:val="single" w:sz="8" w:space="0" w:color="auto"/>
            </w:tcBorders>
            <w:shd w:val="clear" w:color="auto" w:fill="auto"/>
            <w:vAlign w:val="center"/>
            <w:hideMark/>
          </w:tcPr>
          <w:p w14:paraId="4C9E81C9"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1192</w:t>
            </w:r>
          </w:p>
        </w:tc>
      </w:tr>
      <w:tr w:rsidR="00A417AF" w:rsidRPr="00A417AF" w14:paraId="56406C3F" w14:textId="77777777" w:rsidTr="00A417AF">
        <w:trPr>
          <w:trHeight w:val="300"/>
        </w:trPr>
        <w:tc>
          <w:tcPr>
            <w:tcW w:w="1460" w:type="dxa"/>
            <w:vMerge/>
            <w:tcBorders>
              <w:top w:val="nil"/>
              <w:left w:val="single" w:sz="8" w:space="0" w:color="auto"/>
              <w:bottom w:val="single" w:sz="8" w:space="0" w:color="000000"/>
              <w:right w:val="single" w:sz="8" w:space="0" w:color="auto"/>
            </w:tcBorders>
            <w:vAlign w:val="center"/>
            <w:hideMark/>
          </w:tcPr>
          <w:p w14:paraId="494CB372" w14:textId="77777777" w:rsidR="00A417AF" w:rsidRPr="00A417AF" w:rsidRDefault="00A417AF" w:rsidP="00A417AF">
            <w:pPr>
              <w:spacing w:after="0" w:line="240" w:lineRule="auto"/>
              <w:rPr>
                <w:rFonts w:ascii="Arial" w:eastAsia="Times New Roman" w:hAnsi="Arial" w:cs="Arial"/>
                <w:b/>
                <w:bCs/>
                <w:color w:val="000000"/>
                <w:sz w:val="20"/>
                <w:szCs w:val="20"/>
                <w:lang w:eastAsia="en-GB"/>
              </w:rPr>
            </w:pPr>
          </w:p>
        </w:tc>
        <w:tc>
          <w:tcPr>
            <w:tcW w:w="2200" w:type="dxa"/>
            <w:tcBorders>
              <w:top w:val="nil"/>
              <w:left w:val="nil"/>
              <w:bottom w:val="single" w:sz="8" w:space="0" w:color="auto"/>
              <w:right w:val="single" w:sz="8" w:space="0" w:color="auto"/>
            </w:tcBorders>
            <w:shd w:val="clear" w:color="auto" w:fill="auto"/>
            <w:vAlign w:val="center"/>
            <w:hideMark/>
          </w:tcPr>
          <w:p w14:paraId="1E8CED1D"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Total</w:t>
            </w:r>
          </w:p>
        </w:tc>
        <w:tc>
          <w:tcPr>
            <w:tcW w:w="1760" w:type="dxa"/>
            <w:tcBorders>
              <w:top w:val="nil"/>
              <w:left w:val="nil"/>
              <w:bottom w:val="single" w:sz="8" w:space="0" w:color="auto"/>
              <w:right w:val="single" w:sz="8" w:space="0" w:color="auto"/>
            </w:tcBorders>
            <w:shd w:val="clear" w:color="auto" w:fill="auto"/>
            <w:vAlign w:val="center"/>
            <w:hideMark/>
          </w:tcPr>
          <w:p w14:paraId="1F713D11" w14:textId="77777777" w:rsidR="00A417AF" w:rsidRPr="00A417AF" w:rsidRDefault="00A417AF" w:rsidP="00A417AF">
            <w:pPr>
              <w:spacing w:after="0" w:line="240" w:lineRule="auto"/>
              <w:jc w:val="both"/>
              <w:rPr>
                <w:rFonts w:ascii="Arial" w:eastAsia="Times New Roman" w:hAnsi="Arial" w:cs="Arial"/>
                <w:color w:val="000000"/>
                <w:sz w:val="20"/>
                <w:szCs w:val="20"/>
                <w:lang w:eastAsia="en-GB"/>
              </w:rPr>
            </w:pPr>
            <w:r w:rsidRPr="00A417AF">
              <w:rPr>
                <w:rFonts w:ascii="Arial" w:eastAsia="Times New Roman" w:hAnsi="Arial" w:cs="Arial"/>
                <w:color w:val="000000"/>
                <w:sz w:val="20"/>
                <w:szCs w:val="20"/>
                <w:lang w:eastAsia="en-GB"/>
              </w:rPr>
              <w:t>3840</w:t>
            </w:r>
          </w:p>
        </w:tc>
      </w:tr>
      <w:tr w:rsidR="00A417AF" w:rsidRPr="00A417AF" w14:paraId="0B25C899" w14:textId="77777777" w:rsidTr="00A417AF">
        <w:trPr>
          <w:trHeight w:val="528"/>
        </w:trPr>
        <w:tc>
          <w:tcPr>
            <w:tcW w:w="3660" w:type="dxa"/>
            <w:gridSpan w:val="2"/>
            <w:tcBorders>
              <w:top w:val="single" w:sz="8" w:space="0" w:color="auto"/>
              <w:left w:val="single" w:sz="8" w:space="0" w:color="auto"/>
              <w:bottom w:val="single" w:sz="8" w:space="0" w:color="auto"/>
              <w:right w:val="single" w:sz="8" w:space="0" w:color="000000"/>
            </w:tcBorders>
            <w:shd w:val="clear" w:color="000000" w:fill="BDD6EE"/>
            <w:vAlign w:val="center"/>
            <w:hideMark/>
          </w:tcPr>
          <w:p w14:paraId="00859A23" w14:textId="77777777" w:rsidR="00A417AF" w:rsidRPr="00A417AF" w:rsidRDefault="00A417AF" w:rsidP="00A417AF">
            <w:pPr>
              <w:spacing w:after="0" w:line="240" w:lineRule="auto"/>
              <w:jc w:val="right"/>
              <w:rPr>
                <w:rFonts w:ascii="Arial" w:eastAsia="Times New Roman" w:hAnsi="Arial" w:cs="Arial"/>
                <w:b/>
                <w:bCs/>
                <w:color w:val="000000"/>
                <w:sz w:val="20"/>
                <w:szCs w:val="20"/>
                <w:lang w:eastAsia="en-GB"/>
              </w:rPr>
            </w:pPr>
            <w:r w:rsidRPr="00A417AF">
              <w:rPr>
                <w:rFonts w:ascii="Arial" w:eastAsia="Times New Roman" w:hAnsi="Arial" w:cs="Arial"/>
                <w:b/>
                <w:bCs/>
                <w:color w:val="000000"/>
                <w:sz w:val="20"/>
                <w:szCs w:val="20"/>
                <w:lang w:eastAsia="en-GB"/>
              </w:rPr>
              <w:t xml:space="preserve">Housing Delivery Test Result </w:t>
            </w:r>
          </w:p>
        </w:tc>
        <w:tc>
          <w:tcPr>
            <w:tcW w:w="1760" w:type="dxa"/>
            <w:tcBorders>
              <w:top w:val="nil"/>
              <w:left w:val="nil"/>
              <w:bottom w:val="single" w:sz="8" w:space="0" w:color="auto"/>
              <w:right w:val="single" w:sz="8" w:space="0" w:color="auto"/>
            </w:tcBorders>
            <w:shd w:val="clear" w:color="000000" w:fill="BDD6EE"/>
            <w:vAlign w:val="center"/>
            <w:hideMark/>
          </w:tcPr>
          <w:p w14:paraId="2076DDC0" w14:textId="77777777" w:rsidR="00A417AF" w:rsidRPr="00A417AF" w:rsidRDefault="00A417AF" w:rsidP="00A417AF">
            <w:pPr>
              <w:spacing w:after="0" w:line="240" w:lineRule="auto"/>
              <w:jc w:val="both"/>
              <w:rPr>
                <w:rFonts w:ascii="Arial" w:eastAsia="Times New Roman" w:hAnsi="Arial" w:cs="Arial"/>
                <w:b/>
                <w:bCs/>
                <w:color w:val="000000"/>
                <w:sz w:val="20"/>
                <w:szCs w:val="20"/>
                <w:lang w:eastAsia="en-GB"/>
              </w:rPr>
            </w:pPr>
            <w:r w:rsidRPr="00A417AF">
              <w:rPr>
                <w:rFonts w:ascii="Arial" w:eastAsia="Times New Roman" w:hAnsi="Arial" w:cs="Arial"/>
                <w:b/>
                <w:bCs/>
                <w:color w:val="000000"/>
                <w:sz w:val="20"/>
                <w:szCs w:val="20"/>
                <w:lang w:eastAsia="en-GB"/>
              </w:rPr>
              <w:t>153%</w:t>
            </w:r>
          </w:p>
        </w:tc>
      </w:tr>
    </w:tbl>
    <w:p w14:paraId="1C99C50E" w14:textId="7631A377" w:rsidR="006F7115" w:rsidRDefault="006F7115" w:rsidP="00B117FB">
      <w:pPr>
        <w:pStyle w:val="aSPRUSubHeadings"/>
        <w:numPr>
          <w:ilvl w:val="0"/>
          <w:numId w:val="0"/>
        </w:numPr>
        <w:ind w:left="1069"/>
      </w:pPr>
    </w:p>
    <w:p w14:paraId="4FCE332A" w14:textId="5DC8BBDE" w:rsidR="00BE47F9" w:rsidRDefault="00F474C1" w:rsidP="00BE47F9">
      <w:pPr>
        <w:pStyle w:val="SPRUaSubHeadings"/>
        <w:numPr>
          <w:ilvl w:val="0"/>
          <w:numId w:val="36"/>
        </w:numPr>
      </w:pPr>
      <w:bookmarkStart w:id="67" w:name="_Toc62222865"/>
      <w:bookmarkStart w:id="68" w:name="_Toc71576360"/>
      <w:bookmarkStart w:id="69" w:name="_Toc134515184"/>
      <w:r w:rsidRPr="00CA27F8">
        <w:t>Implications of the Housing Delivery Test</w:t>
      </w:r>
      <w:bookmarkEnd w:id="67"/>
      <w:bookmarkEnd w:id="68"/>
      <w:r w:rsidR="00141E02">
        <w:t xml:space="preserve"> for the Appellant’s Case</w:t>
      </w:r>
      <w:bookmarkEnd w:id="69"/>
    </w:p>
    <w:p w14:paraId="37297FCA" w14:textId="2214B7C7" w:rsidR="00F474C1" w:rsidRDefault="00F474C1" w:rsidP="0021610F">
      <w:pPr>
        <w:pStyle w:val="SPRU61Paragraphs"/>
      </w:pPr>
      <w:r w:rsidRPr="00CA27F8">
        <w:t xml:space="preserve">The Housing Delivery Test deals with delivery. </w:t>
      </w:r>
      <w:r>
        <w:t>I</w:t>
      </w:r>
      <w:r w:rsidRPr="00CA27F8">
        <w:t xml:space="preserve">t is agreed that the HDT </w:t>
      </w:r>
      <w:r>
        <w:t xml:space="preserve">is </w:t>
      </w:r>
      <w:r w:rsidRPr="00CA27F8">
        <w:t>passed</w:t>
      </w:r>
      <w:r>
        <w:t>.</w:t>
      </w:r>
    </w:p>
    <w:p w14:paraId="0FDB0C29" w14:textId="66013CD3" w:rsidR="009A229D" w:rsidRDefault="009A229D" w:rsidP="0021610F">
      <w:pPr>
        <w:pStyle w:val="SPRU61Paragraphs"/>
      </w:pPr>
      <w:r>
        <w:t xml:space="preserve">The relevant HDT Result of </w:t>
      </w:r>
      <w:r w:rsidR="00A417AF">
        <w:t>153</w:t>
      </w:r>
      <w:r>
        <w:t xml:space="preserve">% is calculated on a single authority basis for </w:t>
      </w:r>
      <w:r w:rsidR="00A417AF">
        <w:t>Cherwell District</w:t>
      </w:r>
      <w:r>
        <w:t xml:space="preserve">. </w:t>
      </w:r>
      <w:r w:rsidR="00A417AF">
        <w:t>A 5% buffer applies across Cherwell District</w:t>
      </w:r>
      <w:r w:rsidR="009E0A22">
        <w:t>.</w:t>
      </w:r>
    </w:p>
    <w:p w14:paraId="00D770D0" w14:textId="77777777" w:rsidR="00BA7316" w:rsidRPr="00CA27F8" w:rsidRDefault="00BA7316" w:rsidP="0021610F">
      <w:pPr>
        <w:pStyle w:val="SPRU61Paragraphs"/>
      </w:pPr>
      <w:r>
        <w:t xml:space="preserve">The HDT </w:t>
      </w:r>
      <w:r w:rsidRPr="00CA27F8">
        <w:t>cannot determine the approach to calculating the housing requirement and housing land supply, which is a separate subject.</w:t>
      </w:r>
    </w:p>
    <w:p w14:paraId="640F8419" w14:textId="77777777" w:rsidR="00BA7316" w:rsidRPr="00CA27F8" w:rsidRDefault="00BA7316" w:rsidP="0021610F">
      <w:pPr>
        <w:pStyle w:val="SPRU61Paragraphs"/>
      </w:pPr>
      <w:r w:rsidRPr="00CA27F8">
        <w:t>The approach to the housing requirement and housing land supply are set out in the development plan, which s.38(6) requires us to follow.</w:t>
      </w:r>
    </w:p>
    <w:p w14:paraId="592A5E22" w14:textId="5B3E1EC6" w:rsidR="00A417AF" w:rsidRDefault="00F474C1" w:rsidP="0021610F">
      <w:pPr>
        <w:pStyle w:val="SPRU61Paragraphs"/>
      </w:pPr>
      <w:r>
        <w:t xml:space="preserve">The Appellant has </w:t>
      </w:r>
      <w:r w:rsidR="004C5975">
        <w:t xml:space="preserve">confirmed </w:t>
      </w:r>
      <w:r>
        <w:t xml:space="preserve">as part of </w:t>
      </w:r>
      <w:r w:rsidR="00A417AF">
        <w:t>the 4 May signed Statement of Common Ground that the calculation of the Housing Delivery Test is relevant to their proposition for the calculation of the housing requirement against which supply should be assessed:</w:t>
      </w:r>
    </w:p>
    <w:p w14:paraId="2839D8B3" w14:textId="2F9FC6D6" w:rsidR="005640E3" w:rsidRPr="005640E3" w:rsidRDefault="005640E3" w:rsidP="00B93DAD">
      <w:pPr>
        <w:pStyle w:val="SPRUQuotations"/>
        <w:ind w:left="1440"/>
        <w:jc w:val="both"/>
      </w:pPr>
      <w:r w:rsidRPr="005640E3">
        <w:t>“The Appellant’s case is that the 5YHLS for Cherwell should be measured against the local housing need for Cherwell plus the unmet housing need for Oxford. This is consistent with the way the Housing Delivery Test is calculated and with the approach taken in the Vale of White Horse, which has been accepted in a recent appeal decision in Grove (APP/V3120/W/22/3310788).”</w:t>
      </w:r>
    </w:p>
    <w:p w14:paraId="37C64883" w14:textId="5F5BF213" w:rsidR="005640E3" w:rsidRDefault="005640E3" w:rsidP="0021610F">
      <w:pPr>
        <w:pStyle w:val="SPRU61Paragraphs"/>
      </w:pPr>
      <w:r>
        <w:t>There are two elements of this proposition, summarised as follows, that are both incorrect:</w:t>
      </w:r>
    </w:p>
    <w:p w14:paraId="3BAEE9DB" w14:textId="6D14D06A" w:rsidR="005640E3" w:rsidRDefault="005640E3" w:rsidP="007F4105">
      <w:pPr>
        <w:pStyle w:val="SPRUStandard"/>
        <w:numPr>
          <w:ilvl w:val="1"/>
          <w:numId w:val="36"/>
        </w:numPr>
      </w:pPr>
      <w:r>
        <w:t>That the treatment of unmet need within calculation of the HDT is the same as the contribution towards unmet needs provided for by the housing requirement in adopted strategic policies</w:t>
      </w:r>
    </w:p>
    <w:p w14:paraId="75DC1AAD" w14:textId="77777777" w:rsidR="007F4105" w:rsidRDefault="007F4105" w:rsidP="007F4105">
      <w:pPr>
        <w:pStyle w:val="SPRUStandard"/>
        <w:ind w:left="1440"/>
      </w:pPr>
    </w:p>
    <w:p w14:paraId="05E84883" w14:textId="73025346" w:rsidR="005640E3" w:rsidRDefault="005640E3" w:rsidP="007F4105">
      <w:pPr>
        <w:pStyle w:val="SPRUStandard"/>
        <w:numPr>
          <w:ilvl w:val="1"/>
          <w:numId w:val="36"/>
        </w:numPr>
      </w:pPr>
      <w:r>
        <w:lastRenderedPageBreak/>
        <w:t>That the calculation of the HDT within Vale of White Horse District corresponds to the conclusions of the Grove Appeal Decision in terms of the contribution towards Oxford’s unmet needs in that case.</w:t>
      </w:r>
    </w:p>
    <w:p w14:paraId="5572D047" w14:textId="77777777" w:rsidR="007F4105" w:rsidRDefault="007F4105" w:rsidP="007F4105">
      <w:pPr>
        <w:pStyle w:val="SPRU61Paragraphs"/>
        <w:numPr>
          <w:ilvl w:val="0"/>
          <w:numId w:val="0"/>
        </w:numPr>
        <w:ind w:left="737"/>
      </w:pPr>
    </w:p>
    <w:p w14:paraId="3BA47D8B" w14:textId="7038FDF0" w:rsidR="005640E3" w:rsidRDefault="005640E3" w:rsidP="0021610F">
      <w:pPr>
        <w:pStyle w:val="SPRU61Paragraphs"/>
      </w:pPr>
      <w:r>
        <w:t>I illustrate this with reference to the 2021 Housing Delivery Test calculations for both Cherwell District and Vale of White Horse District. References to the national policy and Planning Practice Guidance together with the Housing Delivery Test Rule Book and Housing Delivery Test Measurement Technical Note are also provided.</w:t>
      </w:r>
    </w:p>
    <w:p w14:paraId="1275D457" w14:textId="77777777" w:rsidR="00B1676A" w:rsidRDefault="00FE76CF" w:rsidP="0021610F">
      <w:pPr>
        <w:pStyle w:val="SPRU61Paragraphs"/>
      </w:pPr>
      <w:r>
        <w:t xml:space="preserve">As Appendix 1 to my Proof of Evidence I have prepared calculations of the number of homes required (including unmet needs adjustments) for the HDT </w:t>
      </w:r>
      <w:r w:rsidR="00002AE9">
        <w:t xml:space="preserve">measurement in Cherwell District and Vale of White Horse District. </w:t>
      </w:r>
    </w:p>
    <w:p w14:paraId="0B63D160" w14:textId="2BB67A12" w:rsidR="00FE76CF" w:rsidRDefault="00002AE9" w:rsidP="0021610F">
      <w:pPr>
        <w:pStyle w:val="SPRU61Paragraphs"/>
      </w:pPr>
      <w:r>
        <w:t xml:space="preserve">Both illustrate that the net unmet needs adjustment is not the same as the position the Appellant relies upon to calculate the requirement to assess supply. </w:t>
      </w:r>
      <w:r w:rsidR="00ED2C41">
        <w:t xml:space="preserve">I have also illustrated the calculation of the number of homes required for Oxford City Council </w:t>
      </w:r>
      <w:r w:rsidR="00902737">
        <w:t>to illustrate why the HDT is inconsistent with the requirement against which supply would be assessed in the city if local housing need applied.</w:t>
      </w:r>
      <w:r w:rsidR="004D48F2">
        <w:t xml:space="preserve"> This reinforces that the Appellant’s position on the HDT cannot be applied correctly or consistently to determine the requirement to assess supply.</w:t>
      </w:r>
    </w:p>
    <w:p w14:paraId="4585C2A9" w14:textId="17C2AAD3" w:rsidR="00C20165" w:rsidRPr="00C20165" w:rsidRDefault="00C20165" w:rsidP="00C20165">
      <w:pPr>
        <w:pStyle w:val="aSPRUSubHeadings"/>
      </w:pPr>
      <w:bookmarkStart w:id="70" w:name="_Toc134515186"/>
      <w:r>
        <w:t>Response to the Appellant’s Case</w:t>
      </w:r>
      <w:bookmarkEnd w:id="70"/>
    </w:p>
    <w:p w14:paraId="0FAC4440" w14:textId="637C14FF" w:rsidR="000D19C8" w:rsidRPr="00D96F1D" w:rsidRDefault="00AF187E" w:rsidP="0021610F">
      <w:pPr>
        <w:pStyle w:val="SPRU61Paragraphs"/>
        <w:rPr>
          <w:rFonts w:cstheme="minorHAnsi"/>
          <w:b/>
          <w:bCs/>
          <w:sz w:val="24"/>
        </w:rPr>
      </w:pPr>
      <w:r>
        <w:t xml:space="preserve">It is relevant strategic policies </w:t>
      </w:r>
      <w:r>
        <w:rPr>
          <w:i/>
          <w:iCs/>
        </w:rPr>
        <w:t>providing</w:t>
      </w:r>
      <w:r>
        <w:t xml:space="preserve"> for unmet needs and how these are applied that determines the application of NPPF2021 paragraph 74</w:t>
      </w:r>
      <w:r w:rsidR="00F220E6">
        <w:t xml:space="preserve"> to unmet needs</w:t>
      </w:r>
      <w:r w:rsidR="00435399">
        <w:t>.</w:t>
      </w:r>
      <w:r>
        <w:t xml:space="preserve"> </w:t>
      </w:r>
      <w:r w:rsidR="00435399">
        <w:t>W</w:t>
      </w:r>
      <w:r>
        <w:t xml:space="preserve">hether these continue to </w:t>
      </w:r>
      <w:r w:rsidR="00435399">
        <w:t>relate to the requirement</w:t>
      </w:r>
      <w:r>
        <w:t xml:space="preserve"> against which supply is to be assessed </w:t>
      </w:r>
      <w:r w:rsidR="00435399">
        <w:t xml:space="preserve">for the purposes of a given application continues to be determined separately </w:t>
      </w:r>
      <w:r>
        <w:t>when other policies have been found to require updating.</w:t>
      </w:r>
    </w:p>
    <w:p w14:paraId="13B36427" w14:textId="559F4E9F" w:rsidR="00092973" w:rsidRDefault="00383D06" w:rsidP="0021610F">
      <w:pPr>
        <w:pStyle w:val="SPRU61Paragraphs"/>
      </w:pPr>
      <w:r>
        <w:t xml:space="preserve">There are no provisions to apply the same net unmet needs adjustment </w:t>
      </w:r>
      <w:r w:rsidR="00020372">
        <w:t xml:space="preserve">within the HDT </w:t>
      </w:r>
      <w:r>
        <w:t xml:space="preserve">for the purposes of NPPF2021 paragraph 74. </w:t>
      </w:r>
      <w:r w:rsidR="00092973">
        <w:t xml:space="preserve">It is my view, and consistent with the calculations summarised above that </w:t>
      </w:r>
      <w:r w:rsidR="00092973" w:rsidRPr="00435399">
        <w:rPr>
          <w:b/>
          <w:bCs/>
          <w:u w:val="single"/>
        </w:rPr>
        <w:t>unless there are additional strategic policies</w:t>
      </w:r>
      <w:r w:rsidR="00092973" w:rsidRPr="00435399">
        <w:rPr>
          <w:u w:val="single"/>
        </w:rPr>
        <w:t xml:space="preserve"> </w:t>
      </w:r>
      <w:r w:rsidR="00092973">
        <w:t>dealing with the level and approach of contributions towards unmet needs then unmet needs should not be considered as part of the requirement against which supply is assessed when the second limb of NPPF2021 paragraph 74 and local housing need applies.</w:t>
      </w:r>
      <w:r w:rsidR="00C0270C">
        <w:t xml:space="preserve"> This is entirely consistent with the recent Tewkesbury Appeal Decision in PINS Ref</w:t>
      </w:r>
      <w:r w:rsidR="00882C60">
        <w:t>: 3284820 (</w:t>
      </w:r>
      <w:proofErr w:type="spellStart"/>
      <w:r w:rsidR="00882C60">
        <w:t>CDxx</w:t>
      </w:r>
      <w:proofErr w:type="spellEnd"/>
      <w:r w:rsidR="00882C60">
        <w:t>).</w:t>
      </w:r>
    </w:p>
    <w:p w14:paraId="03BF4A3D" w14:textId="50F4F631" w:rsidR="00435399" w:rsidRDefault="00383D06" w:rsidP="0021610F">
      <w:pPr>
        <w:pStyle w:val="SPRU61Paragraphs"/>
      </w:pPr>
      <w:r>
        <w:t xml:space="preserve">This </w:t>
      </w:r>
      <w:r w:rsidR="00092973">
        <w:t>would also be</w:t>
      </w:r>
      <w:r>
        <w:t xml:space="preserve"> consistent with continuing to operate separate </w:t>
      </w:r>
      <w:r w:rsidR="00092973">
        <w:t>arrangements</w:t>
      </w:r>
      <w:r>
        <w:t xml:space="preserve"> for monitoring the supply from sites previously identified to make a specific contribution towards unmet needs</w:t>
      </w:r>
      <w:r w:rsidR="00435399">
        <w:t>. This may be the approach to monitoring</w:t>
      </w:r>
      <w:r>
        <w:t xml:space="preserve"> even were these to no longer relate to a specific housing requirement that continues to be applied for the purposes of adopted strategic policies</w:t>
      </w:r>
      <w:r w:rsidR="0054478F">
        <w:t xml:space="preserve"> (which is not the case in Cherwell)</w:t>
      </w:r>
      <w:r>
        <w:t xml:space="preserve">. </w:t>
      </w:r>
    </w:p>
    <w:p w14:paraId="1E74D108" w14:textId="70244D15" w:rsidR="00383D06" w:rsidRDefault="00383D06" w:rsidP="0021610F">
      <w:pPr>
        <w:pStyle w:val="SPRU61Paragraphs"/>
      </w:pPr>
      <w:r>
        <w:t xml:space="preserve">Such an approach would, for example, ensure that such sites were not being counted towards a local planning authority’s local housing need in circumstances where there is an </w:t>
      </w:r>
      <w:proofErr w:type="gramStart"/>
      <w:r>
        <w:t>expectation</w:t>
      </w:r>
      <w:proofErr w:type="gramEnd"/>
      <w:r>
        <w:t xml:space="preserve"> they would continue to form part of identified provision towards future levels of unmet need to be identified in subsequent rounds of plan-making.</w:t>
      </w:r>
      <w:r w:rsidR="00C20165">
        <w:t xml:space="preserve"> This is consistent with how the housing requirement related to contributions towards part of Oxford’s unmet needs is currently being applied and monitored through the policies of the Partial Review.</w:t>
      </w:r>
    </w:p>
    <w:p w14:paraId="681B2304" w14:textId="42950D4A" w:rsidR="00F474C1" w:rsidRPr="00CA27F8" w:rsidRDefault="00496581" w:rsidP="0021610F">
      <w:pPr>
        <w:pStyle w:val="SPRU61Paragraphs"/>
      </w:pPr>
      <w:r>
        <w:t xml:space="preserve">This relates back to the language of NPPF2021 paragraph 74 where the housing requirement in adopted strategic policies may require regard to more than one policy. The </w:t>
      </w:r>
      <w:proofErr w:type="gramStart"/>
      <w:r w:rsidR="00F474C1" w:rsidRPr="00CA27F8">
        <w:t>manner in which</w:t>
      </w:r>
      <w:proofErr w:type="gramEnd"/>
      <w:r w:rsidR="00F474C1" w:rsidRPr="00CA27F8">
        <w:t xml:space="preserve"> aspects of the housing requirement (such as contributions towards unmet need) are apportioned will not necessarily be the same as the net calculation of unmet needs derived on a single authority basis for the purposes of the Housing Delivery Test.</w:t>
      </w:r>
      <w:r w:rsidR="00C20165">
        <w:t xml:space="preserve"> In the case of Cherwell </w:t>
      </w:r>
      <w:r w:rsidR="00540FBE">
        <w:t>District,</w:t>
      </w:r>
      <w:r w:rsidR="00C20165">
        <w:t xml:space="preserve"> they are fundamentally different.</w:t>
      </w:r>
    </w:p>
    <w:p w14:paraId="2ED53541" w14:textId="66EE6DAA" w:rsidR="007B20B3" w:rsidRDefault="007B20B3" w:rsidP="006F7115">
      <w:pPr>
        <w:pStyle w:val="SPRUChapterHeadings10"/>
      </w:pPr>
      <w:bookmarkStart w:id="71" w:name="_Toc134515200"/>
      <w:bookmarkStart w:id="72" w:name="_Toc62222881"/>
      <w:bookmarkStart w:id="73" w:name="_Toc64379103"/>
      <w:bookmarkEnd w:id="66"/>
      <w:r>
        <w:lastRenderedPageBreak/>
        <w:t>Assessment of Disputed SUpply from Specific Deliverable Sites</w:t>
      </w:r>
      <w:bookmarkEnd w:id="71"/>
    </w:p>
    <w:p w14:paraId="63F1F9C8" w14:textId="0F784208" w:rsidR="007B20B3" w:rsidRDefault="007B20B3" w:rsidP="002455BA">
      <w:pPr>
        <w:pStyle w:val="aSPRUSubHeadings"/>
        <w:numPr>
          <w:ilvl w:val="0"/>
          <w:numId w:val="52"/>
        </w:numPr>
      </w:pPr>
      <w:bookmarkStart w:id="74" w:name="_Toc134515201"/>
      <w:r>
        <w:t>Introduction</w:t>
      </w:r>
      <w:bookmarkEnd w:id="74"/>
    </w:p>
    <w:p w14:paraId="651B44ED" w14:textId="6668E41A" w:rsidR="007747B0" w:rsidRDefault="007B20B3" w:rsidP="006F28DA">
      <w:pPr>
        <w:pStyle w:val="SPRU71Paragraphs"/>
      </w:pPr>
      <w:r>
        <w:t xml:space="preserve">Details within the </w:t>
      </w:r>
      <w:r w:rsidR="005558DB">
        <w:t xml:space="preserve">first signed </w:t>
      </w:r>
      <w:r>
        <w:t xml:space="preserve">Topic </w:t>
      </w:r>
      <w:proofErr w:type="spellStart"/>
      <w:r>
        <w:t>SoCG</w:t>
      </w:r>
      <w:proofErr w:type="spellEnd"/>
      <w:r>
        <w:t xml:space="preserve"> reflect the first time that the Appellant has sought to substantiate their position of a shortfall in the assessment of supply against </w:t>
      </w:r>
      <w:bookmarkStart w:id="75" w:name="_Toc65598646"/>
      <w:r w:rsidR="007747B0">
        <w:t>the parties’ respective cases for the housing requirement.</w:t>
      </w:r>
    </w:p>
    <w:p w14:paraId="6AA7ECCB" w14:textId="6A3954CA" w:rsidR="005558DB" w:rsidRDefault="00AD6E00" w:rsidP="006F28DA">
      <w:pPr>
        <w:pStyle w:val="SPRU71Paragraphs"/>
      </w:pPr>
      <w:r>
        <w:t>I</w:t>
      </w:r>
      <w:r w:rsidR="005558DB">
        <w:t>n the absence of evidence or commentary adduced by the Appellant in respect of disputed supply the Council reserves its position to respond further and unless expressly stated relies on the assessment of deliverable supply and commentary within its latest Housing Land Supply Statement (published February 2023)</w:t>
      </w:r>
      <w:r>
        <w:t>.</w:t>
      </w:r>
    </w:p>
    <w:p w14:paraId="3F24D6B6" w14:textId="4C31F638" w:rsidR="00513210" w:rsidRDefault="00513D9A" w:rsidP="00556DE9">
      <w:pPr>
        <w:pStyle w:val="aSPRUSubHeadings"/>
      </w:pPr>
      <w:bookmarkStart w:id="76" w:name="_Toc130310112"/>
      <w:bookmarkStart w:id="77" w:name="_Toc134515202"/>
      <w:r>
        <w:t xml:space="preserve">My Position </w:t>
      </w:r>
      <w:r w:rsidR="00802A9A">
        <w:t>Prior to</w:t>
      </w:r>
      <w:r>
        <w:t xml:space="preserve"> Responding to the Appellant’s Position on Forecast Supply</w:t>
      </w:r>
      <w:r w:rsidR="00513210">
        <w:t xml:space="preserve"> with Regards to National Policy and Guidance</w:t>
      </w:r>
      <w:bookmarkEnd w:id="76"/>
      <w:bookmarkEnd w:id="77"/>
    </w:p>
    <w:p w14:paraId="034DD75E" w14:textId="52E0B157" w:rsidR="00513210" w:rsidRDefault="00BF4554" w:rsidP="006F28DA">
      <w:pPr>
        <w:pStyle w:val="SPRU71Paragraphs"/>
      </w:pPr>
      <w:r>
        <w:t xml:space="preserve">Pending receipt of details for supply contested by the Appellant I set out my position </w:t>
      </w:r>
      <w:r w:rsidR="00071185">
        <w:t>on matters to be considered in providing a response.</w:t>
      </w:r>
    </w:p>
    <w:p w14:paraId="6A90C8EF" w14:textId="77777777" w:rsidR="00717D93" w:rsidRDefault="0072197F" w:rsidP="006F28DA">
      <w:pPr>
        <w:pStyle w:val="SPRU71Paragraphs"/>
      </w:pPr>
      <w:r>
        <w:t xml:space="preserve">In seeking to narrow any dispute between the parties I highlight that the Appellant’s approach to identifying </w:t>
      </w:r>
      <w:r w:rsidR="00DB1F21">
        <w:t xml:space="preserve">contested sites must be consistent and objective. </w:t>
      </w:r>
    </w:p>
    <w:p w14:paraId="5C4BDD0E" w14:textId="418A1D3F" w:rsidR="00513210" w:rsidRDefault="00A767FA" w:rsidP="006F28DA">
      <w:pPr>
        <w:pStyle w:val="SPRU71Paragraphs"/>
      </w:pPr>
      <w:r>
        <w:t>The Appellant has indicated an intention to contest sites falling u</w:t>
      </w:r>
      <w:r w:rsidR="000967A7">
        <w:t>nder the examples given in both parts (a) and (b) of the NPPF2021 definition of deliverable</w:t>
      </w:r>
      <w:r w:rsidR="003C4B93">
        <w:t xml:space="preserve"> including those </w:t>
      </w:r>
      <w:proofErr w:type="gramStart"/>
      <w:r w:rsidR="003C4B93">
        <w:t>that</w:t>
      </w:r>
      <w:r w:rsidR="000967A7">
        <w:t xml:space="preserve"> </w:t>
      </w:r>
      <w:r w:rsidR="00513210">
        <w:t xml:space="preserve"> wholly</w:t>
      </w:r>
      <w:proofErr w:type="gramEnd"/>
      <w:r w:rsidR="00513210">
        <w:t xml:space="preserve"> or partly benefitted from a detailed permission at the base-date. In those circumstances the Appellants effectively seek two opportunities to contest deliverability on relevant ‘part (a) sites’:</w:t>
      </w:r>
    </w:p>
    <w:p w14:paraId="656C4CDC" w14:textId="77777777" w:rsidR="00513210" w:rsidRDefault="00513210" w:rsidP="002455BA">
      <w:pPr>
        <w:pStyle w:val="SPRU31Paragraphs"/>
        <w:numPr>
          <w:ilvl w:val="0"/>
          <w:numId w:val="50"/>
        </w:numPr>
      </w:pPr>
      <w:r>
        <w:t>To suggest that part (a) of the NPPF2019 test was not satisfied on 1 April 2022.</w:t>
      </w:r>
    </w:p>
    <w:p w14:paraId="06CD7E8C" w14:textId="77777777" w:rsidR="00513210" w:rsidRDefault="00513210" w:rsidP="002455BA">
      <w:pPr>
        <w:pStyle w:val="SPRU31Paragraphs"/>
        <w:numPr>
          <w:ilvl w:val="0"/>
          <w:numId w:val="50"/>
        </w:numPr>
      </w:pPr>
      <w:r>
        <w:t xml:space="preserve">To consider further information post-dating 1 April 2022 to suggest </w:t>
      </w:r>
      <w:r>
        <w:rPr>
          <w:i/>
          <w:iCs/>
        </w:rPr>
        <w:t>clear evidence</w:t>
      </w:r>
      <w:r>
        <w:t xml:space="preserve"> that homes will not be delivered within five years.</w:t>
      </w:r>
    </w:p>
    <w:p w14:paraId="147C868C" w14:textId="28350ED4" w:rsidR="00513210" w:rsidRDefault="00513210" w:rsidP="006F28DA">
      <w:pPr>
        <w:pStyle w:val="SPRU71Paragraphs"/>
      </w:pPr>
      <w:r>
        <w:t xml:space="preserve">For the relevant sites contested by the Appellants more recent information, relevant to point (2) above, </w:t>
      </w:r>
      <w:r w:rsidR="003C4B93">
        <w:t>would be</w:t>
      </w:r>
      <w:r>
        <w:t xml:space="preserve"> considered by the Appellants. Whether this amounts to </w:t>
      </w:r>
      <w:r>
        <w:rPr>
          <w:i/>
          <w:iCs/>
        </w:rPr>
        <w:t>clear evidence</w:t>
      </w:r>
      <w:r>
        <w:t xml:space="preserve"> to rebut the part (a) presumption of deliverability at the base-date is of course a matter of planning judgement. </w:t>
      </w:r>
    </w:p>
    <w:p w14:paraId="0842597E" w14:textId="77777777" w:rsidR="00513210" w:rsidRDefault="00513210" w:rsidP="006F28DA">
      <w:pPr>
        <w:pStyle w:val="SPRU71Paragraphs"/>
      </w:pPr>
      <w:r>
        <w:t>The Council’s published assessment also includes sites falling under ‘part (b)’ of the NPPF2019 definition of deliverable where the onus falls upon the local planning authority to provide clear evidence of deliverability. Judgements on the deliverability of sites (or parts thereof) falling under part (b) is therefore also relevant to the dispute between the parties on specific sites.</w:t>
      </w:r>
    </w:p>
    <w:p w14:paraId="746FE5D3" w14:textId="77777777" w:rsidR="00513210" w:rsidRDefault="00513210" w:rsidP="006F28DA">
      <w:pPr>
        <w:pStyle w:val="SPRU71Paragraphs"/>
      </w:pPr>
      <w:r>
        <w:t>Revisiting the assessment of deliverability for sites falling under part (a) or part (b) of the definition must have regard to whether these meet the NPPF central test that there is a realistic prospect that housing will be delivered within five years</w:t>
      </w:r>
      <w:r>
        <w:rPr>
          <w:rStyle w:val="FootnoteReference"/>
        </w:rPr>
        <w:footnoteReference w:id="6"/>
      </w:r>
      <w:r>
        <w:t xml:space="preserve"> – that they are available now, offer a suitable location for development now, and are achievable. </w:t>
      </w:r>
    </w:p>
    <w:p w14:paraId="03D0D28E" w14:textId="55273D2D" w:rsidR="00513210" w:rsidRDefault="00513210" w:rsidP="006F28DA">
      <w:pPr>
        <w:pStyle w:val="SPRU71Paragraphs"/>
      </w:pPr>
      <w:r>
        <w:t xml:space="preserve">The PPG sets out a non-exhaustive list of evidence that may be considered to demonstrate deliverability and the progress of sites (ID: 68-007-20190722). The Council’s published position draws upon these examples within the PPG, including in some cases the </w:t>
      </w:r>
      <w:r w:rsidR="000531BA">
        <w:t>engagement with developers as outlined in Paragraph 35 of the HLSS</w:t>
      </w:r>
      <w:r>
        <w:t xml:space="preserve">. In themselves these </w:t>
      </w:r>
      <w:r>
        <w:lastRenderedPageBreak/>
        <w:t xml:space="preserve">are neither a pre-requisite for confirming deliverability nor confirmation of clear evidence of a realistic prospect. The published position cannot reflect the totality of information available to the Council in terms of the status of sites within the development management process and can only provide a snapshot in time in terms of the position for development of the site. </w:t>
      </w:r>
    </w:p>
    <w:p w14:paraId="7D2A51A5" w14:textId="2CE607B9" w:rsidR="00513210" w:rsidRDefault="00513210" w:rsidP="006F28DA">
      <w:pPr>
        <w:pStyle w:val="SPRU71Paragraphs"/>
      </w:pPr>
      <w:r>
        <w:t>I draw attention to Inspector Clark’s Decision Letter for Poplar Hill, Stowmarket (PINS Ref: 3214324) (</w:t>
      </w:r>
      <w:proofErr w:type="spellStart"/>
      <w:r>
        <w:t>CD</w:t>
      </w:r>
      <w:r w:rsidR="00901DB0">
        <w:t>xx</w:t>
      </w:r>
      <w:proofErr w:type="spellEnd"/>
      <w:r>
        <w:t>) which supports my view on the approach to assessing deliverability. The second and third main criticisms of the Council’s evidence in that Appeal related to respectively whether information gathered after the cut-off date may be relevant when it confirms assumptions applied when deciding what should be included in forecast supply; and whether sites without Reserved Matters approval at the base-date should be included in the supply. The Inspector found in favour of the Council on both points (DL Paragraph 61 – 63) where the Council demonstrated that its assumptions were well-founded.</w:t>
      </w:r>
    </w:p>
    <w:p w14:paraId="5B8B32C2" w14:textId="77777777" w:rsidR="00513210" w:rsidRDefault="00513210" w:rsidP="006F28DA">
      <w:pPr>
        <w:pStyle w:val="SPRU71Paragraphs"/>
      </w:pPr>
      <w:r>
        <w:t>Local evidence such as likely build-out rates on sites with similar characteristics, and timescales for development, as specified in the PPG for the purposes of assessing the developability or deliverability of sites (ID: 68-020-20190722) also reasonably falls into an understanding of the position on disputed sites when relevant to judgement at the base-date.</w:t>
      </w:r>
    </w:p>
    <w:p w14:paraId="06271439" w14:textId="77777777" w:rsidR="00513210" w:rsidRDefault="00513210" w:rsidP="006F28DA">
      <w:pPr>
        <w:pStyle w:val="SPRU71Paragraphs"/>
      </w:pPr>
      <w:r>
        <w:t xml:space="preserve">The following points </w:t>
      </w:r>
      <w:proofErr w:type="gramStart"/>
      <w:r>
        <w:t>are  relevant</w:t>
      </w:r>
      <w:proofErr w:type="gramEnd"/>
      <w:r>
        <w:t>:</w:t>
      </w:r>
    </w:p>
    <w:p w14:paraId="243F76B9" w14:textId="77777777" w:rsidR="00513210" w:rsidRDefault="00513210" w:rsidP="002455BA">
      <w:pPr>
        <w:pStyle w:val="SPRU31Paragraphs"/>
        <w:numPr>
          <w:ilvl w:val="0"/>
          <w:numId w:val="51"/>
        </w:numPr>
      </w:pPr>
      <w:r>
        <w:t>It is necessary to objectively revisit all parts of the Council’s conclusions where there is a requirement to demonstrate clear evidence of a realistic prospect for completions beginning on site within five years.</w:t>
      </w:r>
    </w:p>
    <w:p w14:paraId="31BA4A89" w14:textId="77777777" w:rsidR="00513210" w:rsidRDefault="00513210" w:rsidP="002455BA">
      <w:pPr>
        <w:pStyle w:val="SPRU31Paragraphs"/>
        <w:numPr>
          <w:ilvl w:val="0"/>
          <w:numId w:val="51"/>
        </w:numPr>
      </w:pPr>
      <w:r>
        <w:t>Where other evidence is relied upon to inform assessments of delivery rates and timescales this should be applied objectively to all sites in dispute. It should further be recognised that this information may be different to the combination of factors used to inform the Council’s judgement of deliverability in the published assessment.</w:t>
      </w:r>
    </w:p>
    <w:p w14:paraId="7E7B50D3" w14:textId="46DAF344" w:rsidR="00E00B78" w:rsidRDefault="000E623D" w:rsidP="00556DE9">
      <w:pPr>
        <w:pStyle w:val="aSPRUSubHeadings"/>
      </w:pPr>
      <w:bookmarkStart w:id="78" w:name="_Toc134515203"/>
      <w:r>
        <w:t xml:space="preserve">Summary of Disputed Supply from Specific Sites Referenced in the Topic </w:t>
      </w:r>
      <w:proofErr w:type="spellStart"/>
      <w:r>
        <w:t>SoCG</w:t>
      </w:r>
      <w:proofErr w:type="spellEnd"/>
    </w:p>
    <w:p w14:paraId="2CBEB9C1" w14:textId="77777777" w:rsidR="00D6179A" w:rsidRDefault="00811194" w:rsidP="00811194">
      <w:pPr>
        <w:pStyle w:val="SPRU71Paragraphs"/>
      </w:pPr>
      <w:r>
        <w:t xml:space="preserve">In Table xx below I have set out </w:t>
      </w:r>
      <w:r w:rsidR="00AC28D3">
        <w:t xml:space="preserve">those sites identified by the Appellant within the Topic </w:t>
      </w:r>
      <w:proofErr w:type="spellStart"/>
      <w:r w:rsidR="00AC28D3">
        <w:t>SoCG</w:t>
      </w:r>
      <w:proofErr w:type="spellEnd"/>
      <w:r w:rsidR="00AC28D3">
        <w:t xml:space="preserve"> where the </w:t>
      </w:r>
      <w:r w:rsidR="004353AA">
        <w:t xml:space="preserve">Council’s published assessment of deliverable supply </w:t>
      </w:r>
      <w:proofErr w:type="gramStart"/>
      <w:r w:rsidR="004353AA">
        <w:t xml:space="preserve">is </w:t>
      </w:r>
      <w:r w:rsidR="00BA176E">
        <w:t>considered to be</w:t>
      </w:r>
      <w:proofErr w:type="gramEnd"/>
      <w:r w:rsidR="00BA176E">
        <w:t xml:space="preserve"> in dispute. </w:t>
      </w:r>
    </w:p>
    <w:p w14:paraId="37984927" w14:textId="395FD6C3" w:rsidR="00811194" w:rsidRDefault="00BA176E" w:rsidP="00811194">
      <w:pPr>
        <w:pStyle w:val="SPRU71Paragraphs"/>
      </w:pPr>
      <w:r>
        <w:t xml:space="preserve">I have included only those sites relevant to the Council’s case </w:t>
      </w:r>
      <w:r w:rsidR="000C402B">
        <w:t xml:space="preserve">to assess supply against the requirement </w:t>
      </w:r>
      <w:r w:rsidR="00D6179A">
        <w:t>based upon local housing need for Cherwell District. This excludes the contribution from any supply identified to contribute towards Oxford’s unmet needs from the Partial Review Local Plan.</w:t>
      </w:r>
    </w:p>
    <w:p w14:paraId="4396D16F" w14:textId="77777777" w:rsidR="00EA3219" w:rsidRDefault="00B76247" w:rsidP="00811194">
      <w:pPr>
        <w:pStyle w:val="SPRU71Paragraphs"/>
      </w:pPr>
      <w:r>
        <w:t>Prior to receipt of reasons to contest the Council’s assessment</w:t>
      </w:r>
      <w:r w:rsidR="00406A1B">
        <w:t xml:space="preserve"> I would note that </w:t>
      </w:r>
      <w:r w:rsidR="00265A68">
        <w:t>in setting these out the Appellant is required to have regard to the Council</w:t>
      </w:r>
      <w:r w:rsidR="00D8512D">
        <w:t xml:space="preserve">’s approach to assessing supply in the latest Statement. This includes the commentary provided for each site, together with the overarching context provided within the document. </w:t>
      </w:r>
    </w:p>
    <w:p w14:paraId="32FE9BE6" w14:textId="77777777" w:rsidR="0010531D" w:rsidRDefault="00D8512D" w:rsidP="00811194">
      <w:pPr>
        <w:pStyle w:val="SPRU71Paragraphs"/>
      </w:pPr>
      <w:r>
        <w:t>Th</w:t>
      </w:r>
      <w:r w:rsidR="00373DA3">
        <w:t>e Statement references</w:t>
      </w:r>
      <w:r>
        <w:t xml:space="preserve"> </w:t>
      </w:r>
      <w:r w:rsidR="001B56E9">
        <w:t xml:space="preserve">the range of evidence that the Council references as relevant </w:t>
      </w:r>
      <w:r w:rsidR="002E345E">
        <w:t>for consideration up to December 2022 (</w:t>
      </w:r>
      <w:proofErr w:type="spellStart"/>
      <w:r w:rsidR="002E345E">
        <w:t>CDxx</w:t>
      </w:r>
      <w:proofErr w:type="spellEnd"/>
      <w:r w:rsidR="002E345E">
        <w:t xml:space="preserve"> paragraph 35)</w:t>
      </w:r>
      <w:r w:rsidR="00373DA3">
        <w:t xml:space="preserve">. Paragraph 38 of the Statement </w:t>
      </w:r>
      <w:r w:rsidR="00314B4A">
        <w:t xml:space="preserve">provides an illustration that the Council has generally maintained a conservative assessment to the contribution of supply from sites such as </w:t>
      </w:r>
      <w:proofErr w:type="gramStart"/>
      <w:r w:rsidR="00314B4A">
        <w:t>North West</w:t>
      </w:r>
      <w:proofErr w:type="gramEnd"/>
      <w:r w:rsidR="00314B4A">
        <w:t xml:space="preserve"> Bicester in terms of start dates and build-out rates.</w:t>
      </w:r>
    </w:p>
    <w:p w14:paraId="4EC82F55" w14:textId="77777777" w:rsidR="00201446" w:rsidRDefault="00314B4A" w:rsidP="00811194">
      <w:pPr>
        <w:pStyle w:val="SPRU71Paragraphs"/>
        <w:sectPr w:rsidR="00201446" w:rsidSect="006F7115">
          <w:headerReference w:type="first" r:id="rId20"/>
          <w:pgSz w:w="11907" w:h="16840" w:code="9"/>
          <w:pgMar w:top="2268" w:right="1134" w:bottom="1134" w:left="1134" w:header="567" w:footer="567" w:gutter="0"/>
          <w:cols w:space="708"/>
          <w:docGrid w:linePitch="299"/>
        </w:sectPr>
      </w:pPr>
      <w:r>
        <w:t xml:space="preserve"> </w:t>
      </w:r>
      <w:r w:rsidR="005A64E1">
        <w:t xml:space="preserve">I have highlighted within the previous sub-section that </w:t>
      </w:r>
      <w:r w:rsidR="008D7188">
        <w:t xml:space="preserve">progress since the base-date is relevant to reviewing conclusions on deliverability and the Council’s judgement at the previous base date. </w:t>
      </w:r>
      <w:r w:rsidR="00EA3219">
        <w:t xml:space="preserve">The Appellant is required also required to take this into account </w:t>
      </w:r>
      <w:r w:rsidR="00D87DEE">
        <w:t xml:space="preserve">if guidance is to be applied consistently </w:t>
      </w:r>
      <w:r w:rsidR="004726C7">
        <w:t>in contesting the Council’s position.</w:t>
      </w:r>
    </w:p>
    <w:p w14:paraId="04A4B7D1" w14:textId="77777777" w:rsidR="001616AF" w:rsidRDefault="001616AF" w:rsidP="001616AF">
      <w:pPr>
        <w:pStyle w:val="SPRUTables"/>
        <w:numPr>
          <w:ilvl w:val="0"/>
          <w:numId w:val="0"/>
        </w:numPr>
        <w:ind w:left="1080"/>
      </w:pPr>
    </w:p>
    <w:p w14:paraId="5C117DEA" w14:textId="21C7AF81" w:rsidR="00AA6442" w:rsidRDefault="001616AF" w:rsidP="001616AF">
      <w:pPr>
        <w:pStyle w:val="SPRUTables"/>
      </w:pPr>
      <w:r>
        <w:t xml:space="preserve">Summary of Disputed Supply from Specific Sites Identified Within the Topic </w:t>
      </w:r>
      <w:proofErr w:type="spellStart"/>
      <w:r>
        <w:t>SoCG</w:t>
      </w:r>
      <w:proofErr w:type="spellEnd"/>
    </w:p>
    <w:tbl>
      <w:tblPr>
        <w:tblpPr w:leftFromText="180" w:rightFromText="180" w:vertAnchor="text"/>
        <w:tblW w:w="14591" w:type="dxa"/>
        <w:tblCellMar>
          <w:left w:w="0" w:type="dxa"/>
          <w:right w:w="0" w:type="dxa"/>
        </w:tblCellMar>
        <w:tblLook w:val="04A0" w:firstRow="1" w:lastRow="0" w:firstColumn="1" w:lastColumn="0" w:noHBand="0" w:noVBand="1"/>
      </w:tblPr>
      <w:tblGrid>
        <w:gridCol w:w="1743"/>
        <w:gridCol w:w="1625"/>
        <w:gridCol w:w="1367"/>
        <w:gridCol w:w="1239"/>
        <w:gridCol w:w="1468"/>
        <w:gridCol w:w="1423"/>
        <w:gridCol w:w="5726"/>
      </w:tblGrid>
      <w:tr w:rsidR="00AA6442" w:rsidRPr="00537689" w14:paraId="20F2C89E" w14:textId="77777777" w:rsidTr="001616AF">
        <w:trPr>
          <w:cantSplit/>
          <w:trHeight w:val="680"/>
          <w:tblHeader/>
        </w:trPr>
        <w:tc>
          <w:tcPr>
            <w:tcW w:w="1743" w:type="dxa"/>
            <w:tcBorders>
              <w:top w:val="single" w:sz="8" w:space="0" w:color="auto"/>
              <w:left w:val="single" w:sz="8" w:space="0" w:color="auto"/>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5BCE0CC5" w14:textId="77777777" w:rsidR="00201446" w:rsidRPr="00537689" w:rsidRDefault="00201446" w:rsidP="00AA6442">
            <w:pPr>
              <w:pStyle w:val="Tableorfiguretitle"/>
              <w:spacing w:before="0" w:after="0" w:line="240" w:lineRule="auto"/>
              <w:rPr>
                <w:rFonts w:ascii="Arial" w:hAnsi="Arial" w:cs="Arial"/>
                <w:b/>
                <w:bCs/>
                <w:color w:val="auto"/>
                <w:spacing w:val="10"/>
                <w:sz w:val="18"/>
                <w:szCs w:val="18"/>
                <w:lang w:eastAsia="en-US"/>
              </w:rPr>
            </w:pPr>
            <w:r w:rsidRPr="00537689">
              <w:rPr>
                <w:rFonts w:ascii="Arial" w:hAnsi="Arial" w:cs="Arial"/>
                <w:b/>
                <w:bCs/>
                <w:color w:val="auto"/>
                <w:spacing w:val="10"/>
                <w:sz w:val="18"/>
                <w:szCs w:val="18"/>
                <w:lang w:eastAsia="en-US"/>
              </w:rPr>
              <w:t>LPA ref:</w:t>
            </w:r>
          </w:p>
        </w:tc>
        <w:tc>
          <w:tcPr>
            <w:tcW w:w="1625"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0ACCBB1C" w14:textId="77777777" w:rsidR="00201446" w:rsidRPr="00537689" w:rsidRDefault="00201446" w:rsidP="00AA6442">
            <w:pPr>
              <w:pStyle w:val="Tableorfiguretitle"/>
              <w:spacing w:before="0" w:after="0" w:line="240" w:lineRule="auto"/>
              <w:rPr>
                <w:rFonts w:ascii="Arial" w:hAnsi="Arial" w:cs="Arial"/>
                <w:b/>
                <w:bCs/>
                <w:color w:val="auto"/>
                <w:spacing w:val="10"/>
                <w:sz w:val="18"/>
                <w:szCs w:val="18"/>
                <w:lang w:eastAsia="en-US"/>
              </w:rPr>
            </w:pPr>
            <w:r w:rsidRPr="00537689">
              <w:rPr>
                <w:rFonts w:ascii="Arial" w:hAnsi="Arial" w:cs="Arial"/>
                <w:b/>
                <w:bCs/>
                <w:color w:val="auto"/>
                <w:spacing w:val="10"/>
                <w:sz w:val="18"/>
                <w:szCs w:val="18"/>
                <w:lang w:eastAsia="en-US"/>
              </w:rPr>
              <w:t>Address</w:t>
            </w:r>
          </w:p>
        </w:tc>
        <w:tc>
          <w:tcPr>
            <w:tcW w:w="1367"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B32D6F8" w14:textId="77777777" w:rsidR="00201446" w:rsidRPr="00537689" w:rsidRDefault="00201446" w:rsidP="00AA6442">
            <w:pPr>
              <w:pStyle w:val="Tableorfiguretitle"/>
              <w:spacing w:before="0" w:after="0" w:line="240" w:lineRule="auto"/>
              <w:rPr>
                <w:rFonts w:ascii="Arial" w:hAnsi="Arial" w:cs="Arial"/>
                <w:b/>
                <w:bCs/>
                <w:color w:val="auto"/>
                <w:spacing w:val="10"/>
                <w:sz w:val="18"/>
                <w:szCs w:val="18"/>
                <w:lang w:eastAsia="en-US"/>
              </w:rPr>
            </w:pPr>
            <w:r w:rsidRPr="00537689">
              <w:rPr>
                <w:rFonts w:ascii="Arial" w:hAnsi="Arial" w:cs="Arial"/>
                <w:b/>
                <w:bCs/>
                <w:color w:val="auto"/>
                <w:spacing w:val="10"/>
                <w:sz w:val="18"/>
                <w:szCs w:val="18"/>
                <w:lang w:eastAsia="en-US"/>
              </w:rPr>
              <w:t>Capacity</w:t>
            </w:r>
          </w:p>
          <w:p w14:paraId="186DD1F8" w14:textId="77777777" w:rsidR="00201446" w:rsidRPr="00537689" w:rsidRDefault="00201446" w:rsidP="00AA6442">
            <w:pPr>
              <w:pStyle w:val="Tableorfiguretitle"/>
              <w:spacing w:before="0" w:after="0" w:line="240" w:lineRule="auto"/>
              <w:rPr>
                <w:rFonts w:ascii="Arial" w:hAnsi="Arial" w:cs="Arial"/>
                <w:b/>
                <w:bCs/>
                <w:color w:val="auto"/>
                <w:spacing w:val="10"/>
                <w:sz w:val="18"/>
                <w:szCs w:val="18"/>
                <w:lang w:eastAsia="en-US"/>
              </w:rPr>
            </w:pPr>
            <w:r w:rsidRPr="00537689">
              <w:rPr>
                <w:rFonts w:ascii="Arial" w:hAnsi="Arial" w:cs="Arial"/>
                <w:b/>
                <w:bCs/>
                <w:color w:val="auto"/>
                <w:spacing w:val="10"/>
                <w:sz w:val="18"/>
                <w:szCs w:val="18"/>
                <w:lang w:eastAsia="en-US"/>
              </w:rPr>
              <w:t>(Net)</w:t>
            </w:r>
          </w:p>
        </w:tc>
        <w:tc>
          <w:tcPr>
            <w:tcW w:w="1239"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81CE3E5" w14:textId="77777777" w:rsidR="00201446" w:rsidRPr="00537689" w:rsidRDefault="00201446" w:rsidP="00AA6442">
            <w:pPr>
              <w:pStyle w:val="Tableorfiguretitle"/>
              <w:spacing w:before="0" w:after="0" w:line="240" w:lineRule="auto"/>
              <w:rPr>
                <w:rFonts w:ascii="Arial" w:hAnsi="Arial" w:cs="Arial"/>
                <w:b/>
                <w:bCs/>
                <w:color w:val="auto"/>
                <w:spacing w:val="10"/>
                <w:sz w:val="18"/>
                <w:szCs w:val="18"/>
                <w:lang w:eastAsia="en-US"/>
              </w:rPr>
            </w:pPr>
            <w:r w:rsidRPr="00537689">
              <w:rPr>
                <w:rFonts w:ascii="Arial" w:hAnsi="Arial" w:cs="Arial"/>
                <w:b/>
                <w:bCs/>
                <w:color w:val="auto"/>
                <w:spacing w:val="10"/>
                <w:sz w:val="18"/>
                <w:szCs w:val="18"/>
                <w:lang w:eastAsia="en-US"/>
              </w:rPr>
              <w:t>Council 5YHLS</w:t>
            </w:r>
          </w:p>
        </w:tc>
        <w:tc>
          <w:tcPr>
            <w:tcW w:w="1468"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175FA900" w14:textId="77777777" w:rsidR="00201446" w:rsidRPr="00537689" w:rsidRDefault="00201446" w:rsidP="00AA6442">
            <w:pPr>
              <w:pStyle w:val="Tableorfiguretitle"/>
              <w:spacing w:before="0" w:after="0" w:line="240" w:lineRule="auto"/>
              <w:rPr>
                <w:rFonts w:ascii="Arial" w:hAnsi="Arial" w:cs="Arial"/>
                <w:b/>
                <w:bCs/>
                <w:color w:val="auto"/>
                <w:spacing w:val="10"/>
                <w:sz w:val="18"/>
                <w:szCs w:val="18"/>
                <w:lang w:eastAsia="en-US"/>
              </w:rPr>
            </w:pPr>
            <w:r w:rsidRPr="00537689">
              <w:rPr>
                <w:rFonts w:ascii="Arial" w:hAnsi="Arial" w:cs="Arial"/>
                <w:b/>
                <w:bCs/>
                <w:color w:val="auto"/>
                <w:spacing w:val="10"/>
                <w:sz w:val="18"/>
                <w:szCs w:val="18"/>
                <w:lang w:eastAsia="en-US"/>
              </w:rPr>
              <w:t>Appellant 5YHLS</w:t>
            </w:r>
          </w:p>
        </w:tc>
        <w:tc>
          <w:tcPr>
            <w:tcW w:w="1423"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4BE3328D" w14:textId="77777777" w:rsidR="00201446" w:rsidRPr="00537689" w:rsidRDefault="00201446" w:rsidP="00AA6442">
            <w:pPr>
              <w:pStyle w:val="Tableorfiguretitle"/>
              <w:spacing w:before="0" w:after="0" w:line="240" w:lineRule="auto"/>
              <w:rPr>
                <w:rFonts w:ascii="Arial" w:hAnsi="Arial" w:cs="Arial"/>
                <w:b/>
                <w:bCs/>
                <w:color w:val="auto"/>
                <w:spacing w:val="10"/>
                <w:sz w:val="18"/>
                <w:szCs w:val="18"/>
                <w:lang w:eastAsia="en-US"/>
              </w:rPr>
            </w:pPr>
            <w:r w:rsidRPr="00537689">
              <w:rPr>
                <w:rFonts w:ascii="Arial" w:hAnsi="Arial" w:cs="Arial"/>
                <w:b/>
                <w:bCs/>
                <w:color w:val="auto"/>
                <w:spacing w:val="10"/>
                <w:sz w:val="18"/>
                <w:szCs w:val="18"/>
                <w:lang w:eastAsia="en-US"/>
              </w:rPr>
              <w:t>Difference</w:t>
            </w:r>
          </w:p>
        </w:tc>
        <w:tc>
          <w:tcPr>
            <w:tcW w:w="5726" w:type="dxa"/>
            <w:tcBorders>
              <w:top w:val="single" w:sz="8" w:space="0" w:color="auto"/>
              <w:left w:val="nil"/>
              <w:bottom w:val="single" w:sz="8" w:space="0" w:color="auto"/>
              <w:right w:val="single" w:sz="8" w:space="0" w:color="auto"/>
            </w:tcBorders>
            <w:shd w:val="clear" w:color="auto" w:fill="DEEAF6" w:themeFill="accent5" w:themeFillTint="33"/>
            <w:tcMar>
              <w:top w:w="0" w:type="dxa"/>
              <w:left w:w="108" w:type="dxa"/>
              <w:bottom w:w="0" w:type="dxa"/>
              <w:right w:w="108" w:type="dxa"/>
            </w:tcMar>
            <w:vAlign w:val="center"/>
            <w:hideMark/>
          </w:tcPr>
          <w:p w14:paraId="661724FC" w14:textId="692B6C3A" w:rsidR="00201446" w:rsidRPr="00537689" w:rsidRDefault="00537689" w:rsidP="00AA6442">
            <w:pPr>
              <w:pStyle w:val="Tableorfiguretitle"/>
              <w:spacing w:before="0" w:after="0" w:line="240" w:lineRule="auto"/>
              <w:rPr>
                <w:rFonts w:ascii="Arial" w:hAnsi="Arial" w:cs="Arial"/>
                <w:b/>
                <w:bCs/>
                <w:color w:val="auto"/>
                <w:spacing w:val="10"/>
                <w:sz w:val="18"/>
                <w:szCs w:val="18"/>
                <w:lang w:eastAsia="en-US"/>
              </w:rPr>
            </w:pPr>
            <w:r>
              <w:rPr>
                <w:rFonts w:ascii="Arial" w:hAnsi="Arial" w:cs="Arial"/>
                <w:b/>
                <w:bCs/>
                <w:color w:val="auto"/>
                <w:spacing w:val="10"/>
                <w:sz w:val="18"/>
                <w:szCs w:val="18"/>
                <w:lang w:eastAsia="en-US"/>
              </w:rPr>
              <w:t xml:space="preserve">Indicators of Firm Progress </w:t>
            </w:r>
            <w:r w:rsidR="006D72E5">
              <w:rPr>
                <w:rFonts w:ascii="Arial" w:hAnsi="Arial" w:cs="Arial"/>
                <w:b/>
                <w:bCs/>
                <w:color w:val="auto"/>
                <w:spacing w:val="10"/>
                <w:sz w:val="18"/>
                <w:szCs w:val="18"/>
                <w:lang w:eastAsia="en-US"/>
              </w:rPr>
              <w:t>and Clear, Relevant Information in Support of the Council’s Assessment</w:t>
            </w:r>
          </w:p>
        </w:tc>
      </w:tr>
      <w:tr w:rsidR="001616AF" w:rsidRPr="00537689" w14:paraId="43D23932" w14:textId="77777777" w:rsidTr="001616AF">
        <w:trPr>
          <w:cantSplit/>
        </w:trPr>
        <w:tc>
          <w:tcPr>
            <w:tcW w:w="17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070C8C"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Bicester 12</w:t>
            </w:r>
          </w:p>
        </w:tc>
        <w:tc>
          <w:tcPr>
            <w:tcW w:w="1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7924B6" w14:textId="77777777" w:rsidR="00201446" w:rsidRPr="00537689" w:rsidRDefault="00201446">
            <w:pPr>
              <w:pStyle w:val="Tabletext"/>
              <w:spacing w:before="0" w:after="0" w:line="240" w:lineRule="auto"/>
              <w:rPr>
                <w:rFonts w:ascii="Arial" w:hAnsi="Arial" w:cs="Arial"/>
                <w:spacing w:val="10"/>
                <w:sz w:val="18"/>
                <w:szCs w:val="18"/>
                <w:lang w:eastAsia="en-US"/>
              </w:rPr>
            </w:pPr>
            <w:proofErr w:type="gramStart"/>
            <w:r w:rsidRPr="00537689">
              <w:rPr>
                <w:rFonts w:ascii="Arial" w:hAnsi="Arial" w:cs="Arial"/>
                <w:spacing w:val="10"/>
                <w:sz w:val="18"/>
                <w:szCs w:val="18"/>
                <w:lang w:eastAsia="en-US"/>
              </w:rPr>
              <w:t>South East</w:t>
            </w:r>
            <w:proofErr w:type="gramEnd"/>
            <w:r w:rsidRPr="00537689">
              <w:rPr>
                <w:rFonts w:ascii="Arial" w:hAnsi="Arial" w:cs="Arial"/>
                <w:spacing w:val="10"/>
                <w:sz w:val="18"/>
                <w:szCs w:val="18"/>
                <w:lang w:eastAsia="en-US"/>
              </w:rPr>
              <w:t xml:space="preserve"> Bicester (</w:t>
            </w:r>
            <w:proofErr w:type="spellStart"/>
            <w:r w:rsidRPr="00537689">
              <w:rPr>
                <w:rFonts w:ascii="Arial" w:hAnsi="Arial" w:cs="Arial"/>
                <w:spacing w:val="10"/>
                <w:sz w:val="18"/>
                <w:szCs w:val="18"/>
                <w:lang w:eastAsia="en-US"/>
              </w:rPr>
              <w:t>Wretchwick</w:t>
            </w:r>
            <w:proofErr w:type="spellEnd"/>
            <w:r w:rsidRPr="00537689">
              <w:rPr>
                <w:rFonts w:ascii="Arial" w:hAnsi="Arial" w:cs="Arial"/>
                <w:spacing w:val="10"/>
                <w:sz w:val="18"/>
                <w:szCs w:val="18"/>
                <w:lang w:eastAsia="en-US"/>
              </w:rPr>
              <w:t xml:space="preserve"> Green)</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22964"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1,500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AC1E9"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50</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6DE6BA"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0</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395AAB"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-50</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7B212C30" w14:textId="01799E8C" w:rsidR="0004385D" w:rsidRPr="00537689" w:rsidRDefault="001C7681" w:rsidP="005820D4">
            <w:pPr>
              <w:pStyle w:val="Tabletext"/>
              <w:numPr>
                <w:ilvl w:val="0"/>
                <w:numId w:val="55"/>
              </w:numPr>
              <w:rPr>
                <w:rFonts w:ascii="Arial" w:hAnsi="Arial" w:cs="Arial"/>
                <w:spacing w:val="10"/>
                <w:sz w:val="18"/>
                <w:szCs w:val="18"/>
                <w:lang w:eastAsia="en-US"/>
              </w:rPr>
            </w:pPr>
            <w:r w:rsidRPr="00537689">
              <w:rPr>
                <w:rFonts w:ascii="Arial" w:hAnsi="Arial" w:cs="Arial"/>
                <w:spacing w:val="10"/>
                <w:sz w:val="18"/>
                <w:szCs w:val="18"/>
                <w:lang w:eastAsia="en-US"/>
              </w:rPr>
              <w:t>Outline planning permission in place for allocated site</w:t>
            </w:r>
            <w:r w:rsidR="009119FA" w:rsidRPr="00537689">
              <w:rPr>
                <w:rFonts w:ascii="Arial" w:hAnsi="Arial" w:cs="Arial"/>
                <w:spacing w:val="10"/>
                <w:sz w:val="18"/>
                <w:szCs w:val="18"/>
                <w:lang w:eastAsia="en-US"/>
              </w:rPr>
              <w:t>.</w:t>
            </w:r>
            <w:r w:rsidR="005049BB" w:rsidRPr="00537689">
              <w:rPr>
                <w:rFonts w:ascii="Arial" w:hAnsi="Arial" w:cs="Arial"/>
                <w:spacing w:val="10"/>
                <w:sz w:val="18"/>
                <w:szCs w:val="18"/>
                <w:lang w:eastAsia="en-US"/>
              </w:rPr>
              <w:t xml:space="preserve"> Discharge of Conditions applications in progress</w:t>
            </w:r>
            <w:r w:rsidR="00EC6647" w:rsidRPr="00537689">
              <w:rPr>
                <w:rFonts w:ascii="Arial" w:hAnsi="Arial" w:cs="Arial"/>
                <w:spacing w:val="10"/>
                <w:sz w:val="18"/>
                <w:szCs w:val="18"/>
                <w:lang w:eastAsia="en-US"/>
              </w:rPr>
              <w:t xml:space="preserve"> with active engagement to </w:t>
            </w:r>
            <w:r w:rsidR="00231157" w:rsidRPr="00537689">
              <w:rPr>
                <w:rFonts w:ascii="Arial" w:hAnsi="Arial" w:cs="Arial"/>
                <w:spacing w:val="10"/>
                <w:sz w:val="18"/>
                <w:szCs w:val="18"/>
                <w:lang w:eastAsia="en-US"/>
              </w:rPr>
              <w:t xml:space="preserve">reach agreement with landowners and way forward on highways and </w:t>
            </w:r>
            <w:proofErr w:type="gramStart"/>
            <w:r w:rsidR="00231157" w:rsidRPr="00537689">
              <w:rPr>
                <w:rFonts w:ascii="Arial" w:hAnsi="Arial" w:cs="Arial"/>
                <w:spacing w:val="10"/>
                <w:sz w:val="18"/>
                <w:szCs w:val="18"/>
                <w:lang w:eastAsia="en-US"/>
              </w:rPr>
              <w:t>drainage</w:t>
            </w:r>
            <w:proofErr w:type="gramEnd"/>
            <w:r w:rsidR="009119FA" w:rsidRPr="00537689">
              <w:rPr>
                <w:rFonts w:ascii="Arial" w:hAnsi="Arial" w:cs="Arial"/>
                <w:spacing w:val="10"/>
                <w:sz w:val="18"/>
                <w:szCs w:val="18"/>
                <w:lang w:eastAsia="en-US"/>
              </w:rPr>
              <w:t xml:space="preserve"> </w:t>
            </w:r>
          </w:p>
          <w:p w14:paraId="66913149" w14:textId="241B3C7E" w:rsidR="005820D4" w:rsidRPr="00537689" w:rsidRDefault="009119FA" w:rsidP="005820D4">
            <w:pPr>
              <w:pStyle w:val="Tabletext"/>
              <w:numPr>
                <w:ilvl w:val="0"/>
                <w:numId w:val="55"/>
              </w:numPr>
              <w:rPr>
                <w:rFonts w:ascii="Arial" w:hAnsi="Arial" w:cs="Arial"/>
                <w:spacing w:val="10"/>
                <w:sz w:val="18"/>
                <w:szCs w:val="18"/>
                <w:lang w:eastAsia="en-US"/>
              </w:rPr>
            </w:pPr>
            <w:r w:rsidRPr="00537689">
              <w:rPr>
                <w:rFonts w:ascii="Arial" w:hAnsi="Arial" w:cs="Arial"/>
                <w:spacing w:val="10"/>
                <w:sz w:val="18"/>
                <w:szCs w:val="18"/>
                <w:lang w:eastAsia="en-US"/>
              </w:rPr>
              <w:t>Council advised RM application expected Summer 2023</w:t>
            </w:r>
            <w:r w:rsidR="0004385D" w:rsidRPr="00537689">
              <w:rPr>
                <w:rFonts w:ascii="Arial" w:hAnsi="Arial" w:cs="Arial"/>
                <w:spacing w:val="10"/>
                <w:sz w:val="18"/>
                <w:szCs w:val="18"/>
                <w:lang w:eastAsia="en-US"/>
              </w:rPr>
              <w:t>. No delivery forecast until year 5 (2026/27)</w:t>
            </w:r>
          </w:p>
          <w:p w14:paraId="483C10B6" w14:textId="608BF83E" w:rsidR="00231157" w:rsidRPr="00537689" w:rsidRDefault="004D7AB9" w:rsidP="005820D4">
            <w:pPr>
              <w:pStyle w:val="Tabletext"/>
              <w:numPr>
                <w:ilvl w:val="0"/>
                <w:numId w:val="55"/>
              </w:numPr>
              <w:rPr>
                <w:rFonts w:ascii="Arial" w:hAnsi="Arial" w:cs="Arial"/>
                <w:spacing w:val="10"/>
                <w:sz w:val="18"/>
                <w:szCs w:val="18"/>
                <w:lang w:eastAsia="en-US"/>
              </w:rPr>
            </w:pPr>
            <w:r w:rsidRPr="00537689">
              <w:rPr>
                <w:rFonts w:ascii="Arial" w:hAnsi="Arial" w:cs="Arial"/>
                <w:spacing w:val="10"/>
                <w:sz w:val="18"/>
                <w:szCs w:val="18"/>
                <w:lang w:eastAsia="en-US"/>
              </w:rPr>
              <w:t>Pioneer Roundabout now constructed.</w:t>
            </w:r>
          </w:p>
          <w:p w14:paraId="52DB582B" w14:textId="44DE264F" w:rsidR="00201446" w:rsidRPr="00537689" w:rsidRDefault="004D7AB9" w:rsidP="004D7AB9">
            <w:pPr>
              <w:pStyle w:val="Tabletext"/>
              <w:numPr>
                <w:ilvl w:val="0"/>
                <w:numId w:val="55"/>
              </w:numPr>
              <w:rPr>
                <w:rFonts w:ascii="Arial" w:hAnsi="Arial" w:cs="Arial"/>
                <w:spacing w:val="10"/>
                <w:sz w:val="18"/>
                <w:szCs w:val="18"/>
                <w:lang w:eastAsia="en-US"/>
              </w:rPr>
            </w:pPr>
            <w:r w:rsidRPr="00537689">
              <w:rPr>
                <w:rFonts w:ascii="Arial" w:hAnsi="Arial" w:cs="Arial"/>
                <w:spacing w:val="10"/>
                <w:sz w:val="18"/>
                <w:szCs w:val="18"/>
                <w:lang w:eastAsia="en-US"/>
              </w:rPr>
              <w:t>Legal Agreement signed sprint 2022.</w:t>
            </w:r>
          </w:p>
        </w:tc>
      </w:tr>
      <w:tr w:rsidR="001616AF" w:rsidRPr="00537689" w14:paraId="59854A51" w14:textId="77777777" w:rsidTr="001616AF">
        <w:trPr>
          <w:cantSplit/>
        </w:trPr>
        <w:tc>
          <w:tcPr>
            <w:tcW w:w="17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E90941"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15/01357/F</w:t>
            </w:r>
          </w:p>
        </w:tc>
        <w:tc>
          <w:tcPr>
            <w:tcW w:w="1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4F780"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Former RAF Upper Heyford</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7D120"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89</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CE9A8E"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89</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C22F0"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0</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51380"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-89</w:t>
            </w:r>
          </w:p>
        </w:tc>
        <w:tc>
          <w:tcPr>
            <w:tcW w:w="5726"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39FB61A" w14:textId="5AC29139" w:rsidR="00726D4F" w:rsidRPr="00537689" w:rsidRDefault="00726D4F">
            <w:pPr>
              <w:pStyle w:val="Tabletext"/>
              <w:rPr>
                <w:rFonts w:ascii="Arial" w:hAnsi="Arial" w:cs="Arial"/>
                <w:spacing w:val="10"/>
                <w:sz w:val="18"/>
                <w:szCs w:val="18"/>
                <w:lang w:eastAsia="en-US"/>
              </w:rPr>
            </w:pPr>
            <w:r w:rsidRPr="00537689">
              <w:rPr>
                <w:rFonts w:ascii="Arial" w:hAnsi="Arial" w:cs="Arial"/>
                <w:spacing w:val="10"/>
                <w:sz w:val="18"/>
                <w:szCs w:val="18"/>
                <w:lang w:eastAsia="en-US"/>
              </w:rPr>
              <w:t xml:space="preserve">There has been substantial progress with these two </w:t>
            </w:r>
            <w:proofErr w:type="gramStart"/>
            <w:r w:rsidR="0029507B" w:rsidRPr="00537689">
              <w:rPr>
                <w:rFonts w:ascii="Arial" w:hAnsi="Arial" w:cs="Arial"/>
                <w:spacing w:val="10"/>
                <w:sz w:val="18"/>
                <w:szCs w:val="18"/>
                <w:lang w:eastAsia="en-US"/>
              </w:rPr>
              <w:t>sites</w:t>
            </w:r>
            <w:proofErr w:type="gramEnd"/>
            <w:r w:rsidR="0029507B" w:rsidRPr="00537689">
              <w:rPr>
                <w:rFonts w:ascii="Arial" w:hAnsi="Arial" w:cs="Arial"/>
                <w:spacing w:val="10"/>
                <w:sz w:val="18"/>
                <w:szCs w:val="18"/>
                <w:lang w:eastAsia="en-US"/>
              </w:rPr>
              <w:t xml:space="preserve"> </w:t>
            </w:r>
          </w:p>
          <w:p w14:paraId="5C533789" w14:textId="21AE7CF5" w:rsidR="007315E8" w:rsidRPr="00537689" w:rsidRDefault="007315E8" w:rsidP="0062227D">
            <w:pPr>
              <w:pStyle w:val="Tabletext"/>
              <w:numPr>
                <w:ilvl w:val="0"/>
                <w:numId w:val="56"/>
              </w:numPr>
              <w:rPr>
                <w:rFonts w:ascii="Arial" w:hAnsi="Arial" w:cs="Arial"/>
                <w:spacing w:val="10"/>
                <w:sz w:val="18"/>
                <w:szCs w:val="18"/>
                <w:lang w:eastAsia="en-US"/>
              </w:rPr>
            </w:pPr>
            <w:r w:rsidRPr="00537689">
              <w:rPr>
                <w:rFonts w:ascii="Arial" w:hAnsi="Arial" w:cs="Arial"/>
                <w:spacing w:val="10"/>
                <w:sz w:val="18"/>
                <w:szCs w:val="18"/>
                <w:lang w:eastAsia="en-US"/>
              </w:rPr>
              <w:t xml:space="preserve">Legal agreements continuing to be progressed on </w:t>
            </w:r>
            <w:r w:rsidR="003B66F7" w:rsidRPr="00537689">
              <w:rPr>
                <w:rFonts w:ascii="Arial" w:hAnsi="Arial" w:cs="Arial"/>
                <w:spacing w:val="10"/>
                <w:sz w:val="18"/>
                <w:szCs w:val="18"/>
                <w:lang w:eastAsia="en-US"/>
              </w:rPr>
              <w:t xml:space="preserve">applications subject to resolution to grant planning </w:t>
            </w:r>
            <w:proofErr w:type="gramStart"/>
            <w:r w:rsidR="003B66F7" w:rsidRPr="00537689">
              <w:rPr>
                <w:rFonts w:ascii="Arial" w:hAnsi="Arial" w:cs="Arial"/>
                <w:spacing w:val="10"/>
                <w:sz w:val="18"/>
                <w:szCs w:val="18"/>
                <w:lang w:eastAsia="en-US"/>
              </w:rPr>
              <w:t>permission</w:t>
            </w:r>
            <w:proofErr w:type="gramEnd"/>
          </w:p>
          <w:p w14:paraId="4187AB80" w14:textId="35F10638" w:rsidR="0029507B" w:rsidRPr="00537689" w:rsidRDefault="0062227D" w:rsidP="0062227D">
            <w:pPr>
              <w:pStyle w:val="Tabletext"/>
              <w:numPr>
                <w:ilvl w:val="0"/>
                <w:numId w:val="56"/>
              </w:numPr>
              <w:rPr>
                <w:rFonts w:ascii="Arial" w:hAnsi="Arial" w:cs="Arial"/>
                <w:spacing w:val="10"/>
                <w:sz w:val="18"/>
                <w:szCs w:val="18"/>
                <w:lang w:eastAsia="en-US"/>
              </w:rPr>
            </w:pPr>
            <w:r w:rsidRPr="00537689">
              <w:rPr>
                <w:rFonts w:ascii="Arial" w:hAnsi="Arial" w:cs="Arial"/>
                <w:spacing w:val="10"/>
                <w:sz w:val="18"/>
                <w:szCs w:val="18"/>
                <w:lang w:eastAsia="en-US"/>
              </w:rPr>
              <w:t xml:space="preserve">Separate application made by David Wilson </w:t>
            </w:r>
            <w:proofErr w:type="gramStart"/>
            <w:r w:rsidRPr="00537689">
              <w:rPr>
                <w:rFonts w:ascii="Arial" w:hAnsi="Arial" w:cs="Arial"/>
                <w:spacing w:val="10"/>
                <w:sz w:val="18"/>
                <w:szCs w:val="18"/>
                <w:lang w:eastAsia="en-US"/>
              </w:rPr>
              <w:t xml:space="preserve">Homes </w:t>
            </w:r>
            <w:r w:rsidR="00423D20" w:rsidRPr="00537689">
              <w:rPr>
                <w:rFonts w:ascii="Arial" w:hAnsi="Arial" w:cs="Arial"/>
                <w:spacing w:val="10"/>
              </w:rPr>
              <w:t xml:space="preserve"> for</w:t>
            </w:r>
            <w:proofErr w:type="gramEnd"/>
            <w:r w:rsidR="00423D20" w:rsidRPr="00537689">
              <w:rPr>
                <w:rFonts w:ascii="Arial" w:hAnsi="Arial" w:cs="Arial"/>
                <w:spacing w:val="10"/>
              </w:rPr>
              <w:t xml:space="preserve"> 126 homes for an alternative scheme (22/03063/F).</w:t>
            </w:r>
            <w:r w:rsidR="00815BE6" w:rsidRPr="00537689">
              <w:rPr>
                <w:rFonts w:ascii="Arial" w:hAnsi="Arial" w:cs="Arial"/>
                <w:spacing w:val="10"/>
              </w:rPr>
              <w:t xml:space="preserve"> Start on site expected early 2024; first completions shown part-way through 2024/25 monitoring </w:t>
            </w:r>
            <w:proofErr w:type="gramStart"/>
            <w:r w:rsidR="00815BE6" w:rsidRPr="00537689">
              <w:rPr>
                <w:rFonts w:ascii="Arial" w:hAnsi="Arial" w:cs="Arial"/>
                <w:spacing w:val="10"/>
              </w:rPr>
              <w:t>year</w:t>
            </w:r>
            <w:proofErr w:type="gramEnd"/>
          </w:p>
          <w:p w14:paraId="7B587C23" w14:textId="062E04C2" w:rsidR="00DD62D5" w:rsidRPr="00537689" w:rsidRDefault="00DD62D5" w:rsidP="0062227D">
            <w:pPr>
              <w:pStyle w:val="Tabletext"/>
              <w:numPr>
                <w:ilvl w:val="0"/>
                <w:numId w:val="56"/>
              </w:numPr>
              <w:rPr>
                <w:rFonts w:ascii="Arial" w:hAnsi="Arial" w:cs="Arial"/>
                <w:spacing w:val="10"/>
                <w:sz w:val="18"/>
                <w:szCs w:val="18"/>
                <w:lang w:eastAsia="en-US"/>
              </w:rPr>
            </w:pPr>
            <w:r w:rsidRPr="00537689">
              <w:rPr>
                <w:rFonts w:ascii="Arial" w:hAnsi="Arial" w:cs="Arial"/>
                <w:spacing w:val="10"/>
              </w:rPr>
              <w:t>Separate application updates relevant technical work</w:t>
            </w:r>
          </w:p>
          <w:p w14:paraId="7A46E79B" w14:textId="61C3FC95" w:rsidR="00DD62D5" w:rsidRPr="00537689" w:rsidRDefault="00B23026" w:rsidP="0062227D">
            <w:pPr>
              <w:pStyle w:val="Tabletext"/>
              <w:numPr>
                <w:ilvl w:val="0"/>
                <w:numId w:val="56"/>
              </w:numPr>
              <w:rPr>
                <w:rFonts w:ascii="Arial" w:hAnsi="Arial" w:cs="Arial"/>
                <w:spacing w:val="10"/>
                <w:sz w:val="18"/>
                <w:szCs w:val="18"/>
                <w:lang w:eastAsia="en-US"/>
              </w:rPr>
            </w:pPr>
            <w:r w:rsidRPr="00537689">
              <w:rPr>
                <w:rFonts w:ascii="Arial" w:hAnsi="Arial" w:cs="Arial"/>
                <w:spacing w:val="10"/>
                <w:sz w:val="18"/>
                <w:szCs w:val="18"/>
                <w:lang w:eastAsia="en-US"/>
              </w:rPr>
              <w:t>Land will transfer to David Wilson homes from Pye to build out both sites (15/01357/F) and (21/0353/OUT) once legal agreements complete.</w:t>
            </w:r>
          </w:p>
          <w:p w14:paraId="3131AB4C" w14:textId="630410FC" w:rsidR="00201446" w:rsidRPr="00537689" w:rsidRDefault="00201446">
            <w:pPr>
              <w:pStyle w:val="Tabletext"/>
              <w:spacing w:before="0" w:after="0" w:line="240" w:lineRule="auto"/>
              <w:rPr>
                <w:rFonts w:ascii="Arial" w:hAnsi="Arial" w:cs="Arial"/>
                <w:spacing w:val="10"/>
                <w:sz w:val="18"/>
                <w:szCs w:val="18"/>
                <w:lang w:eastAsia="en-US"/>
              </w:rPr>
            </w:pPr>
          </w:p>
        </w:tc>
      </w:tr>
      <w:tr w:rsidR="001616AF" w:rsidRPr="00537689" w14:paraId="4A14B5AC" w14:textId="77777777" w:rsidTr="001616AF">
        <w:trPr>
          <w:cantSplit/>
          <w:trHeight w:val="70"/>
        </w:trPr>
        <w:tc>
          <w:tcPr>
            <w:tcW w:w="17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0D8BE"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21/03523/OUT</w:t>
            </w:r>
          </w:p>
        </w:tc>
        <w:tc>
          <w:tcPr>
            <w:tcW w:w="1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07F0A1"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Former RAF Upper Heyford</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A710C7"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31</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B764A"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31</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5C01C"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0</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7DA1A"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-31</w:t>
            </w:r>
          </w:p>
        </w:tc>
        <w:tc>
          <w:tcPr>
            <w:tcW w:w="5726" w:type="dxa"/>
            <w:vMerge/>
            <w:tcBorders>
              <w:top w:val="nil"/>
              <w:left w:val="nil"/>
              <w:bottom w:val="single" w:sz="8" w:space="0" w:color="auto"/>
              <w:right w:val="single" w:sz="8" w:space="0" w:color="auto"/>
            </w:tcBorders>
            <w:vAlign w:val="center"/>
            <w:hideMark/>
          </w:tcPr>
          <w:p w14:paraId="0916C874" w14:textId="77777777" w:rsidR="00201446" w:rsidRPr="00537689" w:rsidRDefault="00201446">
            <w:pPr>
              <w:rPr>
                <w:rFonts w:ascii="Arial" w:hAnsi="Arial" w:cs="Arial"/>
                <w:spacing w:val="10"/>
                <w:sz w:val="18"/>
                <w:szCs w:val="18"/>
              </w:rPr>
            </w:pPr>
          </w:p>
        </w:tc>
      </w:tr>
      <w:tr w:rsidR="001616AF" w:rsidRPr="00537689" w14:paraId="4B9CD4F6" w14:textId="77777777" w:rsidTr="001616AF">
        <w:trPr>
          <w:cantSplit/>
          <w:trHeight w:val="70"/>
        </w:trPr>
        <w:tc>
          <w:tcPr>
            <w:tcW w:w="17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75C8"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Bicester 1</w:t>
            </w:r>
          </w:p>
        </w:tc>
        <w:tc>
          <w:tcPr>
            <w:tcW w:w="1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53B85" w14:textId="77777777" w:rsidR="00201446" w:rsidRPr="00537689" w:rsidRDefault="00201446">
            <w:pPr>
              <w:pStyle w:val="Tabletext"/>
              <w:spacing w:before="0" w:after="0" w:line="240" w:lineRule="auto"/>
              <w:rPr>
                <w:rFonts w:ascii="Arial" w:hAnsi="Arial" w:cs="Arial"/>
                <w:spacing w:val="10"/>
                <w:sz w:val="18"/>
                <w:szCs w:val="18"/>
                <w:lang w:eastAsia="en-US"/>
              </w:rPr>
            </w:pPr>
            <w:proofErr w:type="gramStart"/>
            <w:r w:rsidRPr="00537689">
              <w:rPr>
                <w:rFonts w:ascii="Arial" w:hAnsi="Arial" w:cs="Arial"/>
                <w:spacing w:val="10"/>
                <w:sz w:val="18"/>
                <w:szCs w:val="18"/>
                <w:lang w:eastAsia="en-US"/>
              </w:rPr>
              <w:t>North West</w:t>
            </w:r>
            <w:proofErr w:type="gramEnd"/>
            <w:r w:rsidRPr="00537689">
              <w:rPr>
                <w:rFonts w:ascii="Arial" w:hAnsi="Arial" w:cs="Arial"/>
                <w:spacing w:val="10"/>
                <w:sz w:val="18"/>
                <w:szCs w:val="18"/>
                <w:lang w:eastAsia="en-US"/>
              </w:rPr>
              <w:t xml:space="preserve"> Bicester Phase 2</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592A31"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500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B48195"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20</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DBD432"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0</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85C4E"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-20</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0C0A723C" w14:textId="5B6A635E" w:rsidR="00BE6DD0" w:rsidRPr="00537689" w:rsidRDefault="00BE6DD0">
            <w:pPr>
              <w:pStyle w:val="Tabletext"/>
              <w:rPr>
                <w:rFonts w:ascii="Arial" w:hAnsi="Arial" w:cs="Arial"/>
                <w:spacing w:val="10"/>
                <w:sz w:val="18"/>
                <w:szCs w:val="18"/>
                <w:lang w:eastAsia="en-US"/>
              </w:rPr>
            </w:pPr>
            <w:r w:rsidRPr="00537689">
              <w:rPr>
                <w:rFonts w:ascii="Arial" w:hAnsi="Arial" w:cs="Arial"/>
                <w:spacing w:val="10"/>
                <w:sz w:val="18"/>
                <w:szCs w:val="18"/>
                <w:lang w:eastAsia="en-US"/>
              </w:rPr>
              <w:t xml:space="preserve">There has been progress with </w:t>
            </w:r>
            <w:r w:rsidR="00727837" w:rsidRPr="00537689">
              <w:rPr>
                <w:rFonts w:ascii="Arial" w:hAnsi="Arial" w:cs="Arial"/>
                <w:spacing w:val="10"/>
                <w:sz w:val="18"/>
                <w:szCs w:val="18"/>
                <w:lang w:eastAsia="en-US"/>
              </w:rPr>
              <w:t>delivery expectations including:</w:t>
            </w:r>
          </w:p>
          <w:p w14:paraId="253C053E" w14:textId="4E5A9549" w:rsidR="00727837" w:rsidRPr="00537689" w:rsidRDefault="00727837" w:rsidP="00727837">
            <w:pPr>
              <w:pStyle w:val="Tabletext"/>
              <w:numPr>
                <w:ilvl w:val="0"/>
                <w:numId w:val="57"/>
              </w:numPr>
              <w:rPr>
                <w:rFonts w:ascii="Arial" w:hAnsi="Arial" w:cs="Arial"/>
                <w:spacing w:val="10"/>
                <w:sz w:val="18"/>
                <w:szCs w:val="18"/>
                <w:lang w:eastAsia="en-US"/>
              </w:rPr>
            </w:pPr>
            <w:r w:rsidRPr="00537689">
              <w:rPr>
                <w:rFonts w:ascii="Arial" w:hAnsi="Arial" w:cs="Arial"/>
                <w:spacing w:val="10"/>
                <w:sz w:val="18"/>
                <w:szCs w:val="18"/>
                <w:lang w:eastAsia="en-US"/>
              </w:rPr>
              <w:lastRenderedPageBreak/>
              <w:t xml:space="preserve">Outline planning permission in place for allocated site. First completions forecast from year 5 of the </w:t>
            </w:r>
            <w:proofErr w:type="gramStart"/>
            <w:r w:rsidRPr="00537689">
              <w:rPr>
                <w:rFonts w:ascii="Arial" w:hAnsi="Arial" w:cs="Arial"/>
                <w:spacing w:val="10"/>
                <w:sz w:val="18"/>
                <w:szCs w:val="18"/>
                <w:lang w:eastAsia="en-US"/>
              </w:rPr>
              <w:t>trajectory</w:t>
            </w:r>
            <w:proofErr w:type="gramEnd"/>
          </w:p>
          <w:p w14:paraId="46FE539A" w14:textId="6E8E7AF6" w:rsidR="00277637" w:rsidRPr="00537689" w:rsidRDefault="00277637" w:rsidP="00277637">
            <w:pPr>
              <w:pStyle w:val="Tabletext"/>
              <w:numPr>
                <w:ilvl w:val="0"/>
                <w:numId w:val="57"/>
              </w:numPr>
              <w:rPr>
                <w:rFonts w:ascii="Arial" w:hAnsi="Arial" w:cs="Arial"/>
                <w:spacing w:val="10"/>
                <w:sz w:val="18"/>
                <w:szCs w:val="18"/>
                <w:lang w:eastAsia="en-US"/>
              </w:rPr>
            </w:pPr>
            <w:r w:rsidRPr="00537689">
              <w:rPr>
                <w:rFonts w:ascii="Arial" w:hAnsi="Arial" w:cs="Arial"/>
                <w:spacing w:val="10"/>
                <w:sz w:val="18"/>
                <w:szCs w:val="18"/>
                <w:lang w:eastAsia="en-US"/>
              </w:rPr>
              <w:t>Applications continue to be submitted for Discharge of Conditions (including Phasing Plan) and Reserved Matters for access arrangements (23/00214/REM and 23/00207/DISC)</w:t>
            </w:r>
          </w:p>
          <w:p w14:paraId="4AD0E98E" w14:textId="25BD2221" w:rsidR="00201446" w:rsidRPr="00537689" w:rsidRDefault="002D4702" w:rsidP="00560F55">
            <w:pPr>
              <w:pStyle w:val="Tabletext"/>
              <w:numPr>
                <w:ilvl w:val="0"/>
                <w:numId w:val="57"/>
              </w:numPr>
              <w:rPr>
                <w:rFonts w:ascii="Arial" w:hAnsi="Arial" w:cs="Arial"/>
                <w:spacing w:val="10"/>
                <w:sz w:val="18"/>
                <w:szCs w:val="18"/>
                <w:lang w:eastAsia="en-US"/>
              </w:rPr>
            </w:pPr>
            <w:r w:rsidRPr="00537689">
              <w:rPr>
                <w:rFonts w:ascii="Arial" w:hAnsi="Arial" w:cs="Arial"/>
                <w:spacing w:val="10"/>
                <w:sz w:val="18"/>
                <w:szCs w:val="18"/>
                <w:lang w:eastAsia="en-US"/>
              </w:rPr>
              <w:t xml:space="preserve">Active engagement between </w:t>
            </w:r>
            <w:r w:rsidR="00402457" w:rsidRPr="00537689">
              <w:rPr>
                <w:rFonts w:ascii="Arial" w:hAnsi="Arial" w:cs="Arial"/>
                <w:spacing w:val="10"/>
                <w:sz w:val="18"/>
                <w:szCs w:val="18"/>
                <w:lang w:eastAsia="en-US"/>
              </w:rPr>
              <w:t xml:space="preserve">developer and Council relating to </w:t>
            </w:r>
            <w:r w:rsidR="00396C45" w:rsidRPr="00537689">
              <w:rPr>
                <w:rFonts w:ascii="Arial" w:hAnsi="Arial" w:cs="Arial"/>
                <w:spacing w:val="10"/>
                <w:sz w:val="18"/>
                <w:szCs w:val="18"/>
                <w:lang w:eastAsia="en-US"/>
              </w:rPr>
              <w:t xml:space="preserve">delivery of Reserved Matters </w:t>
            </w:r>
            <w:r w:rsidR="003C39A4" w:rsidRPr="00537689">
              <w:rPr>
                <w:rFonts w:ascii="Arial" w:hAnsi="Arial" w:cs="Arial"/>
                <w:spacing w:val="10"/>
                <w:sz w:val="18"/>
                <w:szCs w:val="18"/>
                <w:lang w:eastAsia="en-US"/>
              </w:rPr>
              <w:t>separate to restrictions imposed by infrastructure</w:t>
            </w:r>
            <w:r w:rsidR="00277637" w:rsidRPr="00537689">
              <w:rPr>
                <w:rFonts w:ascii="Arial" w:hAnsi="Arial" w:cs="Arial"/>
                <w:spacing w:val="10"/>
                <w:sz w:val="18"/>
                <w:szCs w:val="18"/>
                <w:lang w:eastAsia="en-US"/>
              </w:rPr>
              <w:t xml:space="preserve"> delivery</w:t>
            </w:r>
          </w:p>
        </w:tc>
      </w:tr>
      <w:tr w:rsidR="001616AF" w:rsidRPr="00537689" w14:paraId="6951DAB7" w14:textId="77777777" w:rsidTr="001616AF">
        <w:trPr>
          <w:cantSplit/>
          <w:trHeight w:val="70"/>
        </w:trPr>
        <w:tc>
          <w:tcPr>
            <w:tcW w:w="17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A2BC2E"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lastRenderedPageBreak/>
              <w:t xml:space="preserve">Bicester 10 </w:t>
            </w:r>
          </w:p>
        </w:tc>
        <w:tc>
          <w:tcPr>
            <w:tcW w:w="1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A103F"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 xml:space="preserve">Bicester Gateway Business Park, </w:t>
            </w:r>
            <w:proofErr w:type="spellStart"/>
            <w:r w:rsidRPr="00537689">
              <w:rPr>
                <w:rFonts w:ascii="Arial" w:hAnsi="Arial" w:cs="Arial"/>
                <w:spacing w:val="10"/>
                <w:sz w:val="18"/>
                <w:szCs w:val="18"/>
                <w:lang w:eastAsia="en-US"/>
              </w:rPr>
              <w:t>Wendlebury</w:t>
            </w:r>
            <w:proofErr w:type="spellEnd"/>
            <w:r w:rsidRPr="00537689">
              <w:rPr>
                <w:rFonts w:ascii="Arial" w:hAnsi="Arial" w:cs="Arial"/>
                <w:spacing w:val="10"/>
                <w:sz w:val="18"/>
                <w:szCs w:val="18"/>
                <w:lang w:eastAsia="en-US"/>
              </w:rPr>
              <w:t xml:space="preserve"> Road</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E0B10"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273</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B5E46"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80</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C67D6"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0</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876BA"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-80</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05DF592B" w14:textId="77777777" w:rsidR="00D04513" w:rsidRPr="00537689" w:rsidRDefault="00D04513" w:rsidP="00D04513">
            <w:pPr>
              <w:pStyle w:val="Tabletext"/>
              <w:rPr>
                <w:rFonts w:ascii="Arial" w:hAnsi="Arial" w:cs="Arial"/>
                <w:spacing w:val="10"/>
                <w:sz w:val="18"/>
                <w:szCs w:val="18"/>
                <w:lang w:eastAsia="en-US"/>
              </w:rPr>
            </w:pPr>
            <w:r w:rsidRPr="00537689">
              <w:rPr>
                <w:rFonts w:ascii="Arial" w:hAnsi="Arial" w:cs="Arial"/>
                <w:spacing w:val="10"/>
                <w:sz w:val="18"/>
                <w:szCs w:val="18"/>
                <w:lang w:eastAsia="en-US"/>
              </w:rPr>
              <w:t>There has been progress with delivery expectations including:</w:t>
            </w:r>
          </w:p>
          <w:p w14:paraId="70201D15" w14:textId="5624733C" w:rsidR="009B5386" w:rsidRPr="00537689" w:rsidRDefault="00B207F0" w:rsidP="00D04513">
            <w:pPr>
              <w:pStyle w:val="Tabletext"/>
              <w:numPr>
                <w:ilvl w:val="0"/>
                <w:numId w:val="58"/>
              </w:numPr>
              <w:rPr>
                <w:rFonts w:ascii="Arial" w:hAnsi="Arial" w:cs="Arial"/>
                <w:spacing w:val="10"/>
                <w:sz w:val="18"/>
                <w:szCs w:val="18"/>
                <w:lang w:eastAsia="en-US"/>
              </w:rPr>
            </w:pPr>
            <w:r w:rsidRPr="00537689">
              <w:rPr>
                <w:rFonts w:ascii="Arial" w:hAnsi="Arial" w:cs="Arial"/>
                <w:spacing w:val="10"/>
                <w:sz w:val="18"/>
                <w:szCs w:val="18"/>
                <w:lang w:eastAsia="en-US"/>
              </w:rPr>
              <w:t>Outline planning permission in place for allocated site</w:t>
            </w:r>
            <w:r w:rsidR="000D067F" w:rsidRPr="00537689">
              <w:rPr>
                <w:rFonts w:ascii="Arial" w:hAnsi="Arial" w:cs="Arial"/>
                <w:spacing w:val="10"/>
                <w:sz w:val="18"/>
                <w:szCs w:val="18"/>
                <w:lang w:eastAsia="en-US"/>
              </w:rPr>
              <w:t>. Reserved Matters applied for in respect of employment (knowledge cluster) elements (22/02025/REM)</w:t>
            </w:r>
          </w:p>
          <w:p w14:paraId="0A1EB266" w14:textId="687A34AB" w:rsidR="000D067F" w:rsidRPr="00537689" w:rsidRDefault="00AD121E" w:rsidP="00D04513">
            <w:pPr>
              <w:pStyle w:val="Tabletext"/>
              <w:numPr>
                <w:ilvl w:val="0"/>
                <w:numId w:val="58"/>
              </w:numPr>
              <w:rPr>
                <w:rFonts w:ascii="Arial" w:hAnsi="Arial" w:cs="Arial"/>
                <w:spacing w:val="10"/>
                <w:sz w:val="18"/>
                <w:szCs w:val="18"/>
                <w:lang w:eastAsia="en-US"/>
              </w:rPr>
            </w:pPr>
            <w:r w:rsidRPr="00537689">
              <w:rPr>
                <w:rFonts w:ascii="Arial" w:hAnsi="Arial" w:cs="Arial"/>
                <w:spacing w:val="10"/>
                <w:sz w:val="18"/>
                <w:szCs w:val="18"/>
                <w:lang w:eastAsia="en-US"/>
              </w:rPr>
              <w:t>21/02723/OUT – planning permission for variation of condition of 20/00293/OUT to remove co-working hub – Planning permission granted 12 October 2021. Will de-link the delivery of the hub and residential development allowing for faster delivery.</w:t>
            </w:r>
          </w:p>
          <w:p w14:paraId="001CBB80" w14:textId="1F859389" w:rsidR="00201446" w:rsidRPr="00537689" w:rsidRDefault="00D04513" w:rsidP="00AD121E">
            <w:pPr>
              <w:pStyle w:val="Tabletext"/>
              <w:numPr>
                <w:ilvl w:val="0"/>
                <w:numId w:val="58"/>
              </w:numPr>
              <w:rPr>
                <w:rFonts w:ascii="Arial" w:hAnsi="Arial" w:cs="Arial"/>
                <w:spacing w:val="10"/>
                <w:sz w:val="18"/>
                <w:szCs w:val="18"/>
                <w:lang w:eastAsia="en-US"/>
              </w:rPr>
            </w:pPr>
            <w:r w:rsidRPr="00537689">
              <w:rPr>
                <w:rFonts w:ascii="Arial" w:hAnsi="Arial" w:cs="Arial"/>
                <w:spacing w:val="10"/>
                <w:sz w:val="18"/>
                <w:szCs w:val="18"/>
                <w:lang w:eastAsia="en-US"/>
              </w:rPr>
              <w:t xml:space="preserve">Thomas Homes </w:t>
            </w:r>
            <w:r w:rsidR="009B5386" w:rsidRPr="00537689">
              <w:rPr>
                <w:rFonts w:ascii="Arial" w:hAnsi="Arial" w:cs="Arial"/>
                <w:spacing w:val="10"/>
                <w:sz w:val="18"/>
                <w:szCs w:val="18"/>
                <w:lang w:eastAsia="en-US"/>
              </w:rPr>
              <w:t>identified as developer for residential elements</w:t>
            </w:r>
          </w:p>
        </w:tc>
      </w:tr>
      <w:tr w:rsidR="001616AF" w:rsidRPr="00537689" w14:paraId="17642D28" w14:textId="77777777" w:rsidTr="001616AF">
        <w:trPr>
          <w:cantSplit/>
          <w:trHeight w:val="70"/>
        </w:trPr>
        <w:tc>
          <w:tcPr>
            <w:tcW w:w="17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4087AF"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Bicester 2</w:t>
            </w:r>
          </w:p>
        </w:tc>
        <w:tc>
          <w:tcPr>
            <w:tcW w:w="1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A20756"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 xml:space="preserve">Graven Hill </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04202"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1,095</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149C7"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150</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8254B"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0</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tcPr>
          <w:p w14:paraId="31AB8B75"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-150</w:t>
            </w:r>
          </w:p>
          <w:p w14:paraId="1D11DFD9" w14:textId="77777777" w:rsidR="00201446" w:rsidRPr="00537689" w:rsidRDefault="00201446">
            <w:pPr>
              <w:pStyle w:val="Tabletext"/>
              <w:spacing w:before="0" w:after="0" w:line="240" w:lineRule="auto"/>
              <w:rPr>
                <w:rFonts w:ascii="Arial" w:hAnsi="Arial" w:cs="Arial"/>
                <w:spacing w:val="10"/>
                <w:sz w:val="18"/>
                <w:szCs w:val="18"/>
                <w:lang w:eastAsia="en-US"/>
              </w:rPr>
            </w:pPr>
          </w:p>
        </w:tc>
        <w:tc>
          <w:tcPr>
            <w:tcW w:w="5726" w:type="dxa"/>
            <w:tcBorders>
              <w:top w:val="nil"/>
              <w:left w:val="nil"/>
              <w:bottom w:val="single" w:sz="8" w:space="0" w:color="auto"/>
              <w:right w:val="single" w:sz="8" w:space="0" w:color="auto"/>
            </w:tcBorders>
            <w:tcMar>
              <w:top w:w="0" w:type="dxa"/>
              <w:left w:w="108" w:type="dxa"/>
              <w:bottom w:w="0" w:type="dxa"/>
              <w:right w:w="108" w:type="dxa"/>
            </w:tcMar>
            <w:hideMark/>
          </w:tcPr>
          <w:p w14:paraId="743ED13D" w14:textId="77777777" w:rsidR="00F76F68" w:rsidRPr="00537689" w:rsidRDefault="00F76F68" w:rsidP="00F76F68">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 xml:space="preserve">The following points indicate that the site satisfies the central test of a realistic prospect for delivery within five </w:t>
            </w:r>
            <w:proofErr w:type="gramStart"/>
            <w:r w:rsidRPr="00537689">
              <w:rPr>
                <w:rFonts w:ascii="Arial" w:hAnsi="Arial" w:cs="Arial"/>
                <w:spacing w:val="10"/>
                <w:sz w:val="18"/>
                <w:szCs w:val="18"/>
                <w:lang w:eastAsia="en-US"/>
              </w:rPr>
              <w:t>years</w:t>
            </w:r>
            <w:proofErr w:type="gramEnd"/>
          </w:p>
          <w:p w14:paraId="28EE16C2" w14:textId="77777777" w:rsidR="00F76F68" w:rsidRPr="00537689" w:rsidRDefault="00F76F68"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Entry comprises remaining elements of allocated site with Outline Planning Permission</w:t>
            </w:r>
          </w:p>
          <w:p w14:paraId="36157B85" w14:textId="57B4B720" w:rsidR="00282AD5" w:rsidRPr="00537689" w:rsidRDefault="00282AD5"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 xml:space="preserve">The Council’s commitment to support the delivery of self-build </w:t>
            </w:r>
            <w:r w:rsidR="004B4FD7" w:rsidRPr="00537689">
              <w:rPr>
                <w:rFonts w:ascii="Arial" w:hAnsi="Arial" w:cs="Arial"/>
                <w:spacing w:val="10"/>
                <w:sz w:val="18"/>
                <w:szCs w:val="18"/>
                <w:lang w:eastAsia="en-US"/>
              </w:rPr>
              <w:t xml:space="preserve">housing at Graven Hill means </w:t>
            </w:r>
            <w:r w:rsidR="004B4FD7" w:rsidRPr="00537689">
              <w:rPr>
                <w:rFonts w:ascii="Arial" w:hAnsi="Arial" w:cs="Arial"/>
              </w:rPr>
              <w:lastRenderedPageBreak/>
              <w:t>individual applications for the self-build plots continue to be submitted, and reserved matters for various elements of the site remain under consideration.</w:t>
            </w:r>
          </w:p>
          <w:p w14:paraId="51C5413A" w14:textId="586CC70D" w:rsidR="00201446" w:rsidRPr="00537689" w:rsidRDefault="00201446">
            <w:pPr>
              <w:pStyle w:val="Tabletext"/>
              <w:spacing w:before="0" w:after="0" w:line="240" w:lineRule="auto"/>
              <w:rPr>
                <w:rFonts w:ascii="Arial" w:hAnsi="Arial" w:cs="Arial"/>
                <w:spacing w:val="10"/>
                <w:sz w:val="18"/>
                <w:szCs w:val="18"/>
                <w:lang w:eastAsia="en-US"/>
              </w:rPr>
            </w:pPr>
          </w:p>
        </w:tc>
      </w:tr>
      <w:tr w:rsidR="001616AF" w:rsidRPr="00537689" w14:paraId="2E828EB7" w14:textId="77777777" w:rsidTr="001616AF">
        <w:trPr>
          <w:cantSplit/>
          <w:trHeight w:val="70"/>
        </w:trPr>
        <w:tc>
          <w:tcPr>
            <w:tcW w:w="17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251E43"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lastRenderedPageBreak/>
              <w:t>Banbury 17</w:t>
            </w:r>
          </w:p>
        </w:tc>
        <w:tc>
          <w:tcPr>
            <w:tcW w:w="16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6DC2A"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 xml:space="preserve">South of Salt Way </w:t>
            </w:r>
          </w:p>
        </w:tc>
        <w:tc>
          <w:tcPr>
            <w:tcW w:w="13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38F96B"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1,000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566A0"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350</w:t>
            </w:r>
          </w:p>
        </w:tc>
        <w:tc>
          <w:tcPr>
            <w:tcW w:w="14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EB90E"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237</w:t>
            </w:r>
          </w:p>
        </w:tc>
        <w:tc>
          <w:tcPr>
            <w:tcW w:w="14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E1903"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-113</w:t>
            </w:r>
          </w:p>
        </w:tc>
        <w:tc>
          <w:tcPr>
            <w:tcW w:w="5726" w:type="dxa"/>
            <w:tcBorders>
              <w:top w:val="nil"/>
              <w:left w:val="nil"/>
              <w:bottom w:val="single" w:sz="8" w:space="0" w:color="auto"/>
              <w:right w:val="single" w:sz="8" w:space="0" w:color="auto"/>
            </w:tcBorders>
            <w:tcMar>
              <w:top w:w="0" w:type="dxa"/>
              <w:left w:w="108" w:type="dxa"/>
              <w:bottom w:w="0" w:type="dxa"/>
              <w:right w:w="108" w:type="dxa"/>
            </w:tcMar>
            <w:hideMark/>
          </w:tcPr>
          <w:p w14:paraId="30834626" w14:textId="52B41BD8" w:rsidR="00D05C6E" w:rsidRPr="00537689" w:rsidRDefault="00D05C6E">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 xml:space="preserve">There has been further substantial progress with delivery </w:t>
            </w:r>
            <w:proofErr w:type="gramStart"/>
            <w:r w:rsidRPr="00537689">
              <w:rPr>
                <w:rFonts w:ascii="Arial" w:hAnsi="Arial" w:cs="Arial"/>
                <w:spacing w:val="10"/>
                <w:sz w:val="18"/>
                <w:szCs w:val="18"/>
                <w:lang w:eastAsia="en-US"/>
              </w:rPr>
              <w:t>expectations</w:t>
            </w:r>
            <w:proofErr w:type="gramEnd"/>
          </w:p>
          <w:p w14:paraId="463C9ABB" w14:textId="0410E2A3" w:rsidR="00B21A32" w:rsidRPr="00537689" w:rsidRDefault="00D05C6E"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 xml:space="preserve">Allocated site with Outline permission at the base-date. Reserved matters for two of the development parcels under reference 22/02068/REM now have permission for 237 dwellings on 20 April 2023. </w:t>
            </w:r>
          </w:p>
          <w:p w14:paraId="427C3315" w14:textId="2E95ED01" w:rsidR="007C4857" w:rsidRPr="00537689" w:rsidRDefault="007C4857"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Reserved matters consent granted for spine road and link road serving the school.</w:t>
            </w:r>
            <w:r w:rsidR="005A0423" w:rsidRPr="00537689">
              <w:rPr>
                <w:rFonts w:ascii="Arial" w:hAnsi="Arial" w:cs="Arial"/>
                <w:spacing w:val="10"/>
                <w:sz w:val="18"/>
                <w:szCs w:val="18"/>
                <w:lang w:eastAsia="en-US"/>
              </w:rPr>
              <w:t xml:space="preserve"> Forecast delivery of 200dpa not </w:t>
            </w:r>
            <w:r w:rsidR="00357532" w:rsidRPr="00537689">
              <w:rPr>
                <w:rFonts w:ascii="Arial" w:hAnsi="Arial" w:cs="Arial"/>
                <w:spacing w:val="10"/>
                <w:sz w:val="18"/>
                <w:szCs w:val="18"/>
                <w:lang w:eastAsia="en-US"/>
              </w:rPr>
              <w:t xml:space="preserve">anticipated until year 5 of the trajectory </w:t>
            </w:r>
            <w:r w:rsidR="00F76F68" w:rsidRPr="00537689">
              <w:rPr>
                <w:rFonts w:ascii="Arial" w:hAnsi="Arial" w:cs="Arial"/>
                <w:spacing w:val="10"/>
                <w:sz w:val="18"/>
                <w:szCs w:val="18"/>
                <w:lang w:eastAsia="en-US"/>
              </w:rPr>
              <w:t>anticipating</w:t>
            </w:r>
            <w:r w:rsidR="00357532" w:rsidRPr="00537689">
              <w:rPr>
                <w:rFonts w:ascii="Arial" w:hAnsi="Arial" w:cs="Arial"/>
                <w:spacing w:val="10"/>
                <w:sz w:val="18"/>
                <w:szCs w:val="18"/>
                <w:lang w:eastAsia="en-US"/>
              </w:rPr>
              <w:t xml:space="preserve"> further RM parcels.</w:t>
            </w:r>
            <w:r w:rsidRPr="00537689">
              <w:rPr>
                <w:rFonts w:ascii="Arial" w:hAnsi="Arial" w:cs="Arial"/>
                <w:spacing w:val="10"/>
                <w:sz w:val="18"/>
                <w:szCs w:val="18"/>
                <w:lang w:eastAsia="en-US"/>
              </w:rPr>
              <w:t xml:space="preserve">   </w:t>
            </w:r>
          </w:p>
          <w:p w14:paraId="3D9A898B" w14:textId="3D5D7ACB" w:rsidR="00D05C6E" w:rsidRPr="00537689" w:rsidRDefault="00D05C6E"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No known delays in developers starting on site, ground works in place.</w:t>
            </w:r>
          </w:p>
          <w:p w14:paraId="47ADD735" w14:textId="61E4D6C2" w:rsidR="005A0423" w:rsidRPr="00537689" w:rsidRDefault="005A0423"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 xml:space="preserve">L&amp;Q performing role of </w:t>
            </w:r>
            <w:proofErr w:type="spellStart"/>
            <w:r w:rsidRPr="00537689">
              <w:rPr>
                <w:rFonts w:ascii="Arial" w:hAnsi="Arial" w:cs="Arial"/>
                <w:spacing w:val="10"/>
                <w:sz w:val="18"/>
                <w:szCs w:val="18"/>
                <w:lang w:eastAsia="en-US"/>
              </w:rPr>
              <w:t>Masterdeveloper</w:t>
            </w:r>
            <w:proofErr w:type="spellEnd"/>
            <w:r w:rsidRPr="00537689">
              <w:rPr>
                <w:rFonts w:ascii="Arial" w:hAnsi="Arial" w:cs="Arial"/>
                <w:spacing w:val="10"/>
                <w:sz w:val="18"/>
                <w:szCs w:val="18"/>
                <w:lang w:eastAsia="en-US"/>
              </w:rPr>
              <w:t>. Council assessment allow for up to five developers.</w:t>
            </w:r>
          </w:p>
          <w:p w14:paraId="7FE27A80" w14:textId="1E08E1BC" w:rsidR="00201446" w:rsidRPr="00537689" w:rsidRDefault="00201446">
            <w:pPr>
              <w:pStyle w:val="Tabletext"/>
              <w:spacing w:before="0" w:after="0" w:line="240" w:lineRule="auto"/>
              <w:rPr>
                <w:rFonts w:ascii="Arial" w:hAnsi="Arial" w:cs="Arial"/>
                <w:spacing w:val="10"/>
                <w:sz w:val="18"/>
                <w:szCs w:val="18"/>
                <w:lang w:eastAsia="en-US"/>
              </w:rPr>
            </w:pPr>
          </w:p>
        </w:tc>
      </w:tr>
      <w:tr w:rsidR="001616AF" w:rsidRPr="00537689" w14:paraId="194161B6" w14:textId="77777777" w:rsidTr="001616AF">
        <w:trPr>
          <w:cantSplit/>
          <w:trHeight w:val="70"/>
        </w:trPr>
        <w:tc>
          <w:tcPr>
            <w:tcW w:w="17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A9D307"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Bicester 3</w:t>
            </w:r>
          </w:p>
        </w:tc>
        <w:tc>
          <w:tcPr>
            <w:tcW w:w="1625" w:type="dxa"/>
            <w:tcBorders>
              <w:top w:val="nil"/>
              <w:left w:val="nil"/>
              <w:bottom w:val="single" w:sz="8" w:space="0" w:color="auto"/>
              <w:right w:val="single" w:sz="8" w:space="0" w:color="auto"/>
            </w:tcBorders>
            <w:tcMar>
              <w:top w:w="0" w:type="dxa"/>
              <w:left w:w="108" w:type="dxa"/>
              <w:bottom w:w="0" w:type="dxa"/>
              <w:right w:w="108" w:type="dxa"/>
            </w:tcMar>
            <w:hideMark/>
          </w:tcPr>
          <w:p w14:paraId="4B11977F" w14:textId="77777777" w:rsidR="00201446" w:rsidRPr="00537689" w:rsidRDefault="00201446">
            <w:pPr>
              <w:pStyle w:val="Tabletext"/>
              <w:spacing w:before="0" w:after="0" w:line="240" w:lineRule="auto"/>
              <w:rPr>
                <w:rFonts w:ascii="Arial" w:hAnsi="Arial" w:cs="Arial"/>
                <w:spacing w:val="10"/>
                <w:sz w:val="18"/>
                <w:szCs w:val="18"/>
                <w:lang w:eastAsia="en-US"/>
              </w:rPr>
            </w:pPr>
            <w:proofErr w:type="gramStart"/>
            <w:r w:rsidRPr="00537689">
              <w:rPr>
                <w:rFonts w:ascii="Arial" w:hAnsi="Arial" w:cs="Arial"/>
                <w:spacing w:val="10"/>
                <w:sz w:val="18"/>
                <w:szCs w:val="18"/>
                <w:lang w:eastAsia="en-US"/>
              </w:rPr>
              <w:t>South West</w:t>
            </w:r>
            <w:proofErr w:type="gramEnd"/>
            <w:r w:rsidRPr="00537689">
              <w:rPr>
                <w:rFonts w:ascii="Arial" w:hAnsi="Arial" w:cs="Arial"/>
                <w:spacing w:val="10"/>
                <w:sz w:val="18"/>
                <w:szCs w:val="18"/>
                <w:lang w:eastAsia="en-US"/>
              </w:rPr>
              <w:t xml:space="preserve"> Bicester Phase 2</w:t>
            </w:r>
          </w:p>
        </w:tc>
        <w:tc>
          <w:tcPr>
            <w:tcW w:w="1367" w:type="dxa"/>
            <w:tcBorders>
              <w:top w:val="nil"/>
              <w:left w:val="nil"/>
              <w:bottom w:val="single" w:sz="8" w:space="0" w:color="auto"/>
              <w:right w:val="single" w:sz="8" w:space="0" w:color="auto"/>
            </w:tcBorders>
            <w:tcMar>
              <w:top w:w="0" w:type="dxa"/>
              <w:left w:w="108" w:type="dxa"/>
              <w:bottom w:w="0" w:type="dxa"/>
              <w:right w:w="108" w:type="dxa"/>
            </w:tcMar>
            <w:hideMark/>
          </w:tcPr>
          <w:p w14:paraId="7CEDC8D0"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60</w:t>
            </w:r>
          </w:p>
        </w:tc>
        <w:tc>
          <w:tcPr>
            <w:tcW w:w="1239" w:type="dxa"/>
            <w:tcBorders>
              <w:top w:val="nil"/>
              <w:left w:val="nil"/>
              <w:bottom w:val="single" w:sz="8" w:space="0" w:color="auto"/>
              <w:right w:val="single" w:sz="8" w:space="0" w:color="auto"/>
            </w:tcBorders>
            <w:tcMar>
              <w:top w:w="0" w:type="dxa"/>
              <w:left w:w="108" w:type="dxa"/>
              <w:bottom w:w="0" w:type="dxa"/>
              <w:right w:w="108" w:type="dxa"/>
            </w:tcMar>
            <w:hideMark/>
          </w:tcPr>
          <w:p w14:paraId="493DC00F"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60</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14:paraId="60FDD9E3"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0</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14:paraId="059CBC86" w14:textId="77777777" w:rsidR="00201446" w:rsidRPr="00537689" w:rsidRDefault="00201446">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-60</w:t>
            </w:r>
          </w:p>
        </w:tc>
        <w:tc>
          <w:tcPr>
            <w:tcW w:w="5726" w:type="dxa"/>
            <w:tcBorders>
              <w:top w:val="nil"/>
              <w:left w:val="nil"/>
              <w:bottom w:val="single" w:sz="8" w:space="0" w:color="auto"/>
              <w:right w:val="single" w:sz="8" w:space="0" w:color="auto"/>
            </w:tcBorders>
            <w:tcMar>
              <w:top w:w="0" w:type="dxa"/>
              <w:left w:w="108" w:type="dxa"/>
              <w:bottom w:w="0" w:type="dxa"/>
              <w:right w:w="108" w:type="dxa"/>
            </w:tcMar>
          </w:tcPr>
          <w:p w14:paraId="48BB8956" w14:textId="77777777" w:rsidR="00201446" w:rsidRPr="00537689" w:rsidRDefault="0039505A" w:rsidP="009026E9">
            <w:pPr>
              <w:pStyle w:val="Tabletext"/>
              <w:spacing w:before="0" w:after="0" w:line="240" w:lineRule="auto"/>
              <w:rPr>
                <w:rFonts w:ascii="Arial" w:hAnsi="Arial" w:cs="Arial"/>
                <w:spacing w:val="10"/>
                <w:sz w:val="18"/>
                <w:szCs w:val="18"/>
                <w:lang w:eastAsia="en-US"/>
              </w:rPr>
            </w:pPr>
            <w:r w:rsidRPr="00537689">
              <w:rPr>
                <w:rFonts w:ascii="Arial" w:hAnsi="Arial" w:cs="Arial"/>
                <w:spacing w:val="10"/>
                <w:sz w:val="18"/>
                <w:szCs w:val="18"/>
                <w:lang w:eastAsia="en-US"/>
              </w:rPr>
              <w:t xml:space="preserve">The following points indicate that the site satisfies the central test of a realistic prospect for delivery within five </w:t>
            </w:r>
            <w:proofErr w:type="gramStart"/>
            <w:r w:rsidRPr="00537689">
              <w:rPr>
                <w:rFonts w:ascii="Arial" w:hAnsi="Arial" w:cs="Arial"/>
                <w:spacing w:val="10"/>
                <w:sz w:val="18"/>
                <w:szCs w:val="18"/>
                <w:lang w:eastAsia="en-US"/>
              </w:rPr>
              <w:t>years</w:t>
            </w:r>
            <w:proofErr w:type="gramEnd"/>
          </w:p>
          <w:p w14:paraId="09E9E7AE" w14:textId="7593AD67" w:rsidR="0039505A" w:rsidRPr="00537689" w:rsidRDefault="0039505A"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Entry comprises remaining elements of allocated site with Outline Planning Permission</w:t>
            </w:r>
          </w:p>
          <w:p w14:paraId="13E47873" w14:textId="40AA572E" w:rsidR="0039505A" w:rsidRPr="00537689" w:rsidRDefault="004F5DFC"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Forecast delivery of specialist housing for older people corresponds to requirements in signed legal agreement</w:t>
            </w:r>
            <w:r w:rsidR="00F76F68" w:rsidRPr="00537689">
              <w:rPr>
                <w:rFonts w:ascii="Arial" w:hAnsi="Arial" w:cs="Arial"/>
                <w:spacing w:val="10"/>
                <w:sz w:val="18"/>
                <w:szCs w:val="18"/>
                <w:lang w:eastAsia="en-US"/>
              </w:rPr>
              <w:t>.</w:t>
            </w:r>
          </w:p>
          <w:p w14:paraId="53943C2E" w14:textId="1EFD7F7F" w:rsidR="004F5DFC" w:rsidRPr="00537689" w:rsidRDefault="00CF126B" w:rsidP="004B4FD7">
            <w:pPr>
              <w:pStyle w:val="Tabletext"/>
              <w:numPr>
                <w:ilvl w:val="0"/>
                <w:numId w:val="59"/>
              </w:numPr>
              <w:spacing w:line="240" w:lineRule="auto"/>
              <w:ind w:left="828" w:hanging="357"/>
              <w:rPr>
                <w:rFonts w:ascii="Arial" w:hAnsi="Arial" w:cs="Arial"/>
                <w:spacing w:val="10"/>
                <w:sz w:val="18"/>
                <w:szCs w:val="18"/>
                <w:lang w:eastAsia="en-US"/>
              </w:rPr>
            </w:pPr>
            <w:r w:rsidRPr="00537689">
              <w:rPr>
                <w:rFonts w:ascii="Arial" w:hAnsi="Arial" w:cs="Arial"/>
                <w:spacing w:val="10"/>
                <w:sz w:val="18"/>
                <w:szCs w:val="18"/>
                <w:lang w:eastAsia="en-US"/>
              </w:rPr>
              <w:t xml:space="preserve">Infrastructure works including roads and utilities are already in place to service the </w:t>
            </w:r>
            <w:proofErr w:type="gramStart"/>
            <w:r w:rsidRPr="00537689">
              <w:rPr>
                <w:rFonts w:ascii="Arial" w:hAnsi="Arial" w:cs="Arial"/>
                <w:spacing w:val="10"/>
                <w:sz w:val="18"/>
                <w:szCs w:val="18"/>
                <w:lang w:eastAsia="en-US"/>
              </w:rPr>
              <w:t>parcel</w:t>
            </w:r>
            <w:proofErr w:type="gramEnd"/>
          </w:p>
          <w:p w14:paraId="516E8DC3" w14:textId="66E62975" w:rsidR="0039505A" w:rsidRPr="00537689" w:rsidRDefault="0039505A" w:rsidP="009026E9">
            <w:pPr>
              <w:pStyle w:val="Tabletext"/>
              <w:spacing w:before="0" w:after="0" w:line="240" w:lineRule="auto"/>
              <w:rPr>
                <w:rFonts w:ascii="Arial" w:hAnsi="Arial" w:cs="Arial"/>
                <w:spacing w:val="10"/>
                <w:sz w:val="18"/>
                <w:szCs w:val="18"/>
                <w:lang w:eastAsia="en-US"/>
              </w:rPr>
            </w:pPr>
          </w:p>
        </w:tc>
      </w:tr>
    </w:tbl>
    <w:p w14:paraId="16DFA0C9" w14:textId="77777777" w:rsidR="00201446" w:rsidRDefault="00201446" w:rsidP="00201446">
      <w:pPr>
        <w:pStyle w:val="SPRU71Paragraphs"/>
        <w:numPr>
          <w:ilvl w:val="0"/>
          <w:numId w:val="0"/>
        </w:numPr>
        <w:ind w:left="737" w:hanging="737"/>
      </w:pPr>
    </w:p>
    <w:p w14:paraId="540BB8D8" w14:textId="77777777" w:rsidR="00201446" w:rsidRDefault="00201446" w:rsidP="00201446">
      <w:pPr>
        <w:pStyle w:val="SPRU71Paragraphs"/>
        <w:numPr>
          <w:ilvl w:val="0"/>
          <w:numId w:val="0"/>
        </w:numPr>
        <w:ind w:left="737" w:hanging="737"/>
      </w:pPr>
    </w:p>
    <w:p w14:paraId="65A5D451" w14:textId="77777777" w:rsidR="00201446" w:rsidRDefault="00201446" w:rsidP="00201446">
      <w:pPr>
        <w:pStyle w:val="SPRU71Paragraphs"/>
        <w:numPr>
          <w:ilvl w:val="0"/>
          <w:numId w:val="0"/>
        </w:numPr>
        <w:ind w:left="737" w:hanging="737"/>
        <w:sectPr w:rsidR="00201446" w:rsidSect="00201446">
          <w:headerReference w:type="default" r:id="rId21"/>
          <w:pgSz w:w="16840" w:h="11907" w:orient="landscape" w:code="9"/>
          <w:pgMar w:top="1134" w:right="2268" w:bottom="1134" w:left="1134" w:header="567" w:footer="567" w:gutter="0"/>
          <w:cols w:space="708"/>
          <w:docGrid w:linePitch="299"/>
        </w:sectPr>
      </w:pPr>
    </w:p>
    <w:p w14:paraId="24B821C2" w14:textId="77777777" w:rsidR="0010531D" w:rsidRDefault="008556EC" w:rsidP="00295BEA">
      <w:pPr>
        <w:pStyle w:val="SPRU71Paragraphs"/>
      </w:pPr>
      <w:r>
        <w:lastRenderedPageBreak/>
        <w:t xml:space="preserve">Having regard to the details for each disputed site in terms of forecast date for first completions and build-out within the </w:t>
      </w:r>
      <w:proofErr w:type="gramStart"/>
      <w:r>
        <w:t>five year</w:t>
      </w:r>
      <w:proofErr w:type="gramEnd"/>
      <w:r>
        <w:t xml:space="preserve"> period </w:t>
      </w:r>
      <w:r w:rsidR="00AD435C">
        <w:t>I would conclude that the Appellant has n</w:t>
      </w:r>
      <w:r w:rsidR="00F5557B">
        <w:t xml:space="preserve">ot considered relevant matters consistently </w:t>
      </w:r>
      <w:r w:rsidR="00DE13C4">
        <w:t>before determining that an adjustment to the Council’s assessment is warranted.</w:t>
      </w:r>
      <w:r w:rsidR="006A0616">
        <w:t xml:space="preserve"> While I provide this view w</w:t>
      </w:r>
      <w:r w:rsidR="004726C7">
        <w:t xml:space="preserve">ithout prejudice to more detailed </w:t>
      </w:r>
      <w:r w:rsidR="0074302F">
        <w:t xml:space="preserve">consideration of the published assessment that may be necessitated following the exchange of evidence </w:t>
      </w:r>
      <w:r w:rsidR="006A0616">
        <w:t xml:space="preserve">it is my opinion that each </w:t>
      </w:r>
      <w:r w:rsidR="004061DF">
        <w:t xml:space="preserve">site identified within the disputed supply </w:t>
      </w:r>
      <w:proofErr w:type="gramStart"/>
      <w:r w:rsidR="004061DF">
        <w:t>is capable of satisfying</w:t>
      </w:r>
      <w:proofErr w:type="gramEnd"/>
      <w:r w:rsidR="004061DF">
        <w:t xml:space="preserve"> the central test of a realistic prospect for completions </w:t>
      </w:r>
      <w:r w:rsidR="002950E5">
        <w:t xml:space="preserve">beginning within five years. </w:t>
      </w:r>
    </w:p>
    <w:p w14:paraId="0D91896F" w14:textId="265C8BC6" w:rsidR="00C75252" w:rsidRDefault="009A501C" w:rsidP="00295BEA">
      <w:pPr>
        <w:pStyle w:val="SPRU71Paragraphs"/>
      </w:pPr>
      <w:r>
        <w:t>The characteristics of the sites identified within the disputed supply are such that where part (b) of the NPPF2021</w:t>
      </w:r>
      <w:r w:rsidR="00B45D55">
        <w:t xml:space="preserve"> definition of deliverable applies </w:t>
      </w:r>
      <w:r w:rsidR="00553928">
        <w:t>matters assessed by the Council in its judgement at the base date, and progress since 1 April 2022</w:t>
      </w:r>
      <w:r w:rsidR="003C31E0">
        <w:t xml:space="preserve">, </w:t>
      </w:r>
      <w:proofErr w:type="gramStart"/>
      <w:r w:rsidR="003C31E0">
        <w:t>are capable of constituting</w:t>
      </w:r>
      <w:proofErr w:type="gramEnd"/>
      <w:r w:rsidR="003C31E0">
        <w:t xml:space="preserve"> clear evidence of a realistic prospect. </w:t>
      </w:r>
      <w:r w:rsidR="0066746F">
        <w:t>Details of the sites are such that</w:t>
      </w:r>
      <w:r w:rsidR="00956C72">
        <w:t xml:space="preserve"> the examples of evidence available to demonstrate deliverability can generally be considered to indicate firm progress and clear, relevant information </w:t>
      </w:r>
      <w:r w:rsidR="008012D6">
        <w:t xml:space="preserve">of delivery expectations (ID: </w:t>
      </w:r>
      <w:r w:rsidR="008012D6" w:rsidRPr="008012D6">
        <w:t>68-007-20190722</w:t>
      </w:r>
      <w:r w:rsidR="008012D6">
        <w:t>).</w:t>
      </w:r>
    </w:p>
    <w:p w14:paraId="19023739" w14:textId="449A4AD8" w:rsidR="004726C7" w:rsidRDefault="002621B4" w:rsidP="00811194">
      <w:pPr>
        <w:pStyle w:val="SPRU71Paragraphs"/>
      </w:pPr>
      <w:r>
        <w:t>In Tab</w:t>
      </w:r>
      <w:r w:rsidR="00825769">
        <w:t xml:space="preserve">le xx </w:t>
      </w:r>
      <w:r w:rsidR="0052780D">
        <w:t>above</w:t>
      </w:r>
      <w:r w:rsidR="00825769">
        <w:t xml:space="preserve"> I have therefore indicated relevant aspects of evidence and progress that in my initial view support the Council’s published assessment and that </w:t>
      </w:r>
      <w:r w:rsidR="00AF18E6">
        <w:t>would provide the basis for more detailed assessment dependent on the response required to the case advanced by the Appellant.</w:t>
      </w:r>
    </w:p>
    <w:p w14:paraId="2433E4F4" w14:textId="333E7781" w:rsidR="00556DE9" w:rsidRDefault="00556DE9" w:rsidP="00556DE9">
      <w:pPr>
        <w:pStyle w:val="aSPRUSubHeadings"/>
      </w:pPr>
      <w:r>
        <w:t>Revisions to the Published Position for Forecast Supply Identified in the Topic SOCG</w:t>
      </w:r>
      <w:bookmarkEnd w:id="78"/>
    </w:p>
    <w:p w14:paraId="75E3382F" w14:textId="77777777" w:rsidR="00556DE9" w:rsidRDefault="00556DE9" w:rsidP="006F28DA">
      <w:pPr>
        <w:pStyle w:val="SPRU71Paragraphs"/>
      </w:pPr>
      <w:r>
        <w:t xml:space="preserve">To narrow the extent of disagreement between the parties and make best use of Inquiry time I provided factual updates on behalf of the Council during preparation of the Topic </w:t>
      </w:r>
      <w:proofErr w:type="spellStart"/>
      <w:r>
        <w:t>SoCG</w:t>
      </w:r>
      <w:proofErr w:type="spellEnd"/>
      <w:r>
        <w:t xml:space="preserve"> to agree the following amendments to forecast supply within the published HLSS:</w:t>
      </w:r>
    </w:p>
    <w:p w14:paraId="28EF5138" w14:textId="77777777" w:rsidR="00556DE9" w:rsidRDefault="00556DE9" w:rsidP="00556DE9">
      <w:pPr>
        <w:pStyle w:val="SPRUBulletPoints"/>
      </w:pPr>
      <w:r w:rsidRPr="00A55AAF">
        <w:rPr>
          <w:b/>
          <w:bCs/>
        </w:rPr>
        <w:t>Banbury 5 (North of Hanwell Fields)</w:t>
      </w:r>
      <w:r>
        <w:t xml:space="preserve"> - Difference of 5 units from the most recent published Housing Land Supply Statement to correspond to Reserved Matters agreed on the basis of 40 </w:t>
      </w:r>
      <w:proofErr w:type="gramStart"/>
      <w:r>
        <w:t>units</w:t>
      </w:r>
      <w:proofErr w:type="gramEnd"/>
    </w:p>
    <w:p w14:paraId="000BABC9" w14:textId="77777777" w:rsidR="00556DE9" w:rsidRDefault="00556DE9" w:rsidP="00556DE9">
      <w:pPr>
        <w:pStyle w:val="SPRUBulletPoints"/>
      </w:pPr>
      <w:r w:rsidRPr="00CB776A">
        <w:rPr>
          <w:b/>
          <w:bCs/>
        </w:rPr>
        <w:t>18/00487/F Land to the Rear of 7 and 7A High Street</w:t>
      </w:r>
      <w:r>
        <w:t xml:space="preserve"> - Difference of 14 units from the most recent published Housing Land Supply Statement to correspond to lapsed planning permission previously extant at the 1 April 2022 base </w:t>
      </w:r>
      <w:proofErr w:type="gramStart"/>
      <w:r>
        <w:t>date</w:t>
      </w:r>
      <w:proofErr w:type="gramEnd"/>
    </w:p>
    <w:p w14:paraId="1EBA9E20" w14:textId="1D8AABBB" w:rsidR="00F034DE" w:rsidRDefault="00F034DE" w:rsidP="006F28DA">
      <w:pPr>
        <w:pStyle w:val="SPRU71Paragraphs"/>
      </w:pPr>
      <w:r>
        <w:t>I confirm both entries relate to specifically identified sites in Banbury.</w:t>
      </w:r>
    </w:p>
    <w:p w14:paraId="5AC9FAB6" w14:textId="6F976996" w:rsidR="00556DE9" w:rsidRDefault="00556DE9" w:rsidP="006F28DA">
      <w:pPr>
        <w:pStyle w:val="SPRU71Paragraphs"/>
      </w:pPr>
      <w:r>
        <w:t>These two entries together result in the removal of 19 dwellings from the published position (4244 – 19 = 4,225 units)</w:t>
      </w:r>
    </w:p>
    <w:p w14:paraId="25BB3053" w14:textId="6E614228" w:rsidR="00996905" w:rsidRPr="00027C0E" w:rsidRDefault="00996905" w:rsidP="00556DE9">
      <w:pPr>
        <w:pStyle w:val="SPRU101paragraphs"/>
        <w:numPr>
          <w:ilvl w:val="0"/>
          <w:numId w:val="0"/>
        </w:numPr>
        <w:ind w:left="737"/>
        <w:sectPr w:rsidR="00996905" w:rsidRPr="00027C0E" w:rsidSect="006F7115">
          <w:headerReference w:type="default" r:id="rId22"/>
          <w:pgSz w:w="11907" w:h="16840" w:code="9"/>
          <w:pgMar w:top="2268" w:right="1134" w:bottom="1134" w:left="1134" w:header="567" w:footer="567" w:gutter="0"/>
          <w:cols w:space="708"/>
          <w:docGrid w:linePitch="299"/>
        </w:sectPr>
      </w:pPr>
      <w:r>
        <w:br w:type="page"/>
      </w:r>
      <w:bookmarkEnd w:id="75"/>
    </w:p>
    <w:p w14:paraId="5CAB3438" w14:textId="4E6840DF" w:rsidR="006F7115" w:rsidRPr="00BE3F87" w:rsidRDefault="006F7115" w:rsidP="006F7115">
      <w:pPr>
        <w:pStyle w:val="SPRUChapterHeadings10"/>
      </w:pPr>
      <w:bookmarkStart w:id="79" w:name="_Toc134515204"/>
      <w:r>
        <w:lastRenderedPageBreak/>
        <w:t>Summary and Conclusions</w:t>
      </w:r>
      <w:bookmarkEnd w:id="72"/>
      <w:bookmarkEnd w:id="73"/>
      <w:bookmarkEnd w:id="79"/>
    </w:p>
    <w:p w14:paraId="2EFF21CF" w14:textId="0B0E8BE3" w:rsidR="006F7115" w:rsidRDefault="006F7115" w:rsidP="006C542D">
      <w:pPr>
        <w:pStyle w:val="SPRU81Paragraphs"/>
      </w:pPr>
      <w:r>
        <w:t xml:space="preserve">These conclusions should also be taken as providing a summary of this </w:t>
      </w:r>
      <w:r w:rsidR="00195AD6">
        <w:t>Proof of Evidence</w:t>
      </w:r>
      <w:r>
        <w:t xml:space="preserve">. </w:t>
      </w:r>
    </w:p>
    <w:p w14:paraId="39D240EB" w14:textId="69A13B1F" w:rsidR="0023249A" w:rsidRDefault="00C93DA2" w:rsidP="006C542D">
      <w:pPr>
        <w:pStyle w:val="SPRU81Paragraphs"/>
      </w:pPr>
      <w:r>
        <w:t>My overall conclusion</w:t>
      </w:r>
      <w:r w:rsidR="006F7115">
        <w:t xml:space="preserve"> is that </w:t>
      </w:r>
      <w:r w:rsidR="0023249A">
        <w:t xml:space="preserve">the Council </w:t>
      </w:r>
      <w:r w:rsidR="006F7115">
        <w:t xml:space="preserve">can demonstrate </w:t>
      </w:r>
      <w:proofErr w:type="spellStart"/>
      <w:r w:rsidR="0055223C">
        <w:rPr>
          <w:b/>
          <w:bCs/>
        </w:rPr>
        <w:t>xxxx</w:t>
      </w:r>
      <w:proofErr w:type="spellEnd"/>
      <w:r w:rsidR="006F7115" w:rsidRPr="0023249A">
        <w:rPr>
          <w:b/>
          <w:bCs/>
        </w:rPr>
        <w:t xml:space="preserve"> years’ deliverable supply</w:t>
      </w:r>
      <w:r w:rsidR="006F7115">
        <w:t xml:space="preserve"> against the relevant housing requirement</w:t>
      </w:r>
      <w:r w:rsidR="00046757">
        <w:t xml:space="preserve"> following my assessment in Section </w:t>
      </w:r>
      <w:r w:rsidR="0055223C">
        <w:t>xx</w:t>
      </w:r>
      <w:r w:rsidR="006F7115">
        <w:t>.</w:t>
      </w:r>
      <w:r w:rsidR="007F1168">
        <w:t xml:space="preserve"> </w:t>
      </w:r>
    </w:p>
    <w:p w14:paraId="2ED4BFFA" w14:textId="50E2B719" w:rsidR="0023249A" w:rsidRDefault="0023249A" w:rsidP="000D6763">
      <w:pPr>
        <w:pStyle w:val="SPRUTables"/>
      </w:pPr>
      <w:r>
        <w:t>Components of Five-Year Housing Land Supply</w:t>
      </w:r>
    </w:p>
    <w:tbl>
      <w:tblPr>
        <w:tblW w:w="9518" w:type="dxa"/>
        <w:tblLook w:val="04A0" w:firstRow="1" w:lastRow="0" w:firstColumn="1" w:lastColumn="0" w:noHBand="0" w:noVBand="1"/>
      </w:tblPr>
      <w:tblGrid>
        <w:gridCol w:w="960"/>
        <w:gridCol w:w="1300"/>
        <w:gridCol w:w="4398"/>
        <w:gridCol w:w="2860"/>
      </w:tblGrid>
      <w:tr w:rsidR="005C2E06" w:rsidRPr="005C2E06" w14:paraId="180A7A29" w14:textId="77777777" w:rsidTr="005C2E06">
        <w:trPr>
          <w:trHeight w:val="87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DA908"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 </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14:paraId="7F0A82AD"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Step</w:t>
            </w:r>
          </w:p>
        </w:tc>
        <w:tc>
          <w:tcPr>
            <w:tcW w:w="4398" w:type="dxa"/>
            <w:tcBorders>
              <w:top w:val="single" w:sz="4" w:space="0" w:color="auto"/>
              <w:left w:val="nil"/>
              <w:bottom w:val="single" w:sz="4" w:space="0" w:color="auto"/>
              <w:right w:val="single" w:sz="4" w:space="0" w:color="auto"/>
            </w:tcBorders>
            <w:shd w:val="clear" w:color="000000" w:fill="DDEBF7"/>
            <w:vAlign w:val="center"/>
            <w:hideMark/>
          </w:tcPr>
          <w:p w14:paraId="514420D5"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Description</w:t>
            </w:r>
          </w:p>
        </w:tc>
        <w:tc>
          <w:tcPr>
            <w:tcW w:w="2860" w:type="dxa"/>
            <w:tcBorders>
              <w:top w:val="single" w:sz="4" w:space="0" w:color="auto"/>
              <w:left w:val="nil"/>
              <w:bottom w:val="single" w:sz="4" w:space="0" w:color="auto"/>
              <w:right w:val="single" w:sz="4" w:space="0" w:color="auto"/>
            </w:tcBorders>
            <w:shd w:val="clear" w:color="000000" w:fill="DDEBF7"/>
            <w:vAlign w:val="center"/>
            <w:hideMark/>
          </w:tcPr>
          <w:p w14:paraId="3DAC5A21"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Published HLSS (February 2023)</w:t>
            </w:r>
          </w:p>
        </w:tc>
      </w:tr>
      <w:tr w:rsidR="005C2E06" w:rsidRPr="005C2E06" w14:paraId="51FF53DB" w14:textId="77777777" w:rsidTr="005C2E06">
        <w:trPr>
          <w:trHeight w:val="463"/>
        </w:trPr>
        <w:tc>
          <w:tcPr>
            <w:tcW w:w="96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64FD2606"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Five-Year Requirement</w:t>
            </w:r>
          </w:p>
        </w:tc>
        <w:tc>
          <w:tcPr>
            <w:tcW w:w="1300" w:type="dxa"/>
            <w:tcBorders>
              <w:top w:val="nil"/>
              <w:left w:val="nil"/>
              <w:bottom w:val="single" w:sz="4" w:space="0" w:color="auto"/>
              <w:right w:val="single" w:sz="4" w:space="0" w:color="auto"/>
            </w:tcBorders>
            <w:shd w:val="clear" w:color="000000" w:fill="DDEBF7"/>
            <w:vAlign w:val="center"/>
            <w:hideMark/>
          </w:tcPr>
          <w:p w14:paraId="5EA897AF"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a</w:t>
            </w:r>
          </w:p>
        </w:tc>
        <w:tc>
          <w:tcPr>
            <w:tcW w:w="4398" w:type="dxa"/>
            <w:tcBorders>
              <w:top w:val="nil"/>
              <w:left w:val="nil"/>
              <w:bottom w:val="single" w:sz="4" w:space="0" w:color="auto"/>
              <w:right w:val="single" w:sz="4" w:space="0" w:color="auto"/>
            </w:tcBorders>
            <w:shd w:val="clear" w:color="auto" w:fill="auto"/>
            <w:vAlign w:val="center"/>
            <w:hideMark/>
          </w:tcPr>
          <w:p w14:paraId="04CFF6CF"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Standard Method Requirement</w:t>
            </w:r>
            <w:r w:rsidRPr="005C2E06">
              <w:rPr>
                <w:rFonts w:ascii="Arial" w:eastAsia="Times New Roman" w:hAnsi="Arial" w:cs="Arial"/>
                <w:color w:val="000000"/>
                <w:sz w:val="20"/>
                <w:szCs w:val="20"/>
                <w:lang w:eastAsia="en-GB"/>
              </w:rPr>
              <w:br/>
              <w:t>(2022/23-2026/27)</w:t>
            </w:r>
          </w:p>
        </w:tc>
        <w:tc>
          <w:tcPr>
            <w:tcW w:w="2860" w:type="dxa"/>
            <w:tcBorders>
              <w:top w:val="nil"/>
              <w:left w:val="nil"/>
              <w:bottom w:val="single" w:sz="4" w:space="0" w:color="auto"/>
              <w:right w:val="single" w:sz="4" w:space="0" w:color="auto"/>
            </w:tcBorders>
            <w:shd w:val="clear" w:color="auto" w:fill="auto"/>
            <w:vAlign w:val="center"/>
            <w:hideMark/>
          </w:tcPr>
          <w:p w14:paraId="393C1BB2"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3551</w:t>
            </w:r>
          </w:p>
        </w:tc>
      </w:tr>
      <w:tr w:rsidR="005C2E06" w:rsidRPr="005C2E06" w14:paraId="6F6D197C" w14:textId="77777777" w:rsidTr="005C2E06">
        <w:trPr>
          <w:trHeight w:val="300"/>
        </w:trPr>
        <w:tc>
          <w:tcPr>
            <w:tcW w:w="960" w:type="dxa"/>
            <w:vMerge/>
            <w:tcBorders>
              <w:top w:val="nil"/>
              <w:left w:val="single" w:sz="4" w:space="0" w:color="auto"/>
              <w:bottom w:val="single" w:sz="4" w:space="0" w:color="auto"/>
              <w:right w:val="single" w:sz="4" w:space="0" w:color="auto"/>
            </w:tcBorders>
            <w:vAlign w:val="center"/>
            <w:hideMark/>
          </w:tcPr>
          <w:p w14:paraId="4B40CA61"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0FA0D291"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b</w:t>
            </w:r>
          </w:p>
        </w:tc>
        <w:tc>
          <w:tcPr>
            <w:tcW w:w="4398" w:type="dxa"/>
            <w:tcBorders>
              <w:top w:val="nil"/>
              <w:left w:val="nil"/>
              <w:bottom w:val="single" w:sz="4" w:space="0" w:color="auto"/>
              <w:right w:val="single" w:sz="4" w:space="0" w:color="auto"/>
            </w:tcBorders>
            <w:shd w:val="clear" w:color="auto" w:fill="auto"/>
            <w:vAlign w:val="center"/>
            <w:hideMark/>
          </w:tcPr>
          <w:p w14:paraId="27BACAA9"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Annual Requirement (a / 5)</w:t>
            </w:r>
          </w:p>
        </w:tc>
        <w:tc>
          <w:tcPr>
            <w:tcW w:w="2860" w:type="dxa"/>
            <w:tcBorders>
              <w:top w:val="nil"/>
              <w:left w:val="nil"/>
              <w:bottom w:val="single" w:sz="4" w:space="0" w:color="auto"/>
              <w:right w:val="single" w:sz="4" w:space="0" w:color="auto"/>
            </w:tcBorders>
            <w:shd w:val="clear" w:color="auto" w:fill="auto"/>
            <w:vAlign w:val="center"/>
            <w:hideMark/>
          </w:tcPr>
          <w:p w14:paraId="43FD81E5"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710</w:t>
            </w:r>
          </w:p>
        </w:tc>
      </w:tr>
      <w:tr w:rsidR="005C2E06" w:rsidRPr="005C2E06" w14:paraId="7D0179D0" w14:textId="77777777" w:rsidTr="005C2E06">
        <w:trPr>
          <w:trHeight w:val="540"/>
        </w:trPr>
        <w:tc>
          <w:tcPr>
            <w:tcW w:w="960" w:type="dxa"/>
            <w:vMerge/>
            <w:tcBorders>
              <w:top w:val="nil"/>
              <w:left w:val="single" w:sz="4" w:space="0" w:color="auto"/>
              <w:bottom w:val="single" w:sz="4" w:space="0" w:color="auto"/>
              <w:right w:val="single" w:sz="4" w:space="0" w:color="auto"/>
            </w:tcBorders>
            <w:vAlign w:val="center"/>
            <w:hideMark/>
          </w:tcPr>
          <w:p w14:paraId="4777AE72"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556C23C1"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c</w:t>
            </w:r>
          </w:p>
        </w:tc>
        <w:tc>
          <w:tcPr>
            <w:tcW w:w="4398" w:type="dxa"/>
            <w:tcBorders>
              <w:top w:val="nil"/>
              <w:left w:val="nil"/>
              <w:bottom w:val="single" w:sz="4" w:space="0" w:color="auto"/>
              <w:right w:val="single" w:sz="4" w:space="0" w:color="auto"/>
            </w:tcBorders>
            <w:shd w:val="clear" w:color="auto" w:fill="auto"/>
            <w:vAlign w:val="center"/>
            <w:hideMark/>
          </w:tcPr>
          <w:p w14:paraId="30A482DF"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Requirement to date (b x years)</w:t>
            </w:r>
          </w:p>
        </w:tc>
        <w:tc>
          <w:tcPr>
            <w:tcW w:w="2860" w:type="dxa"/>
            <w:tcBorders>
              <w:top w:val="nil"/>
              <w:left w:val="nil"/>
              <w:bottom w:val="single" w:sz="4" w:space="0" w:color="auto"/>
              <w:right w:val="single" w:sz="4" w:space="0" w:color="auto"/>
            </w:tcBorders>
            <w:shd w:val="clear" w:color="auto" w:fill="auto"/>
            <w:vAlign w:val="center"/>
            <w:hideMark/>
          </w:tcPr>
          <w:p w14:paraId="323D8419"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3551</w:t>
            </w:r>
          </w:p>
        </w:tc>
      </w:tr>
      <w:tr w:rsidR="005C2E06" w:rsidRPr="005C2E06" w14:paraId="552066A0" w14:textId="77777777" w:rsidTr="005C2E06">
        <w:trPr>
          <w:trHeight w:val="540"/>
        </w:trPr>
        <w:tc>
          <w:tcPr>
            <w:tcW w:w="960" w:type="dxa"/>
            <w:vMerge/>
            <w:tcBorders>
              <w:top w:val="nil"/>
              <w:left w:val="single" w:sz="4" w:space="0" w:color="auto"/>
              <w:bottom w:val="single" w:sz="4" w:space="0" w:color="auto"/>
              <w:right w:val="single" w:sz="4" w:space="0" w:color="auto"/>
            </w:tcBorders>
            <w:vAlign w:val="center"/>
            <w:hideMark/>
          </w:tcPr>
          <w:p w14:paraId="3CAB0C63"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0906F421"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d</w:t>
            </w:r>
          </w:p>
        </w:tc>
        <w:tc>
          <w:tcPr>
            <w:tcW w:w="4398" w:type="dxa"/>
            <w:tcBorders>
              <w:top w:val="nil"/>
              <w:left w:val="nil"/>
              <w:bottom w:val="single" w:sz="4" w:space="0" w:color="auto"/>
              <w:right w:val="single" w:sz="4" w:space="0" w:color="auto"/>
            </w:tcBorders>
            <w:shd w:val="clear" w:color="auto" w:fill="auto"/>
            <w:vAlign w:val="center"/>
            <w:hideMark/>
          </w:tcPr>
          <w:p w14:paraId="6AD0585F"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5 Year Requirement plus 5% buffer (c + 5%)</w:t>
            </w:r>
          </w:p>
        </w:tc>
        <w:tc>
          <w:tcPr>
            <w:tcW w:w="2860" w:type="dxa"/>
            <w:tcBorders>
              <w:top w:val="nil"/>
              <w:left w:val="nil"/>
              <w:bottom w:val="single" w:sz="4" w:space="0" w:color="auto"/>
              <w:right w:val="single" w:sz="4" w:space="0" w:color="auto"/>
            </w:tcBorders>
            <w:shd w:val="clear" w:color="auto" w:fill="auto"/>
            <w:vAlign w:val="center"/>
            <w:hideMark/>
          </w:tcPr>
          <w:p w14:paraId="55DB322A"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3729</w:t>
            </w:r>
          </w:p>
        </w:tc>
      </w:tr>
      <w:tr w:rsidR="005C2E06" w:rsidRPr="005C2E06" w14:paraId="4FC79BC5" w14:textId="77777777" w:rsidTr="005C2E06">
        <w:trPr>
          <w:trHeight w:val="804"/>
        </w:trPr>
        <w:tc>
          <w:tcPr>
            <w:tcW w:w="960" w:type="dxa"/>
            <w:vMerge/>
            <w:tcBorders>
              <w:top w:val="nil"/>
              <w:left w:val="single" w:sz="4" w:space="0" w:color="auto"/>
              <w:bottom w:val="single" w:sz="4" w:space="0" w:color="auto"/>
              <w:right w:val="single" w:sz="4" w:space="0" w:color="auto"/>
            </w:tcBorders>
            <w:vAlign w:val="center"/>
            <w:hideMark/>
          </w:tcPr>
          <w:p w14:paraId="570DDB25"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499CFE2C"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e</w:t>
            </w:r>
          </w:p>
        </w:tc>
        <w:tc>
          <w:tcPr>
            <w:tcW w:w="4398" w:type="dxa"/>
            <w:tcBorders>
              <w:top w:val="nil"/>
              <w:left w:val="nil"/>
              <w:bottom w:val="single" w:sz="4" w:space="0" w:color="auto"/>
              <w:right w:val="single" w:sz="4" w:space="0" w:color="auto"/>
            </w:tcBorders>
            <w:shd w:val="clear" w:color="auto" w:fill="auto"/>
            <w:vAlign w:val="center"/>
            <w:hideMark/>
          </w:tcPr>
          <w:p w14:paraId="26CFAEC2"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Revised Annual Requirement over next 5 years (d / 5)</w:t>
            </w:r>
          </w:p>
        </w:tc>
        <w:tc>
          <w:tcPr>
            <w:tcW w:w="2860" w:type="dxa"/>
            <w:tcBorders>
              <w:top w:val="nil"/>
              <w:left w:val="nil"/>
              <w:bottom w:val="single" w:sz="4" w:space="0" w:color="auto"/>
              <w:right w:val="single" w:sz="4" w:space="0" w:color="auto"/>
            </w:tcBorders>
            <w:shd w:val="clear" w:color="auto" w:fill="auto"/>
            <w:vAlign w:val="center"/>
            <w:hideMark/>
          </w:tcPr>
          <w:p w14:paraId="08701AFA"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746</w:t>
            </w:r>
          </w:p>
        </w:tc>
      </w:tr>
      <w:tr w:rsidR="005C2E06" w:rsidRPr="005C2E06" w14:paraId="5CCE82E3" w14:textId="77777777" w:rsidTr="005C2E06">
        <w:trPr>
          <w:trHeight w:val="300"/>
        </w:trPr>
        <w:tc>
          <w:tcPr>
            <w:tcW w:w="960"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14:paraId="37AFC230"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Components of Supply</w:t>
            </w:r>
          </w:p>
        </w:tc>
        <w:tc>
          <w:tcPr>
            <w:tcW w:w="1300" w:type="dxa"/>
            <w:tcBorders>
              <w:top w:val="nil"/>
              <w:left w:val="nil"/>
              <w:bottom w:val="single" w:sz="4" w:space="0" w:color="auto"/>
              <w:right w:val="single" w:sz="4" w:space="0" w:color="auto"/>
            </w:tcBorders>
            <w:shd w:val="clear" w:color="000000" w:fill="DDEBF7"/>
            <w:vAlign w:val="center"/>
            <w:hideMark/>
          </w:tcPr>
          <w:p w14:paraId="6CB97B4F"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w:t>
            </w:r>
            <w:proofErr w:type="spellStart"/>
            <w:r w:rsidRPr="005C2E06">
              <w:rPr>
                <w:rFonts w:ascii="Arial" w:eastAsia="Times New Roman" w:hAnsi="Arial" w:cs="Arial"/>
                <w:b/>
                <w:bCs/>
                <w:color w:val="000000"/>
                <w:sz w:val="20"/>
                <w:szCs w:val="20"/>
                <w:lang w:eastAsia="en-GB"/>
              </w:rPr>
              <w:t>i</w:t>
            </w:r>
            <w:proofErr w:type="spellEnd"/>
            <w:r w:rsidRPr="005C2E06">
              <w:rPr>
                <w:rFonts w:ascii="Arial" w:eastAsia="Times New Roman" w:hAnsi="Arial" w:cs="Arial"/>
                <w:b/>
                <w:bCs/>
                <w:color w:val="000000"/>
                <w:sz w:val="20"/>
                <w:szCs w:val="20"/>
                <w:lang w:eastAsia="en-GB"/>
              </w:rPr>
              <w:t>)</w:t>
            </w:r>
          </w:p>
        </w:tc>
        <w:tc>
          <w:tcPr>
            <w:tcW w:w="4398" w:type="dxa"/>
            <w:tcBorders>
              <w:top w:val="nil"/>
              <w:left w:val="nil"/>
              <w:bottom w:val="single" w:sz="4" w:space="0" w:color="auto"/>
              <w:right w:val="single" w:sz="4" w:space="0" w:color="auto"/>
            </w:tcBorders>
            <w:shd w:val="clear" w:color="auto" w:fill="auto"/>
            <w:vAlign w:val="center"/>
            <w:hideMark/>
          </w:tcPr>
          <w:p w14:paraId="22BC77AB" w14:textId="77777777" w:rsidR="005C2E06" w:rsidRPr="005C2E06" w:rsidRDefault="005C2E06" w:rsidP="005C2E06">
            <w:pPr>
              <w:spacing w:after="0" w:line="240" w:lineRule="auto"/>
              <w:rPr>
                <w:rFonts w:ascii="Arial" w:eastAsia="Times New Roman" w:hAnsi="Arial" w:cs="Arial"/>
                <w:i/>
                <w:iCs/>
                <w:color w:val="000000"/>
                <w:sz w:val="20"/>
                <w:szCs w:val="20"/>
                <w:lang w:eastAsia="en-GB"/>
              </w:rPr>
            </w:pPr>
            <w:r w:rsidRPr="005C2E06">
              <w:rPr>
                <w:rFonts w:ascii="Arial" w:eastAsia="Times New Roman" w:hAnsi="Arial" w:cs="Arial"/>
                <w:i/>
                <w:iCs/>
                <w:color w:val="000000"/>
                <w:sz w:val="20"/>
                <w:szCs w:val="20"/>
                <w:lang w:eastAsia="en-GB"/>
              </w:rPr>
              <w:t>Banbury Supply</w:t>
            </w:r>
          </w:p>
        </w:tc>
        <w:tc>
          <w:tcPr>
            <w:tcW w:w="2860" w:type="dxa"/>
            <w:tcBorders>
              <w:top w:val="nil"/>
              <w:left w:val="nil"/>
              <w:bottom w:val="single" w:sz="4" w:space="0" w:color="auto"/>
              <w:right w:val="single" w:sz="4" w:space="0" w:color="auto"/>
            </w:tcBorders>
            <w:shd w:val="clear" w:color="auto" w:fill="auto"/>
            <w:vAlign w:val="center"/>
            <w:hideMark/>
          </w:tcPr>
          <w:p w14:paraId="3347993D"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1534</w:t>
            </w:r>
          </w:p>
        </w:tc>
      </w:tr>
      <w:tr w:rsidR="005C2E06" w:rsidRPr="005C2E06" w14:paraId="7538AF0C" w14:textId="77777777" w:rsidTr="005C2E06">
        <w:trPr>
          <w:trHeight w:val="300"/>
        </w:trPr>
        <w:tc>
          <w:tcPr>
            <w:tcW w:w="960" w:type="dxa"/>
            <w:vMerge/>
            <w:tcBorders>
              <w:top w:val="nil"/>
              <w:left w:val="single" w:sz="4" w:space="0" w:color="auto"/>
              <w:bottom w:val="single" w:sz="4" w:space="0" w:color="auto"/>
              <w:right w:val="single" w:sz="4" w:space="0" w:color="auto"/>
            </w:tcBorders>
            <w:vAlign w:val="center"/>
            <w:hideMark/>
          </w:tcPr>
          <w:p w14:paraId="79803479"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466A0962"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(ii)</w:t>
            </w:r>
          </w:p>
        </w:tc>
        <w:tc>
          <w:tcPr>
            <w:tcW w:w="4398" w:type="dxa"/>
            <w:tcBorders>
              <w:top w:val="nil"/>
              <w:left w:val="nil"/>
              <w:bottom w:val="single" w:sz="4" w:space="0" w:color="auto"/>
              <w:right w:val="single" w:sz="4" w:space="0" w:color="auto"/>
            </w:tcBorders>
            <w:shd w:val="clear" w:color="auto" w:fill="auto"/>
            <w:vAlign w:val="center"/>
            <w:hideMark/>
          </w:tcPr>
          <w:p w14:paraId="6CF6BF27" w14:textId="77777777" w:rsidR="005C2E06" w:rsidRPr="005C2E06" w:rsidRDefault="005C2E06" w:rsidP="005C2E06">
            <w:pPr>
              <w:spacing w:after="0" w:line="240" w:lineRule="auto"/>
              <w:rPr>
                <w:rFonts w:ascii="Arial" w:eastAsia="Times New Roman" w:hAnsi="Arial" w:cs="Arial"/>
                <w:i/>
                <w:iCs/>
                <w:color w:val="000000"/>
                <w:sz w:val="20"/>
                <w:szCs w:val="20"/>
                <w:lang w:eastAsia="en-GB"/>
              </w:rPr>
            </w:pPr>
            <w:r w:rsidRPr="005C2E06">
              <w:rPr>
                <w:rFonts w:ascii="Arial" w:eastAsia="Times New Roman" w:hAnsi="Arial" w:cs="Arial"/>
                <w:i/>
                <w:iCs/>
                <w:color w:val="000000"/>
                <w:sz w:val="20"/>
                <w:szCs w:val="20"/>
                <w:lang w:eastAsia="en-GB"/>
              </w:rPr>
              <w:t>Bicester Supply</w:t>
            </w:r>
          </w:p>
        </w:tc>
        <w:tc>
          <w:tcPr>
            <w:tcW w:w="2860" w:type="dxa"/>
            <w:tcBorders>
              <w:top w:val="nil"/>
              <w:left w:val="nil"/>
              <w:bottom w:val="single" w:sz="4" w:space="0" w:color="auto"/>
              <w:right w:val="single" w:sz="4" w:space="0" w:color="auto"/>
            </w:tcBorders>
            <w:shd w:val="clear" w:color="auto" w:fill="auto"/>
            <w:vAlign w:val="center"/>
            <w:hideMark/>
          </w:tcPr>
          <w:p w14:paraId="5110311B"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1312</w:t>
            </w:r>
          </w:p>
        </w:tc>
      </w:tr>
      <w:tr w:rsidR="005C2E06" w:rsidRPr="005C2E06" w14:paraId="0C4B5596" w14:textId="77777777" w:rsidTr="005C2E06">
        <w:trPr>
          <w:trHeight w:val="300"/>
        </w:trPr>
        <w:tc>
          <w:tcPr>
            <w:tcW w:w="960" w:type="dxa"/>
            <w:vMerge/>
            <w:tcBorders>
              <w:top w:val="nil"/>
              <w:left w:val="single" w:sz="4" w:space="0" w:color="auto"/>
              <w:bottom w:val="single" w:sz="4" w:space="0" w:color="auto"/>
              <w:right w:val="single" w:sz="4" w:space="0" w:color="auto"/>
            </w:tcBorders>
            <w:vAlign w:val="center"/>
            <w:hideMark/>
          </w:tcPr>
          <w:p w14:paraId="1AA06230"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15E3849C"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(iii)</w:t>
            </w:r>
          </w:p>
        </w:tc>
        <w:tc>
          <w:tcPr>
            <w:tcW w:w="4398" w:type="dxa"/>
            <w:tcBorders>
              <w:top w:val="nil"/>
              <w:left w:val="nil"/>
              <w:bottom w:val="single" w:sz="4" w:space="0" w:color="auto"/>
              <w:right w:val="single" w:sz="4" w:space="0" w:color="auto"/>
            </w:tcBorders>
            <w:shd w:val="clear" w:color="auto" w:fill="auto"/>
            <w:vAlign w:val="center"/>
            <w:hideMark/>
          </w:tcPr>
          <w:p w14:paraId="54631EDA" w14:textId="77777777" w:rsidR="005C2E06" w:rsidRPr="005C2E06" w:rsidRDefault="005C2E06" w:rsidP="005C2E06">
            <w:pPr>
              <w:spacing w:after="0" w:line="240" w:lineRule="auto"/>
              <w:rPr>
                <w:rFonts w:ascii="Arial" w:eastAsia="Times New Roman" w:hAnsi="Arial" w:cs="Arial"/>
                <w:i/>
                <w:iCs/>
                <w:color w:val="000000"/>
                <w:sz w:val="20"/>
                <w:szCs w:val="20"/>
                <w:lang w:eastAsia="en-GB"/>
              </w:rPr>
            </w:pPr>
            <w:r w:rsidRPr="005C2E06">
              <w:rPr>
                <w:rFonts w:ascii="Arial" w:eastAsia="Times New Roman" w:hAnsi="Arial" w:cs="Arial"/>
                <w:i/>
                <w:iCs/>
                <w:color w:val="000000"/>
                <w:sz w:val="20"/>
                <w:szCs w:val="20"/>
                <w:lang w:eastAsia="en-GB"/>
              </w:rPr>
              <w:t>Other Areas</w:t>
            </w:r>
          </w:p>
        </w:tc>
        <w:tc>
          <w:tcPr>
            <w:tcW w:w="2860" w:type="dxa"/>
            <w:tcBorders>
              <w:top w:val="nil"/>
              <w:left w:val="nil"/>
              <w:bottom w:val="single" w:sz="4" w:space="0" w:color="auto"/>
              <w:right w:val="single" w:sz="4" w:space="0" w:color="auto"/>
            </w:tcBorders>
            <w:shd w:val="clear" w:color="auto" w:fill="auto"/>
            <w:vAlign w:val="center"/>
            <w:hideMark/>
          </w:tcPr>
          <w:p w14:paraId="79A3644A"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1179</w:t>
            </w:r>
          </w:p>
        </w:tc>
      </w:tr>
      <w:tr w:rsidR="005C2E06" w:rsidRPr="005C2E06" w14:paraId="56213E39" w14:textId="77777777" w:rsidTr="005C2E06">
        <w:trPr>
          <w:trHeight w:val="300"/>
        </w:trPr>
        <w:tc>
          <w:tcPr>
            <w:tcW w:w="960" w:type="dxa"/>
            <w:vMerge/>
            <w:tcBorders>
              <w:top w:val="nil"/>
              <w:left w:val="single" w:sz="4" w:space="0" w:color="auto"/>
              <w:bottom w:val="single" w:sz="4" w:space="0" w:color="auto"/>
              <w:right w:val="single" w:sz="4" w:space="0" w:color="auto"/>
            </w:tcBorders>
            <w:vAlign w:val="center"/>
            <w:hideMark/>
          </w:tcPr>
          <w:p w14:paraId="411F01C8"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5D942887"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(iv)</w:t>
            </w:r>
          </w:p>
        </w:tc>
        <w:tc>
          <w:tcPr>
            <w:tcW w:w="4398" w:type="dxa"/>
            <w:tcBorders>
              <w:top w:val="nil"/>
              <w:left w:val="nil"/>
              <w:bottom w:val="single" w:sz="4" w:space="0" w:color="auto"/>
              <w:right w:val="single" w:sz="4" w:space="0" w:color="auto"/>
            </w:tcBorders>
            <w:shd w:val="clear" w:color="auto" w:fill="auto"/>
            <w:vAlign w:val="center"/>
            <w:hideMark/>
          </w:tcPr>
          <w:p w14:paraId="17E398D7" w14:textId="77777777" w:rsidR="005C2E06" w:rsidRPr="005C2E06" w:rsidRDefault="005C2E06" w:rsidP="005C2E06">
            <w:pPr>
              <w:spacing w:after="0" w:line="240" w:lineRule="auto"/>
              <w:rPr>
                <w:rFonts w:ascii="Arial" w:eastAsia="Times New Roman" w:hAnsi="Arial" w:cs="Arial"/>
                <w:i/>
                <w:iCs/>
                <w:color w:val="000000"/>
                <w:sz w:val="20"/>
                <w:szCs w:val="20"/>
                <w:lang w:eastAsia="en-GB"/>
              </w:rPr>
            </w:pPr>
            <w:r w:rsidRPr="005C2E06">
              <w:rPr>
                <w:rFonts w:ascii="Arial" w:eastAsia="Times New Roman" w:hAnsi="Arial" w:cs="Arial"/>
                <w:i/>
                <w:iCs/>
                <w:color w:val="000000"/>
                <w:sz w:val="20"/>
                <w:szCs w:val="20"/>
                <w:lang w:eastAsia="en-GB"/>
              </w:rPr>
              <w:t>Windfall</w:t>
            </w:r>
          </w:p>
        </w:tc>
        <w:tc>
          <w:tcPr>
            <w:tcW w:w="2860" w:type="dxa"/>
            <w:tcBorders>
              <w:top w:val="nil"/>
              <w:left w:val="nil"/>
              <w:bottom w:val="single" w:sz="4" w:space="0" w:color="auto"/>
              <w:right w:val="single" w:sz="4" w:space="0" w:color="auto"/>
            </w:tcBorders>
            <w:shd w:val="clear" w:color="auto" w:fill="auto"/>
            <w:vAlign w:val="center"/>
            <w:hideMark/>
          </w:tcPr>
          <w:p w14:paraId="116B22C3"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200</w:t>
            </w:r>
          </w:p>
        </w:tc>
      </w:tr>
      <w:tr w:rsidR="005C2E06" w:rsidRPr="005C2E06" w14:paraId="5AB75019" w14:textId="77777777" w:rsidTr="005C2E06">
        <w:trPr>
          <w:trHeight w:val="540"/>
        </w:trPr>
        <w:tc>
          <w:tcPr>
            <w:tcW w:w="960" w:type="dxa"/>
            <w:vMerge/>
            <w:tcBorders>
              <w:top w:val="nil"/>
              <w:left w:val="single" w:sz="4" w:space="0" w:color="auto"/>
              <w:bottom w:val="single" w:sz="4" w:space="0" w:color="auto"/>
              <w:right w:val="single" w:sz="4" w:space="0" w:color="auto"/>
            </w:tcBorders>
            <w:vAlign w:val="center"/>
            <w:hideMark/>
          </w:tcPr>
          <w:p w14:paraId="545CF110"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0C98E349"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f</w:t>
            </w:r>
          </w:p>
        </w:tc>
        <w:tc>
          <w:tcPr>
            <w:tcW w:w="4398" w:type="dxa"/>
            <w:tcBorders>
              <w:top w:val="nil"/>
              <w:left w:val="nil"/>
              <w:bottom w:val="single" w:sz="4" w:space="0" w:color="auto"/>
              <w:right w:val="single" w:sz="4" w:space="0" w:color="auto"/>
            </w:tcBorders>
            <w:shd w:val="clear" w:color="auto" w:fill="auto"/>
            <w:vAlign w:val="center"/>
            <w:hideMark/>
          </w:tcPr>
          <w:p w14:paraId="60540D48"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Deliverable Supply over next 5 Years</w:t>
            </w:r>
          </w:p>
        </w:tc>
        <w:tc>
          <w:tcPr>
            <w:tcW w:w="2860" w:type="dxa"/>
            <w:tcBorders>
              <w:top w:val="nil"/>
              <w:left w:val="nil"/>
              <w:bottom w:val="single" w:sz="4" w:space="0" w:color="auto"/>
              <w:right w:val="single" w:sz="4" w:space="0" w:color="auto"/>
            </w:tcBorders>
            <w:shd w:val="clear" w:color="000000" w:fill="FFFF00"/>
            <w:vAlign w:val="center"/>
            <w:hideMark/>
          </w:tcPr>
          <w:p w14:paraId="138E71FA"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4225</w:t>
            </w:r>
          </w:p>
        </w:tc>
      </w:tr>
      <w:tr w:rsidR="005C2E06" w:rsidRPr="005C2E06" w14:paraId="63767865" w14:textId="77777777" w:rsidTr="005C2E06">
        <w:trPr>
          <w:trHeight w:val="540"/>
        </w:trPr>
        <w:tc>
          <w:tcPr>
            <w:tcW w:w="96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4588A579" w14:textId="77777777" w:rsidR="005C2E06" w:rsidRPr="005C2E06" w:rsidRDefault="005C2E06" w:rsidP="005C2E06">
            <w:pPr>
              <w:spacing w:after="0" w:line="240" w:lineRule="auto"/>
              <w:jc w:val="center"/>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Five Year Supply</w:t>
            </w:r>
          </w:p>
        </w:tc>
        <w:tc>
          <w:tcPr>
            <w:tcW w:w="1300" w:type="dxa"/>
            <w:tcBorders>
              <w:top w:val="nil"/>
              <w:left w:val="nil"/>
              <w:bottom w:val="single" w:sz="4" w:space="0" w:color="auto"/>
              <w:right w:val="single" w:sz="4" w:space="0" w:color="auto"/>
            </w:tcBorders>
            <w:shd w:val="clear" w:color="000000" w:fill="DDEBF7"/>
            <w:vAlign w:val="center"/>
            <w:hideMark/>
          </w:tcPr>
          <w:p w14:paraId="2640FD5B"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g</w:t>
            </w:r>
          </w:p>
        </w:tc>
        <w:tc>
          <w:tcPr>
            <w:tcW w:w="4398" w:type="dxa"/>
            <w:tcBorders>
              <w:top w:val="nil"/>
              <w:left w:val="nil"/>
              <w:bottom w:val="single" w:sz="4" w:space="0" w:color="auto"/>
              <w:right w:val="single" w:sz="4" w:space="0" w:color="auto"/>
            </w:tcBorders>
            <w:shd w:val="clear" w:color="auto" w:fill="auto"/>
            <w:vAlign w:val="center"/>
            <w:hideMark/>
          </w:tcPr>
          <w:p w14:paraId="26446334"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Total years supply over next 5 years (f/ e)</w:t>
            </w:r>
          </w:p>
        </w:tc>
        <w:tc>
          <w:tcPr>
            <w:tcW w:w="2860" w:type="dxa"/>
            <w:tcBorders>
              <w:top w:val="nil"/>
              <w:left w:val="nil"/>
              <w:bottom w:val="single" w:sz="4" w:space="0" w:color="auto"/>
              <w:right w:val="single" w:sz="4" w:space="0" w:color="auto"/>
            </w:tcBorders>
            <w:shd w:val="clear" w:color="auto" w:fill="auto"/>
            <w:vAlign w:val="center"/>
            <w:hideMark/>
          </w:tcPr>
          <w:p w14:paraId="289E7EE2"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5.67</w:t>
            </w:r>
          </w:p>
        </w:tc>
      </w:tr>
      <w:tr w:rsidR="005C2E06" w:rsidRPr="005C2E06" w14:paraId="53CA321E" w14:textId="77777777" w:rsidTr="005C2E06">
        <w:trPr>
          <w:trHeight w:val="300"/>
        </w:trPr>
        <w:tc>
          <w:tcPr>
            <w:tcW w:w="960" w:type="dxa"/>
            <w:vMerge/>
            <w:tcBorders>
              <w:top w:val="nil"/>
              <w:left w:val="single" w:sz="4" w:space="0" w:color="auto"/>
              <w:bottom w:val="single" w:sz="4" w:space="0" w:color="auto"/>
              <w:right w:val="single" w:sz="4" w:space="0" w:color="auto"/>
            </w:tcBorders>
            <w:vAlign w:val="center"/>
            <w:hideMark/>
          </w:tcPr>
          <w:p w14:paraId="52F5A1CB" w14:textId="77777777" w:rsidR="005C2E06" w:rsidRPr="005C2E06" w:rsidRDefault="005C2E06" w:rsidP="005C2E06">
            <w:pPr>
              <w:spacing w:after="0" w:line="240" w:lineRule="auto"/>
              <w:rPr>
                <w:rFonts w:ascii="Arial" w:eastAsia="Times New Roman" w:hAnsi="Arial" w:cs="Arial"/>
                <w:color w:val="000000"/>
                <w:sz w:val="20"/>
                <w:szCs w:val="20"/>
                <w:lang w:eastAsia="en-GB"/>
              </w:rPr>
            </w:pPr>
          </w:p>
        </w:tc>
        <w:tc>
          <w:tcPr>
            <w:tcW w:w="1300" w:type="dxa"/>
            <w:tcBorders>
              <w:top w:val="nil"/>
              <w:left w:val="nil"/>
              <w:bottom w:val="single" w:sz="4" w:space="0" w:color="auto"/>
              <w:right w:val="single" w:sz="4" w:space="0" w:color="auto"/>
            </w:tcBorders>
            <w:shd w:val="clear" w:color="000000" w:fill="DDEBF7"/>
            <w:vAlign w:val="center"/>
            <w:hideMark/>
          </w:tcPr>
          <w:p w14:paraId="344CC030" w14:textId="77777777" w:rsidR="005C2E06" w:rsidRPr="005C2E06" w:rsidRDefault="005C2E06" w:rsidP="005C2E06">
            <w:pPr>
              <w:spacing w:after="0" w:line="240" w:lineRule="auto"/>
              <w:jc w:val="center"/>
              <w:rPr>
                <w:rFonts w:ascii="Arial" w:eastAsia="Times New Roman" w:hAnsi="Arial" w:cs="Arial"/>
                <w:b/>
                <w:bCs/>
                <w:color w:val="000000"/>
                <w:sz w:val="20"/>
                <w:szCs w:val="20"/>
                <w:lang w:eastAsia="en-GB"/>
              </w:rPr>
            </w:pPr>
            <w:r w:rsidRPr="005C2E06">
              <w:rPr>
                <w:rFonts w:ascii="Arial" w:eastAsia="Times New Roman" w:hAnsi="Arial" w:cs="Arial"/>
                <w:b/>
                <w:bCs/>
                <w:color w:val="000000"/>
                <w:sz w:val="20"/>
                <w:szCs w:val="20"/>
                <w:lang w:eastAsia="en-GB"/>
              </w:rPr>
              <w:t>h</w:t>
            </w:r>
          </w:p>
        </w:tc>
        <w:tc>
          <w:tcPr>
            <w:tcW w:w="4398" w:type="dxa"/>
            <w:tcBorders>
              <w:top w:val="nil"/>
              <w:left w:val="nil"/>
              <w:bottom w:val="single" w:sz="4" w:space="0" w:color="auto"/>
              <w:right w:val="single" w:sz="4" w:space="0" w:color="auto"/>
            </w:tcBorders>
            <w:shd w:val="clear" w:color="auto" w:fill="auto"/>
            <w:vAlign w:val="center"/>
            <w:hideMark/>
          </w:tcPr>
          <w:p w14:paraId="7F75CA4D" w14:textId="77777777" w:rsidR="005C2E06" w:rsidRPr="005C2E06" w:rsidRDefault="005C2E06" w:rsidP="005C2E06">
            <w:pPr>
              <w:spacing w:after="0" w:line="240" w:lineRule="auto"/>
              <w:rPr>
                <w:rFonts w:ascii="Arial" w:eastAsia="Times New Roman" w:hAnsi="Arial" w:cs="Arial"/>
                <w:color w:val="000000"/>
                <w:sz w:val="20"/>
                <w:szCs w:val="20"/>
                <w:lang w:eastAsia="en-GB"/>
              </w:rPr>
            </w:pPr>
            <w:r w:rsidRPr="005C2E06">
              <w:rPr>
                <w:rFonts w:ascii="Arial" w:eastAsia="Times New Roman" w:hAnsi="Arial" w:cs="Arial"/>
                <w:color w:val="000000"/>
                <w:sz w:val="20"/>
                <w:szCs w:val="20"/>
                <w:lang w:eastAsia="en-GB"/>
              </w:rPr>
              <w:t xml:space="preserve">‘Shortfall’ / </w:t>
            </w:r>
            <w:proofErr w:type="gramStart"/>
            <w:r w:rsidRPr="005C2E06">
              <w:rPr>
                <w:rFonts w:ascii="Arial" w:eastAsia="Times New Roman" w:hAnsi="Arial" w:cs="Arial"/>
                <w:color w:val="000000"/>
                <w:sz w:val="20"/>
                <w:szCs w:val="20"/>
                <w:lang w:eastAsia="en-GB"/>
              </w:rPr>
              <w:t>Surplus(</w:t>
            </w:r>
            <w:proofErr w:type="gramEnd"/>
            <w:r w:rsidRPr="005C2E06">
              <w:rPr>
                <w:rFonts w:ascii="Arial" w:eastAsia="Times New Roman" w:hAnsi="Arial" w:cs="Arial"/>
                <w:color w:val="000000"/>
                <w:sz w:val="20"/>
                <w:szCs w:val="20"/>
                <w:lang w:eastAsia="en-GB"/>
              </w:rPr>
              <w:t>f – d)</w:t>
            </w:r>
          </w:p>
        </w:tc>
        <w:tc>
          <w:tcPr>
            <w:tcW w:w="2860" w:type="dxa"/>
            <w:tcBorders>
              <w:top w:val="nil"/>
              <w:left w:val="nil"/>
              <w:bottom w:val="single" w:sz="4" w:space="0" w:color="auto"/>
              <w:right w:val="single" w:sz="4" w:space="0" w:color="auto"/>
            </w:tcBorders>
            <w:shd w:val="clear" w:color="auto" w:fill="auto"/>
            <w:vAlign w:val="center"/>
            <w:hideMark/>
          </w:tcPr>
          <w:p w14:paraId="64DED625" w14:textId="1C816F6F" w:rsidR="005C2E06" w:rsidRPr="005C2E06" w:rsidRDefault="00992103" w:rsidP="005C2E06">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t>
            </w:r>
            <w:r w:rsidR="005C2E06" w:rsidRPr="005C2E06">
              <w:rPr>
                <w:rFonts w:ascii="Arial" w:eastAsia="Times New Roman" w:hAnsi="Arial" w:cs="Arial"/>
                <w:color w:val="000000"/>
                <w:sz w:val="20"/>
                <w:szCs w:val="20"/>
                <w:lang w:eastAsia="en-GB"/>
              </w:rPr>
              <w:t>496</w:t>
            </w:r>
          </w:p>
        </w:tc>
      </w:tr>
    </w:tbl>
    <w:p w14:paraId="2497151F" w14:textId="53121456" w:rsidR="003E317C" w:rsidRDefault="003E317C" w:rsidP="00C41BE1">
      <w:pPr>
        <w:pStyle w:val="SPRUTables"/>
        <w:numPr>
          <w:ilvl w:val="0"/>
          <w:numId w:val="0"/>
        </w:numPr>
        <w:ind w:left="720"/>
      </w:pPr>
    </w:p>
    <w:p w14:paraId="5E71DDC0" w14:textId="77777777" w:rsidR="00C41BE1" w:rsidRDefault="00C41BE1" w:rsidP="00C41BE1">
      <w:pPr>
        <w:pStyle w:val="SPRUTables"/>
        <w:numPr>
          <w:ilvl w:val="0"/>
          <w:numId w:val="0"/>
        </w:numPr>
        <w:ind w:left="720"/>
      </w:pPr>
    </w:p>
    <w:p w14:paraId="77D9FDD2" w14:textId="42BB3E3B" w:rsidR="000D6763" w:rsidRDefault="003E317C" w:rsidP="00C20165">
      <w:pPr>
        <w:pStyle w:val="SPRU91Paragraphs"/>
      </w:pPr>
      <w:r>
        <w:t xml:space="preserve">The calculation reflects a surplus in excess of the relevant five-year requirement and indicates that the policies most important for determining the Appeal proposals remain </w:t>
      </w:r>
      <w:proofErr w:type="gramStart"/>
      <w:r>
        <w:t>up-to-date</w:t>
      </w:r>
      <w:proofErr w:type="gramEnd"/>
      <w:r>
        <w:t xml:space="preserve">. </w:t>
      </w:r>
    </w:p>
    <w:p w14:paraId="18440C02" w14:textId="25E02D41" w:rsidR="00CD0F53" w:rsidRPr="00CD0F53" w:rsidRDefault="000D6763" w:rsidP="00C20165">
      <w:pPr>
        <w:pStyle w:val="SPRU91Paragraphs"/>
      </w:pPr>
      <w:r>
        <w:t xml:space="preserve">Paragraph </w:t>
      </w:r>
      <w:r w:rsidR="003E317C">
        <w:t>74</w:t>
      </w:r>
      <w:r>
        <w:t xml:space="preserve"> of the NPPF</w:t>
      </w:r>
      <w:r w:rsidR="00AD7376">
        <w:t>2021</w:t>
      </w:r>
      <w:r>
        <w:t xml:space="preserve"> has two limbs and must be interpreted and applied as such for the purposes of decision-taking.</w:t>
      </w:r>
      <w:r w:rsidR="00CD0F53" w:rsidRPr="00CD0F53">
        <w:t xml:space="preserve"> </w:t>
      </w:r>
    </w:p>
    <w:p w14:paraId="61620E01" w14:textId="57D37739" w:rsidR="00467337" w:rsidRDefault="00467337" w:rsidP="00C20165">
      <w:pPr>
        <w:pStyle w:val="SPRU91Paragraphs"/>
      </w:pPr>
      <w:r>
        <w:t>Strategic p</w:t>
      </w:r>
      <w:r w:rsidRPr="00F32E69">
        <w:t xml:space="preserve">olicies relevant to this appeal in respect of housing supply are set out in </w:t>
      </w:r>
    </w:p>
    <w:p w14:paraId="72A4ADFC" w14:textId="7D0CF488" w:rsidR="00A04FAB" w:rsidRDefault="00A04FAB" w:rsidP="00C20165">
      <w:pPr>
        <w:pStyle w:val="SPRU91Paragraphs"/>
      </w:pPr>
      <w:r>
        <w:t xml:space="preserve">Paragraph </w:t>
      </w:r>
      <w:r w:rsidR="003E317C">
        <w:t>74</w:t>
      </w:r>
      <w:r>
        <w:t xml:space="preserve"> of the </w:t>
      </w:r>
      <w:r w:rsidR="003E317C">
        <w:t>NPPF2021</w:t>
      </w:r>
      <w:r>
        <w:t xml:space="preserve"> does not demand that the housing requirement is applied </w:t>
      </w:r>
      <w:proofErr w:type="gramStart"/>
      <w:r>
        <w:t>on the basis of</w:t>
      </w:r>
      <w:proofErr w:type="gramEnd"/>
      <w:r>
        <w:t xml:space="preserve"> administrative </w:t>
      </w:r>
      <w:r w:rsidR="00540FBE">
        <w:t>boundaries,</w:t>
      </w:r>
      <w:r w:rsidR="003E317C">
        <w:t xml:space="preserve"> and this is a position accepted by the Appellants</w:t>
      </w:r>
      <w:r>
        <w:t>.</w:t>
      </w:r>
    </w:p>
    <w:p w14:paraId="27831B2F" w14:textId="3A4DF406" w:rsidR="00B10364" w:rsidRPr="00381625" w:rsidRDefault="00B10364" w:rsidP="00C20165">
      <w:pPr>
        <w:pStyle w:val="SPRU91Paragraphs"/>
      </w:pPr>
      <w:r w:rsidRPr="00381625">
        <w:t>address the Housing Delivery Test. The HDT cannot determine the approach to calculating the housing requirement and housing land supply, which is a separate subject</w:t>
      </w:r>
      <w:r w:rsidR="003E317C">
        <w:t xml:space="preserve">, but its operation in </w:t>
      </w:r>
      <w:r w:rsidR="00761779">
        <w:t>Cherwell</w:t>
      </w:r>
      <w:r w:rsidR="003E317C">
        <w:t xml:space="preserve"> is consistent with the </w:t>
      </w:r>
      <w:r w:rsidR="00761779">
        <w:t xml:space="preserve">Council’s position on the requirement against which supply should be </w:t>
      </w:r>
      <w:r w:rsidR="00540FBE">
        <w:t>assessed.</w:t>
      </w:r>
    </w:p>
    <w:p w14:paraId="2D7982DB" w14:textId="613D5B37" w:rsidR="0012063D" w:rsidRPr="00381625" w:rsidRDefault="009661DD" w:rsidP="00C20165">
      <w:pPr>
        <w:pStyle w:val="SPRU91Paragraphs"/>
      </w:pPr>
      <w:r w:rsidRPr="00381625">
        <w:t xml:space="preserve">In </w:t>
      </w:r>
      <w:r w:rsidRPr="00381625">
        <w:rPr>
          <w:b/>
          <w:bCs/>
        </w:rPr>
        <w:t xml:space="preserve">Section </w:t>
      </w:r>
      <w:r w:rsidR="00FB2D04">
        <w:rPr>
          <w:b/>
          <w:bCs/>
        </w:rPr>
        <w:t>9</w:t>
      </w:r>
      <w:r w:rsidRPr="00381625">
        <w:rPr>
          <w:b/>
          <w:bCs/>
        </w:rPr>
        <w:t xml:space="preserve"> </w:t>
      </w:r>
      <w:r w:rsidRPr="00381625">
        <w:t xml:space="preserve">I summarise the Council’s </w:t>
      </w:r>
      <w:r w:rsidR="0012063D" w:rsidRPr="00381625">
        <w:t xml:space="preserve">most recent </w:t>
      </w:r>
      <w:r w:rsidRPr="00381625">
        <w:t xml:space="preserve">Housing Land </w:t>
      </w:r>
      <w:r w:rsidR="003E317C">
        <w:t xml:space="preserve">Supply Assessment </w:t>
      </w:r>
      <w:r w:rsidR="002240E3" w:rsidRPr="00381625">
        <w:t>(‘</w:t>
      </w:r>
      <w:r w:rsidR="003E317C">
        <w:t>HLSA</w:t>
      </w:r>
      <w:r w:rsidR="002240E3" w:rsidRPr="00381625">
        <w:t xml:space="preserve">’) </w:t>
      </w:r>
      <w:r w:rsidRPr="00381625">
        <w:t>(</w:t>
      </w:r>
      <w:r w:rsidR="0012063D" w:rsidRPr="00381625">
        <w:t xml:space="preserve">1 </w:t>
      </w:r>
      <w:r w:rsidRPr="00381625">
        <w:t xml:space="preserve">April </w:t>
      </w:r>
      <w:r w:rsidR="00AD7376">
        <w:t>2022</w:t>
      </w:r>
      <w:r w:rsidRPr="00381625">
        <w:t xml:space="preserve">). </w:t>
      </w:r>
    </w:p>
    <w:p w14:paraId="4755F61D" w14:textId="7E1F2992" w:rsidR="00A77C9E" w:rsidRDefault="00F91329" w:rsidP="00C20165">
      <w:pPr>
        <w:pStyle w:val="SPRU91Paragraphs"/>
      </w:pPr>
      <w:r w:rsidRPr="00381625">
        <w:lastRenderedPageBreak/>
        <w:t>I</w:t>
      </w:r>
      <w:r w:rsidR="00A77C9E">
        <w:t xml:space="preserve">n </w:t>
      </w:r>
      <w:r w:rsidR="00A77C9E">
        <w:rPr>
          <w:b/>
          <w:bCs/>
        </w:rPr>
        <w:t xml:space="preserve">Section 10 </w:t>
      </w:r>
      <w:r w:rsidR="00A77C9E">
        <w:t>I</w:t>
      </w:r>
      <w:r w:rsidRPr="00381625">
        <w:t xml:space="preserve"> have responded to the Appellant’s case on disputed sources of deliverable supply </w:t>
      </w:r>
      <w:r w:rsidR="00A77C9E">
        <w:t xml:space="preserve">from specific sites </w:t>
      </w:r>
      <w:r w:rsidRPr="00381625">
        <w:t xml:space="preserve">based on the current stage of discussions on preparation of a Topic Statement of Common Ground. </w:t>
      </w:r>
      <w:r w:rsidR="00A77C9E">
        <w:t>I do not understand that any other components of supply or the calculation of the five-year requirement to be in dispute in undertaking this exercise.</w:t>
      </w:r>
    </w:p>
    <w:p w14:paraId="0C8AD47B" w14:textId="69D453A8" w:rsidR="00A77C9E" w:rsidRDefault="00A77C9E" w:rsidP="00C20165">
      <w:pPr>
        <w:pStyle w:val="SPRU91Paragraphs"/>
      </w:pPr>
      <w:r>
        <w:t xml:space="preserve">I do not consider that the Appellant’s details of disputed supply amount to a deficit against the five-year requirement. I do not consider that the Appellant’s approach to disputing supply is consistent or objective, having regard to national policy and guidance and the central test of a realistic prospect that completions will begin on site within five years. I address, </w:t>
      </w:r>
      <w:r>
        <w:rPr>
          <w:i/>
          <w:iCs/>
        </w:rPr>
        <w:t>inter alia</w:t>
      </w:r>
      <w:r>
        <w:t xml:space="preserve">, progress with development activity on disputed sites, local evidence for development rates and timescales and the characteristics that correspond with the Council’s conclusions on deliverability where these can be supported with reference to judgement applicable to the </w:t>
      </w:r>
      <w:proofErr w:type="gramStart"/>
      <w:r>
        <w:t>1</w:t>
      </w:r>
      <w:r w:rsidRPr="00A77C9E">
        <w:rPr>
          <w:vertAlign w:val="superscript"/>
        </w:rPr>
        <w:t>st</w:t>
      </w:r>
      <w:proofErr w:type="gramEnd"/>
      <w:r>
        <w:t xml:space="preserve"> April 2022 base-date.</w:t>
      </w:r>
    </w:p>
    <w:p w14:paraId="522E2110" w14:textId="332F8A07" w:rsidR="00EA7396" w:rsidRDefault="00FB2D04" w:rsidP="00C20165">
      <w:pPr>
        <w:pStyle w:val="SPRU91Paragraphs"/>
      </w:pPr>
      <w:r>
        <w:t>The conclusions of this section of my Proof of Evidence</w:t>
      </w:r>
      <w:r w:rsidRPr="006E3C05">
        <w:t xml:space="preserve"> </w:t>
      </w:r>
      <w:r>
        <w:t xml:space="preserve">and evidence for the deliverability of disputed sites This amounts to a </w:t>
      </w:r>
      <w:r w:rsidR="00761779">
        <w:rPr>
          <w:b/>
          <w:bCs/>
        </w:rPr>
        <w:t>xxx</w:t>
      </w:r>
      <w:r w:rsidRPr="00FB2D04">
        <w:rPr>
          <w:b/>
          <w:bCs/>
        </w:rPr>
        <w:t xml:space="preserve"> years’ supply against the relevant housing requirement</w:t>
      </w:r>
      <w:r>
        <w:t xml:space="preserve"> as shown in Table </w:t>
      </w:r>
      <w:r w:rsidR="00761779">
        <w:t>xx</w:t>
      </w:r>
      <w:r>
        <w:t xml:space="preserve"> above.</w:t>
      </w:r>
    </w:p>
    <w:p w14:paraId="7003FB49" w14:textId="0F0B7541" w:rsidR="00FB2D04" w:rsidRDefault="00FB2D04" w:rsidP="00C20165">
      <w:pPr>
        <w:pStyle w:val="SPRU91Paragraphs"/>
      </w:pPr>
      <w:r>
        <w:t>I also confirm that changes to the published assessment have been provided without prejudice to the Council’s normal monitoring practices and updates to the assessment of supply it may provide in the future. The Council has commenced preparation of an updated assessment of deliverable supply against the relevant housing requirement for the period 1 April 2023.</w:t>
      </w:r>
    </w:p>
    <w:p w14:paraId="17CAB94C" w14:textId="628AE50D" w:rsidR="00B10364" w:rsidRDefault="00B10364" w:rsidP="008030DB">
      <w:pPr>
        <w:pStyle w:val="SPRU151"/>
        <w:numPr>
          <w:ilvl w:val="0"/>
          <w:numId w:val="0"/>
        </w:numPr>
        <w:ind w:left="737"/>
      </w:pPr>
    </w:p>
    <w:p w14:paraId="20526CB4" w14:textId="2C9CAFFF" w:rsidR="00992103" w:rsidRDefault="00992103">
      <w:pPr>
        <w:rPr>
          <w:rFonts w:ascii="Arial" w:hAnsi="Arial" w:cs="Arial"/>
        </w:rPr>
      </w:pPr>
      <w:r>
        <w:br w:type="page"/>
      </w:r>
    </w:p>
    <w:p w14:paraId="02D72C55" w14:textId="068F2319" w:rsidR="006F7115" w:rsidRDefault="006F7115" w:rsidP="006F7115">
      <w:pPr>
        <w:pStyle w:val="SPRU10ChapterHeadings"/>
        <w:tabs>
          <w:tab w:val="clear" w:pos="360"/>
        </w:tabs>
        <w:ind w:left="737" w:hanging="737"/>
      </w:pPr>
      <w:bookmarkStart w:id="80" w:name="_Toc62222882"/>
      <w:bookmarkStart w:id="81" w:name="_Toc64379104"/>
      <w:bookmarkStart w:id="82" w:name="_Toc134515205"/>
      <w:r>
        <w:lastRenderedPageBreak/>
        <w:t xml:space="preserve">Appendices </w:t>
      </w:r>
      <w:bookmarkEnd w:id="80"/>
      <w:bookmarkEnd w:id="81"/>
      <w:bookmarkEnd w:id="82"/>
    </w:p>
    <w:p w14:paraId="501911F1" w14:textId="3967E42C" w:rsidR="00992103" w:rsidRPr="00A215BC" w:rsidRDefault="00DA42D4" w:rsidP="00A215BC">
      <w:pPr>
        <w:pStyle w:val="SPRU10ChapterHeadings"/>
        <w:ind w:left="1701" w:hanging="1701"/>
        <w:rPr>
          <w:b w:val="0"/>
          <w:bCs/>
        </w:rPr>
      </w:pPr>
      <w:r>
        <w:t xml:space="preserve">Appendix 1 - </w:t>
      </w:r>
      <w:r w:rsidRPr="00A215BC">
        <w:rPr>
          <w:b w:val="0"/>
          <w:bCs/>
        </w:rPr>
        <w:t xml:space="preserve">The Housing Delivery Test in Cherwell District </w:t>
      </w:r>
      <w:r w:rsidR="00A215BC" w:rsidRPr="00A215BC">
        <w:rPr>
          <w:b w:val="0"/>
          <w:bCs/>
        </w:rPr>
        <w:t xml:space="preserve">- </w:t>
      </w:r>
      <w:r w:rsidRPr="00A215BC">
        <w:rPr>
          <w:b w:val="0"/>
          <w:bCs/>
        </w:rPr>
        <w:t xml:space="preserve">Technical Appendix Regarding Calculation of the Number of Homes Required </w:t>
      </w:r>
    </w:p>
    <w:p w14:paraId="13CC7AD2" w14:textId="77777777" w:rsidR="006F7115" w:rsidRPr="00702AA6" w:rsidRDefault="006F7115" w:rsidP="006F7115">
      <w:pPr>
        <w:pStyle w:val="SPRU10ChapterHeadings"/>
        <w:tabs>
          <w:tab w:val="clear" w:pos="360"/>
        </w:tabs>
        <w:ind w:left="737" w:hanging="737"/>
        <w:rPr>
          <w:lang w:val="en-US"/>
        </w:rPr>
      </w:pPr>
    </w:p>
    <w:p w14:paraId="1AAA3F99" w14:textId="77777777" w:rsidR="00170356" w:rsidRDefault="00170356" w:rsidP="004F4DB1">
      <w:pPr>
        <w:pStyle w:val="SPRUAppx1Chapters"/>
        <w:ind w:left="6480" w:firstLine="0"/>
      </w:pPr>
      <w:bookmarkStart w:id="83" w:name="_Hlk62207945"/>
    </w:p>
    <w:bookmarkEnd w:id="83"/>
    <w:p w14:paraId="002E148E" w14:textId="77777777" w:rsidR="006F7115" w:rsidRDefault="006F7115" w:rsidP="006F7115">
      <w:pPr>
        <w:pStyle w:val="SPRU21Paragraphs"/>
        <w:numPr>
          <w:ilvl w:val="0"/>
          <w:numId w:val="0"/>
        </w:numPr>
        <w:ind w:left="737" w:hanging="737"/>
      </w:pPr>
    </w:p>
    <w:p w14:paraId="6C14EE84" w14:textId="5FDC4F1F" w:rsidR="0070197E" w:rsidRDefault="0070197E" w:rsidP="007715F5">
      <w:pPr>
        <w:pStyle w:val="SPRU21Paragraphs"/>
      </w:pPr>
      <w:r>
        <w:br w:type="page"/>
      </w:r>
    </w:p>
    <w:bookmarkEnd w:id="10"/>
    <w:bookmarkEnd w:id="9"/>
    <w:bookmarkEnd w:id="8"/>
    <w:p w14:paraId="4431722A" w14:textId="66212A05" w:rsidR="0066666D" w:rsidRDefault="00DE2634">
      <w:pPr>
        <w:rPr>
          <w:rFonts w:ascii="Arial" w:hAnsi="Arial" w:cs="Arial"/>
        </w:rPr>
      </w:pPr>
      <w:r>
        <w:rPr>
          <w:noProof/>
          <w:lang w:eastAsia="en-GB"/>
        </w:rPr>
        <w:lastRenderedPageBreak/>
        <w:drawing>
          <wp:anchor distT="0" distB="0" distL="114300" distR="114300" simplePos="0" relativeHeight="251658240" behindDoc="0" locked="0" layoutInCell="1" allowOverlap="0" wp14:anchorId="19903AD0" wp14:editId="037A2723">
            <wp:simplePos x="0" y="0"/>
            <wp:positionH relativeFrom="page">
              <wp:posOffset>0</wp:posOffset>
            </wp:positionH>
            <wp:positionV relativeFrom="page">
              <wp:posOffset>-28575</wp:posOffset>
            </wp:positionV>
            <wp:extent cx="7560000" cy="10692000"/>
            <wp:effectExtent l="0" t="0" r="3175"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U-report-cover-back-July-2019.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37F5879B" w14:textId="312B45EA" w:rsidR="00410887" w:rsidRDefault="00410887" w:rsidP="0081334F">
      <w:pPr>
        <w:pStyle w:val="SPRU11Paragraphs"/>
        <w:numPr>
          <w:ilvl w:val="0"/>
          <w:numId w:val="0"/>
        </w:numPr>
      </w:pPr>
    </w:p>
    <w:p w14:paraId="616010AF" w14:textId="42A59A67" w:rsidR="00410887" w:rsidRDefault="00410887">
      <w:pPr>
        <w:rPr>
          <w:rFonts w:ascii="Arial" w:hAnsi="Arial" w:cs="Arial"/>
        </w:rPr>
      </w:pPr>
    </w:p>
    <w:p w14:paraId="3D6CFF70" w14:textId="4C4440EB" w:rsidR="00AB33FD" w:rsidRPr="00EB4994" w:rsidRDefault="00AB33FD" w:rsidP="0081334F">
      <w:pPr>
        <w:pStyle w:val="SPRU11Paragraphs"/>
        <w:numPr>
          <w:ilvl w:val="0"/>
          <w:numId w:val="0"/>
        </w:numPr>
      </w:pPr>
    </w:p>
    <w:sectPr w:rsidR="00AB33FD" w:rsidRPr="00EB4994" w:rsidSect="00E1783C">
      <w:headerReference w:type="first" r:id="rId24"/>
      <w:pgSz w:w="11907" w:h="16840" w:code="9"/>
      <w:pgMar w:top="2268" w:right="1134" w:bottom="1134" w:left="1134" w:header="567" w:footer="720"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Jon Goodall" w:date="2023-05-03T16:24:00Z" w:initials="JG">
    <w:p w14:paraId="3EBBF390" w14:textId="77777777" w:rsidR="006B2CFC" w:rsidRDefault="006B2CFC" w:rsidP="006B2CFC">
      <w:pPr>
        <w:pStyle w:val="CommentText"/>
      </w:pPr>
      <w:r>
        <w:rPr>
          <w:rStyle w:val="CommentReference"/>
        </w:rPr>
        <w:annotationRef/>
      </w:r>
      <w:r>
        <w:t xml:space="preserve">This isn't especially helpful to us, but it doesn't specify just one policy and needs to be read as a whole including para 17 and 74. </w:t>
      </w:r>
    </w:p>
  </w:comment>
  <w:comment w:id="60" w:author="Jon Goodall" w:date="2023-05-04T17:28:00Z" w:initials="JG">
    <w:p w14:paraId="408DEB2F" w14:textId="77777777" w:rsidR="00D25E70" w:rsidRDefault="006B2CFC">
      <w:pPr>
        <w:pStyle w:val="CommentText"/>
      </w:pPr>
      <w:r>
        <w:rPr>
          <w:rStyle w:val="CommentReference"/>
        </w:rPr>
        <w:annotationRef/>
      </w:r>
      <w:r w:rsidR="00D25E70">
        <w:t>Inevitably we could say more about the actual evidence and process for the Partial Review here i.e.,</w:t>
      </w:r>
    </w:p>
    <w:p w14:paraId="1F843EE5" w14:textId="77777777" w:rsidR="00D25E70" w:rsidRDefault="00D25E70">
      <w:pPr>
        <w:pStyle w:val="CommentText"/>
      </w:pPr>
    </w:p>
    <w:p w14:paraId="2F6DA259" w14:textId="77777777" w:rsidR="00D25E70" w:rsidRDefault="00D25E70">
      <w:pPr>
        <w:pStyle w:val="CommentText"/>
      </w:pPr>
      <w:r>
        <w:t>- Oxford's unmet needs were assessed and still considered to be acute</w:t>
      </w:r>
    </w:p>
    <w:p w14:paraId="1BF9EAEE" w14:textId="77777777" w:rsidR="00D25E70" w:rsidRDefault="00D25E70">
      <w:pPr>
        <w:pStyle w:val="CommentText"/>
      </w:pPr>
      <w:r>
        <w:t>- Specific recognition of acute issues in respect of Affordable Housing</w:t>
      </w:r>
    </w:p>
    <w:p w14:paraId="5DB66195" w14:textId="77777777" w:rsidR="00D25E70" w:rsidRDefault="00D25E70">
      <w:pPr>
        <w:pStyle w:val="CommentText"/>
      </w:pPr>
      <w:r>
        <w:t>- Relevant to the identification of exceptional circumstances for GB release</w:t>
      </w:r>
    </w:p>
    <w:p w14:paraId="38CA8904" w14:textId="77777777" w:rsidR="00D25E70" w:rsidRDefault="00D25E70">
      <w:pPr>
        <w:pStyle w:val="CommentText"/>
      </w:pPr>
      <w:r>
        <w:t>- Relevant to the testing of reasonable alternatives and selecting sites best-related to addressing Oxford's unmet needs</w:t>
      </w:r>
    </w:p>
    <w:p w14:paraId="7C5BB7C5" w14:textId="77777777" w:rsidR="00D25E70" w:rsidRDefault="00D25E70" w:rsidP="00EF6BE9">
      <w:pPr>
        <w:pStyle w:val="CommentText"/>
      </w:pPr>
      <w:r>
        <w:t>- Outcome captured in relevant strategic policies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BBF390" w15:done="0"/>
  <w15:commentEx w15:paraId="7C5BB7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D0949" w16cex:dateUtc="2023-05-03T15:24:00Z"/>
  <w16cex:commentExtensible w16cex:durableId="27FE69CD" w16cex:dateUtc="2023-05-0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BBF390" w16cid:durableId="27FD0949"/>
  <w16cid:commentId w16cid:paraId="7C5BB7C5" w16cid:durableId="27FE69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3B21B" w14:textId="77777777" w:rsidR="001B65C0" w:rsidRDefault="001B65C0" w:rsidP="00C678E9">
      <w:pPr>
        <w:spacing w:after="0" w:line="240" w:lineRule="auto"/>
      </w:pPr>
      <w:r>
        <w:separator/>
      </w:r>
    </w:p>
  </w:endnote>
  <w:endnote w:type="continuationSeparator" w:id="0">
    <w:p w14:paraId="3D32766B" w14:textId="77777777" w:rsidR="001B65C0" w:rsidRDefault="001B65C0" w:rsidP="00C678E9">
      <w:pPr>
        <w:spacing w:after="0" w:line="240" w:lineRule="auto"/>
      </w:pPr>
      <w:r>
        <w:continuationSeparator/>
      </w:r>
    </w:p>
  </w:endnote>
  <w:endnote w:type="continuationNotice" w:id="1">
    <w:p w14:paraId="17C64295" w14:textId="77777777" w:rsidR="001B65C0" w:rsidRDefault="001B65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53998125"/>
      <w:docPartObj>
        <w:docPartGallery w:val="Page Numbers (Bottom of Page)"/>
        <w:docPartUnique/>
      </w:docPartObj>
    </w:sdtPr>
    <w:sdtEndPr>
      <w:rPr>
        <w:noProof/>
      </w:rPr>
    </w:sdtEndPr>
    <w:sdtContent>
      <w:p w14:paraId="4869F059" w14:textId="33A2EE57" w:rsidR="001B65C0" w:rsidRDefault="001B65C0" w:rsidP="00DE2634">
        <w:pPr>
          <w:pStyle w:val="Footer"/>
          <w:tabs>
            <w:tab w:val="center" w:pos="4819"/>
            <w:tab w:val="left" w:pos="5730"/>
          </w:tabs>
          <w:rPr>
            <w:noProof/>
            <w:sz w:val="20"/>
            <w:szCs w:val="20"/>
          </w:rPr>
        </w:pPr>
        <w:r>
          <w:rPr>
            <w:sz w:val="16"/>
            <w:szCs w:val="16"/>
          </w:rPr>
          <w:tab/>
        </w:r>
        <w:r>
          <w:rPr>
            <w:sz w:val="16"/>
            <w:szCs w:val="16"/>
          </w:rPr>
          <w:tab/>
        </w:r>
        <w:r w:rsidRPr="00DE2634">
          <w:rPr>
            <w:sz w:val="20"/>
            <w:szCs w:val="20"/>
          </w:rPr>
          <w:fldChar w:fldCharType="begin"/>
        </w:r>
        <w:r w:rsidRPr="00DE2634">
          <w:rPr>
            <w:sz w:val="20"/>
            <w:szCs w:val="20"/>
          </w:rPr>
          <w:instrText xml:space="preserve"> PAGE   \* MERGEFORMAT </w:instrText>
        </w:r>
        <w:r w:rsidRPr="00DE2634">
          <w:rPr>
            <w:sz w:val="20"/>
            <w:szCs w:val="20"/>
          </w:rPr>
          <w:fldChar w:fldCharType="separate"/>
        </w:r>
        <w:r w:rsidRPr="00DE2634">
          <w:rPr>
            <w:noProof/>
            <w:sz w:val="20"/>
            <w:szCs w:val="20"/>
          </w:rPr>
          <w:t>2</w:t>
        </w:r>
        <w:r w:rsidRPr="00DE2634">
          <w:rPr>
            <w:noProof/>
            <w:sz w:val="20"/>
            <w:szCs w:val="20"/>
          </w:rPr>
          <w:fldChar w:fldCharType="end"/>
        </w:r>
        <w:r>
          <w:rPr>
            <w:noProof/>
            <w:sz w:val="20"/>
            <w:szCs w:val="20"/>
          </w:rPr>
          <w:tab/>
        </w:r>
      </w:p>
      <w:p w14:paraId="0C9E515B" w14:textId="77777777" w:rsidR="001B65C0" w:rsidRPr="00DE2634" w:rsidRDefault="001B65C0" w:rsidP="00DE2634">
        <w:pPr>
          <w:pStyle w:val="Footer"/>
          <w:tabs>
            <w:tab w:val="center" w:pos="4819"/>
            <w:tab w:val="left" w:pos="5730"/>
          </w:tabs>
          <w:rPr>
            <w:noProof/>
            <w:sz w:val="20"/>
            <w:szCs w:val="20"/>
          </w:rPr>
        </w:pPr>
      </w:p>
      <w:p w14:paraId="233655C2" w14:textId="71C43CF4" w:rsidR="001B65C0" w:rsidRPr="00DE2634" w:rsidRDefault="001B65C0" w:rsidP="00FD73EA">
        <w:pPr>
          <w:pStyle w:val="Footer"/>
          <w:jc w:val="right"/>
          <w:rPr>
            <w:rFonts w:cs="Arial"/>
            <w:noProof/>
            <w:sz w:val="16"/>
            <w:szCs w:val="16"/>
          </w:rPr>
        </w:pPr>
        <w:r w:rsidRPr="00DE2634">
          <w:rPr>
            <w:rFonts w:cs="Arial"/>
            <w:noProof/>
            <w:sz w:val="16"/>
            <w:szCs w:val="16"/>
          </w:rPr>
          <w:fldChar w:fldCharType="begin"/>
        </w:r>
        <w:r w:rsidRPr="00DE2634">
          <w:rPr>
            <w:rFonts w:cs="Arial"/>
            <w:noProof/>
            <w:sz w:val="16"/>
            <w:szCs w:val="16"/>
          </w:rPr>
          <w:instrText xml:space="preserve"> FILENAME   \* MERGEFORMAT </w:instrText>
        </w:r>
        <w:r w:rsidRPr="00DE2634">
          <w:rPr>
            <w:rFonts w:cs="Arial"/>
            <w:noProof/>
            <w:sz w:val="16"/>
            <w:szCs w:val="16"/>
          </w:rPr>
          <w:fldChar w:fldCharType="separate"/>
        </w:r>
        <w:r>
          <w:rPr>
            <w:rFonts w:cs="Arial"/>
            <w:noProof/>
            <w:sz w:val="16"/>
            <w:szCs w:val="16"/>
          </w:rPr>
          <w:t>06.01.JG.N5288PS.JG HLS PoE Lower Road Milton Malsor PINS Ref 3269904 vf</w:t>
        </w:r>
        <w:r w:rsidRPr="00DE2634">
          <w:rPr>
            <w:rFonts w:cs="Arial"/>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310767"/>
      <w:docPartObj>
        <w:docPartGallery w:val="Page Numbers (Bottom of Page)"/>
        <w:docPartUnique/>
      </w:docPartObj>
    </w:sdtPr>
    <w:sdtEndPr>
      <w:rPr>
        <w:noProof/>
        <w:sz w:val="18"/>
        <w:szCs w:val="18"/>
      </w:rPr>
    </w:sdtEndPr>
    <w:sdtContent>
      <w:p w14:paraId="400D0619" w14:textId="552A767D" w:rsidR="001B65C0" w:rsidRDefault="001B65C0" w:rsidP="00597D12">
        <w:pPr>
          <w:pStyle w:val="Footer"/>
          <w:jc w:val="center"/>
          <w:rPr>
            <w:noProof/>
          </w:rPr>
        </w:pPr>
        <w:r w:rsidRPr="00A21A7B">
          <w:fldChar w:fldCharType="begin"/>
        </w:r>
        <w:r w:rsidRPr="00A21A7B">
          <w:instrText xml:space="preserve"> PAGE   \* MERGEFORMAT </w:instrText>
        </w:r>
        <w:r w:rsidRPr="00A21A7B">
          <w:fldChar w:fldCharType="separate"/>
        </w:r>
        <w:r w:rsidR="009B6487">
          <w:rPr>
            <w:noProof/>
          </w:rPr>
          <w:t>8</w:t>
        </w:r>
        <w:r w:rsidRPr="00A21A7B">
          <w:rPr>
            <w:noProof/>
          </w:rPr>
          <w:fldChar w:fldCharType="end"/>
        </w:r>
      </w:p>
      <w:p w14:paraId="591077D2" w14:textId="77777777" w:rsidR="001B65C0" w:rsidRDefault="001B65C0" w:rsidP="00597D12">
        <w:pPr>
          <w:pStyle w:val="Footer"/>
          <w:jc w:val="center"/>
          <w:rPr>
            <w:noProof/>
          </w:rPr>
        </w:pPr>
      </w:p>
      <w:p w14:paraId="4EAFCD24" w14:textId="38E7C49C" w:rsidR="001B65C0" w:rsidRPr="00DE2634" w:rsidRDefault="001B65C0" w:rsidP="00FD73EA">
        <w:pPr>
          <w:pStyle w:val="Footer"/>
          <w:jc w:val="right"/>
          <w:rPr>
            <w:rFonts w:cs="Arial"/>
            <w:noProof/>
            <w:sz w:val="8"/>
            <w:szCs w:val="8"/>
          </w:rPr>
        </w:pPr>
        <w:r w:rsidRPr="00DE2634">
          <w:rPr>
            <w:rFonts w:cs="Arial"/>
            <w:noProof/>
            <w:sz w:val="16"/>
            <w:szCs w:val="16"/>
          </w:rPr>
          <w:fldChar w:fldCharType="begin"/>
        </w:r>
        <w:r w:rsidRPr="00DE2634">
          <w:rPr>
            <w:rFonts w:cs="Arial"/>
            <w:noProof/>
            <w:sz w:val="16"/>
            <w:szCs w:val="16"/>
          </w:rPr>
          <w:instrText xml:space="preserve"> FILENAME   \* MERGEFORMAT </w:instrText>
        </w:r>
        <w:r w:rsidRPr="00DE2634">
          <w:rPr>
            <w:rFonts w:cs="Arial"/>
            <w:noProof/>
            <w:sz w:val="16"/>
            <w:szCs w:val="16"/>
          </w:rPr>
          <w:fldChar w:fldCharType="separate"/>
        </w:r>
        <w:r w:rsidR="0025420F">
          <w:rPr>
            <w:rFonts w:cs="Arial"/>
            <w:noProof/>
            <w:sz w:val="16"/>
            <w:szCs w:val="16"/>
          </w:rPr>
          <w:t>05.08.JGOX5092PS.JG HLS PoE NW Bicester Charlotte Avenue HLS HR PINS Ref 3315849 v6</w:t>
        </w:r>
        <w:r w:rsidRPr="00DE2634">
          <w:rPr>
            <w:rFonts w:cs="Arial"/>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43AC" w14:textId="77777777" w:rsidR="001B65C0" w:rsidRDefault="001B65C0" w:rsidP="00C678E9">
      <w:pPr>
        <w:spacing w:after="0" w:line="240" w:lineRule="auto"/>
      </w:pPr>
      <w:r>
        <w:separator/>
      </w:r>
    </w:p>
  </w:footnote>
  <w:footnote w:type="continuationSeparator" w:id="0">
    <w:p w14:paraId="4FE0F383" w14:textId="77777777" w:rsidR="001B65C0" w:rsidRDefault="001B65C0" w:rsidP="00C678E9">
      <w:pPr>
        <w:spacing w:after="0" w:line="240" w:lineRule="auto"/>
      </w:pPr>
      <w:r>
        <w:continuationSeparator/>
      </w:r>
    </w:p>
  </w:footnote>
  <w:footnote w:type="continuationNotice" w:id="1">
    <w:p w14:paraId="61A776D2" w14:textId="77777777" w:rsidR="001B65C0" w:rsidRDefault="001B65C0">
      <w:pPr>
        <w:spacing w:after="0" w:line="240" w:lineRule="auto"/>
      </w:pPr>
    </w:p>
  </w:footnote>
  <w:footnote w:id="2">
    <w:p w14:paraId="4C9BFFCD" w14:textId="2C036857" w:rsidR="00F27F19" w:rsidRDefault="00F27F19">
      <w:pPr>
        <w:pStyle w:val="FootnoteText"/>
      </w:pPr>
      <w:r>
        <w:rPr>
          <w:rStyle w:val="FootnoteReference"/>
        </w:rPr>
        <w:footnoteRef/>
      </w:r>
      <w:r>
        <w:t xml:space="preserve"> Appeal Ref: APP/J1860/W/21/3289643 Land at Leigh Sinton Farms, Leigh Sinton Road (B4503), Leigh Sinton, Malvern</w:t>
      </w:r>
    </w:p>
  </w:footnote>
  <w:footnote w:id="3">
    <w:p w14:paraId="2BEB87A6" w14:textId="138320B9" w:rsidR="00137242" w:rsidRDefault="00137242">
      <w:pPr>
        <w:pStyle w:val="FootnoteText"/>
      </w:pPr>
      <w:r>
        <w:rPr>
          <w:rStyle w:val="FootnoteReference"/>
        </w:rPr>
        <w:footnoteRef/>
      </w:r>
      <w:r>
        <w:t xml:space="preserve"> </w:t>
      </w:r>
      <w:r w:rsidR="00F27F19">
        <w:t>Part Parcel 0025, Hill End Road, Twyning, Gloucestershire, GL20 6JD, 389971, 237249 PINS Ref: 3284820</w:t>
      </w:r>
    </w:p>
  </w:footnote>
  <w:footnote w:id="4">
    <w:p w14:paraId="6AEFC96F" w14:textId="77777777" w:rsidR="00EA70E9" w:rsidRPr="00B93DAD" w:rsidRDefault="00EA70E9" w:rsidP="00EA70E9">
      <w:pPr>
        <w:pStyle w:val="FootnoteText"/>
        <w:rPr>
          <w:rFonts w:ascii="Arial" w:hAnsi="Arial" w:cs="Arial"/>
          <w:sz w:val="18"/>
          <w:szCs w:val="18"/>
        </w:rPr>
      </w:pPr>
      <w:r w:rsidRPr="00B93DAD">
        <w:rPr>
          <w:rStyle w:val="FootnoteReference"/>
          <w:rFonts w:ascii="Arial" w:hAnsi="Arial" w:cs="Arial"/>
          <w:sz w:val="18"/>
          <w:szCs w:val="18"/>
        </w:rPr>
        <w:footnoteRef/>
      </w:r>
      <w:r w:rsidRPr="00B93DAD">
        <w:rPr>
          <w:rFonts w:ascii="Arial" w:hAnsi="Arial" w:cs="Arial"/>
          <w:sz w:val="18"/>
          <w:szCs w:val="18"/>
        </w:rPr>
        <w:t xml:space="preserve"> VoWH LPP2 Paragraph 2.18</w:t>
      </w:r>
    </w:p>
  </w:footnote>
  <w:footnote w:id="5">
    <w:p w14:paraId="0C48ADC2" w14:textId="77777777" w:rsidR="006B2CFC" w:rsidRDefault="006B2CFC" w:rsidP="00F7400E">
      <w:pPr>
        <w:pStyle w:val="SPRU41Paragraphs"/>
        <w:numPr>
          <w:ilvl w:val="0"/>
          <w:numId w:val="0"/>
        </w:numPr>
      </w:pPr>
      <w:r>
        <w:rPr>
          <w:rStyle w:val="FootnoteReference"/>
        </w:rPr>
        <w:footnoteRef/>
      </w:r>
      <w:r>
        <w:t xml:space="preserve"> </w:t>
      </w:r>
      <w:r w:rsidRPr="00B93DAD">
        <w:rPr>
          <w:sz w:val="18"/>
          <w:szCs w:val="20"/>
        </w:rPr>
        <w:t>Appeal Ref: APP/J1860/W/21/3289643 Land at Leigh Sinton Farms, Leigh Sinton Road (B4503), Leigh Sinton, Malvern</w:t>
      </w:r>
    </w:p>
  </w:footnote>
  <w:footnote w:id="6">
    <w:p w14:paraId="14CDC89E" w14:textId="6FCB9108" w:rsidR="00513210" w:rsidRDefault="00513210" w:rsidP="00513210">
      <w:pPr>
        <w:spacing w:after="0"/>
        <w:jc w:val="both"/>
        <w:rPr>
          <w:rFonts w:ascii="Calibri" w:eastAsia="Times New Roman" w:hAnsi="Calibri" w:cs="Calibri"/>
          <w:sz w:val="20"/>
          <w:szCs w:val="20"/>
          <w:lang w:eastAsia="en-GB"/>
        </w:rPr>
      </w:pPr>
      <w:r>
        <w:rPr>
          <w:rStyle w:val="FootnoteReference"/>
          <w:rFonts w:ascii="Calibri" w:hAnsi="Calibri" w:cs="Calibri"/>
          <w:sz w:val="20"/>
          <w:szCs w:val="20"/>
        </w:rPr>
        <w:footnoteRef/>
      </w:r>
      <w:r>
        <w:rPr>
          <w:rFonts w:ascii="Calibri" w:hAnsi="Calibri" w:cs="Calibri"/>
          <w:sz w:val="20"/>
          <w:szCs w:val="20"/>
        </w:rPr>
        <w:t xml:space="preserve"> </w:t>
      </w:r>
      <w:r>
        <w:rPr>
          <w:rFonts w:ascii="Calibri" w:hAnsi="Calibri" w:cs="Calibri"/>
          <w:sz w:val="20"/>
          <w:szCs w:val="20"/>
          <w:lang w:val="en-US"/>
        </w:rPr>
        <w:t xml:space="preserve">See Secretary of State decision letter concerning Land at site of former North Worcestershire Golf Club, Hanging Lane, Birmingham, 3192918 (24 July 2019) at paragraph 20: </w:t>
      </w:r>
      <w:r>
        <w:rPr>
          <w:rFonts w:ascii="Calibri" w:hAnsi="Calibri" w:cs="Calibri"/>
          <w:i/>
          <w:iCs/>
          <w:sz w:val="20"/>
          <w:szCs w:val="20"/>
          <w:lang w:val="en-US"/>
        </w:rPr>
        <w:t>“</w:t>
      </w:r>
      <w:r>
        <w:rPr>
          <w:rFonts w:ascii="Calibri" w:eastAsia="Times New Roman" w:hAnsi="Calibri" w:cs="Calibri"/>
          <w:i/>
          <w:iCs/>
          <w:sz w:val="20"/>
          <w:szCs w:val="20"/>
          <w:lang w:eastAsia="en-GB"/>
        </w:rPr>
        <w:t>The Secretary of State has carefully considered the Inspector’s conclusions on the meaning of the definition of deliverability in the Framework. For the reasons given at IR14.35-14.43 he agrees with the Inspector’s view that ‘realistic prospect’ remains the central test against which the deliverability of all sites must be measured (IR14.41) (CD</w:t>
      </w:r>
      <w:r w:rsidR="00717D93">
        <w:rPr>
          <w:rFonts w:ascii="Calibri" w:eastAsia="Times New Roman" w:hAnsi="Calibri" w:cs="Calibri"/>
          <w:i/>
          <w:iCs/>
          <w:sz w:val="20"/>
          <w:szCs w:val="20"/>
          <w:lang w:eastAsia="en-GB"/>
        </w:rPr>
        <w:t>xx</w:t>
      </w:r>
      <w:r>
        <w:rPr>
          <w:rFonts w:ascii="Calibri" w:eastAsia="Times New Roman" w:hAnsi="Calibri" w:cs="Calibri"/>
          <w:i/>
          <w:iCs/>
          <w:sz w:val="20"/>
          <w:szCs w:val="20"/>
          <w:lang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BFBE" w14:textId="651FEEB9" w:rsidR="001B65C0" w:rsidRDefault="001B65C0" w:rsidP="00BE23C1">
    <w:pPr>
      <w:pStyle w:val="Header"/>
      <w:tabs>
        <w:tab w:val="center" w:pos="0"/>
      </w:tabs>
      <w:rPr>
        <w:sz w:val="18"/>
        <w:szCs w:val="18"/>
      </w:rPr>
    </w:pPr>
    <w:r>
      <w:rPr>
        <w:sz w:val="18"/>
        <w:szCs w:val="18"/>
      </w:rPr>
      <w:t xml:space="preserve">For and on Behalf of </w:t>
    </w:r>
    <w:proofErr w:type="spellStart"/>
    <w:r>
      <w:rPr>
        <w:sz w:val="18"/>
        <w:szCs w:val="18"/>
      </w:rPr>
      <w:t>Babergh</w:t>
    </w:r>
    <w:proofErr w:type="spellEnd"/>
    <w:r>
      <w:rPr>
        <w:sz w:val="18"/>
        <w:szCs w:val="18"/>
      </w:rPr>
      <w:t xml:space="preserve"> District Council</w:t>
    </w:r>
  </w:p>
  <w:p w14:paraId="29A7E8AA" w14:textId="4D0E7BB3" w:rsidR="001B65C0" w:rsidRDefault="001B65C0" w:rsidP="00BE23C1">
    <w:pPr>
      <w:pStyle w:val="Header"/>
      <w:tabs>
        <w:tab w:val="center" w:pos="0"/>
      </w:tabs>
      <w:rPr>
        <w:sz w:val="18"/>
        <w:szCs w:val="18"/>
      </w:rPr>
    </w:pPr>
    <w:r>
      <w:rPr>
        <w:sz w:val="18"/>
        <w:szCs w:val="18"/>
      </w:rPr>
      <w:t>Proof of Evidence on Land Supply</w:t>
    </w:r>
  </w:p>
  <w:p w14:paraId="6B28D222" w14:textId="04CB6A87" w:rsidR="001B65C0" w:rsidRDefault="001B65C0" w:rsidP="00A12D65">
    <w:pPr>
      <w:pStyle w:val="Header"/>
      <w:tabs>
        <w:tab w:val="center" w:pos="0"/>
      </w:tabs>
      <w:rPr>
        <w:sz w:val="18"/>
        <w:szCs w:val="18"/>
      </w:rPr>
    </w:pPr>
    <w:r w:rsidRPr="00DE2634">
      <w:rPr>
        <w:sz w:val="18"/>
        <w:szCs w:val="18"/>
      </w:rPr>
      <w:t xml:space="preserve">APP/D3505/W/20/3256969 </w:t>
    </w:r>
    <w:r>
      <w:rPr>
        <w:noProof/>
        <w:lang w:eastAsia="en-GB"/>
      </w:rPr>
      <w:drawing>
        <wp:anchor distT="0" distB="0" distL="114300" distR="114300" simplePos="0" relativeHeight="251666432" behindDoc="0" locked="1" layoutInCell="1" allowOverlap="1" wp14:anchorId="5D1F0C9E" wp14:editId="044A521A">
          <wp:simplePos x="0" y="0"/>
          <wp:positionH relativeFrom="page">
            <wp:posOffset>5062220</wp:posOffset>
          </wp:positionH>
          <wp:positionV relativeFrom="page">
            <wp:posOffset>357505</wp:posOffset>
          </wp:positionV>
          <wp:extent cx="1774800" cy="784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U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1774800" cy="784800"/>
                  </a:xfrm>
                  <a:prstGeom prst="rect">
                    <a:avLst/>
                  </a:prstGeom>
                </pic:spPr>
              </pic:pic>
            </a:graphicData>
          </a:graphic>
          <wp14:sizeRelH relativeFrom="margin">
            <wp14:pctWidth>0</wp14:pctWidth>
          </wp14:sizeRelH>
          <wp14:sizeRelV relativeFrom="margin">
            <wp14:pctHeight>0</wp14:pctHeight>
          </wp14:sizeRelV>
        </wp:anchor>
      </w:drawing>
    </w:r>
  </w:p>
  <w:p w14:paraId="18124449" w14:textId="4B1BC83A" w:rsidR="001B65C0" w:rsidRDefault="001B65C0" w:rsidP="00D208C3">
    <w:pPr>
      <w:pStyle w:val="Header"/>
      <w:tabs>
        <w:tab w:val="center" w:pos="0"/>
        <w:tab w:val="right" w:pos="9639"/>
      </w:tabs>
      <w:jc w:val="right"/>
    </w:pPr>
    <w:r>
      <w:rPr>
        <w:sz w:val="18"/>
        <w:szCs w:val="18"/>
      </w:rPr>
      <w:tab/>
    </w:r>
  </w:p>
  <w:p w14:paraId="0FD26795" w14:textId="1A32F175" w:rsidR="001B65C0" w:rsidRDefault="001B65C0" w:rsidP="00385DD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840A8" w14:textId="4C5CECB1" w:rsidR="001B65C0" w:rsidRDefault="001B65C0" w:rsidP="004628D3">
    <w:pPr>
      <w:pStyle w:val="Header"/>
      <w:tabs>
        <w:tab w:val="center" w:pos="0"/>
      </w:tabs>
      <w:rPr>
        <w:sz w:val="18"/>
        <w:szCs w:val="18"/>
      </w:rPr>
    </w:pPr>
    <w:r>
      <w:rPr>
        <w:noProof/>
        <w:lang w:eastAsia="en-GB"/>
      </w:rPr>
      <w:drawing>
        <wp:anchor distT="0" distB="0" distL="114300" distR="114300" simplePos="0" relativeHeight="251672576" behindDoc="1" locked="0" layoutInCell="0" allowOverlap="1" wp14:anchorId="6C7A3327" wp14:editId="4228151B">
          <wp:simplePos x="0" y="0"/>
          <wp:positionH relativeFrom="page">
            <wp:align>right</wp:align>
          </wp:positionH>
          <wp:positionV relativeFrom="page">
            <wp:align>top</wp:align>
          </wp:positionV>
          <wp:extent cx="7559040" cy="1068933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224845" descr="SPRU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89336"/>
                  </a:xfrm>
                  <a:prstGeom prst="rect">
                    <a:avLst/>
                  </a:prstGeom>
                  <a:noFill/>
                </pic:spPr>
              </pic:pic>
            </a:graphicData>
          </a:graphic>
          <wp14:sizeRelH relativeFrom="page">
            <wp14:pctWidth>0</wp14:pctWidth>
          </wp14:sizeRelH>
          <wp14:sizeRelV relativeFrom="page">
            <wp14:pctHeight>0</wp14:pctHeight>
          </wp14:sizeRelV>
        </wp:anchor>
      </w:drawing>
    </w:r>
  </w:p>
  <w:p w14:paraId="6AE52659" w14:textId="6D036BD7" w:rsidR="001B65C0" w:rsidRDefault="001B65C0" w:rsidP="004628D3">
    <w:pPr>
      <w:pStyle w:val="Header"/>
      <w:tabs>
        <w:tab w:val="center" w:pos="0"/>
        <w:tab w:val="right" w:pos="9639"/>
      </w:tabs>
      <w:jc w:val="right"/>
    </w:pPr>
    <w:r>
      <w:rPr>
        <w:sz w:val="18"/>
        <w:szCs w:val="18"/>
      </w:rPr>
      <w:tab/>
    </w:r>
  </w:p>
  <w:p w14:paraId="2422816C" w14:textId="1CB7A5B6" w:rsidR="001B65C0" w:rsidRDefault="001B65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F54A" w14:textId="44F5AFA3" w:rsidR="001B65C0" w:rsidRDefault="001B65C0" w:rsidP="00BE23C1">
    <w:pPr>
      <w:pStyle w:val="Header"/>
      <w:tabs>
        <w:tab w:val="center" w:pos="0"/>
      </w:tabs>
      <w:rPr>
        <w:sz w:val="18"/>
        <w:szCs w:val="18"/>
      </w:rPr>
    </w:pPr>
    <w:bookmarkStart w:id="4" w:name="_Hlk71615179"/>
    <w:r>
      <w:rPr>
        <w:sz w:val="18"/>
        <w:szCs w:val="18"/>
      </w:rPr>
      <w:t xml:space="preserve">For and on Behalf of </w:t>
    </w:r>
    <w:r w:rsidR="00BA0DC4">
      <w:rPr>
        <w:sz w:val="18"/>
        <w:szCs w:val="18"/>
      </w:rPr>
      <w:t>Cherwell District</w:t>
    </w:r>
    <w:r>
      <w:rPr>
        <w:sz w:val="18"/>
        <w:szCs w:val="18"/>
      </w:rPr>
      <w:t xml:space="preserve"> Council</w:t>
    </w:r>
  </w:p>
  <w:p w14:paraId="5EA14958" w14:textId="4D37E64C" w:rsidR="001B65C0" w:rsidRDefault="001B65C0" w:rsidP="00BE23C1">
    <w:pPr>
      <w:pStyle w:val="Header"/>
      <w:tabs>
        <w:tab w:val="center" w:pos="0"/>
      </w:tabs>
      <w:rPr>
        <w:sz w:val="18"/>
        <w:szCs w:val="18"/>
      </w:rPr>
    </w:pPr>
    <w:bookmarkStart w:id="5" w:name="_Hlk67406255"/>
    <w:r>
      <w:rPr>
        <w:sz w:val="18"/>
        <w:szCs w:val="18"/>
      </w:rPr>
      <w:t>Proof of Evidence on Land Supply</w:t>
    </w:r>
  </w:p>
  <w:p w14:paraId="642EA5E7" w14:textId="47CDA4CB" w:rsidR="001B65C0" w:rsidRDefault="00BA0DC4" w:rsidP="00625A22">
    <w:pPr>
      <w:pStyle w:val="Header"/>
      <w:tabs>
        <w:tab w:val="center" w:pos="0"/>
      </w:tabs>
    </w:pPr>
    <w:bookmarkStart w:id="6" w:name="_Hlk133590445"/>
    <w:bookmarkEnd w:id="4"/>
    <w:bookmarkEnd w:id="5"/>
    <w:r w:rsidRPr="00BA0DC4">
      <w:rPr>
        <w:sz w:val="18"/>
        <w:szCs w:val="18"/>
      </w:rPr>
      <w:t>APP/C3105/W/23/3315849</w:t>
    </w:r>
    <w:bookmarkEnd w:id="6"/>
    <w:r w:rsidR="001B65C0">
      <w:rPr>
        <w:noProof/>
        <w:lang w:eastAsia="en-GB"/>
      </w:rPr>
      <w:drawing>
        <wp:anchor distT="0" distB="0" distL="114300" distR="114300" simplePos="0" relativeHeight="251664384" behindDoc="0" locked="1" layoutInCell="1" allowOverlap="1" wp14:anchorId="65BC1EB9" wp14:editId="7CF3821C">
          <wp:simplePos x="0" y="0"/>
          <wp:positionH relativeFrom="page">
            <wp:posOffset>5062220</wp:posOffset>
          </wp:positionH>
          <wp:positionV relativeFrom="page">
            <wp:posOffset>357505</wp:posOffset>
          </wp:positionV>
          <wp:extent cx="1774800" cy="784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U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1774800" cy="784800"/>
                  </a:xfrm>
                  <a:prstGeom prst="rect">
                    <a:avLst/>
                  </a:prstGeom>
                </pic:spPr>
              </pic:pic>
            </a:graphicData>
          </a:graphic>
          <wp14:sizeRelH relativeFrom="margin">
            <wp14:pctWidth>0</wp14:pctWidth>
          </wp14:sizeRelH>
          <wp14:sizeRelV relativeFrom="margin">
            <wp14:pctHeight>0</wp14:pctHeight>
          </wp14:sizeRelV>
        </wp:anchor>
      </w:drawing>
    </w:r>
    <w:r w:rsidR="001B65C0">
      <w:rPr>
        <w:sz w:val="18"/>
        <w:szCs w:val="18"/>
      </w:rPr>
      <w:tab/>
    </w:r>
  </w:p>
  <w:p w14:paraId="6C9F6AED" w14:textId="77777777" w:rsidR="001B65C0" w:rsidRDefault="001B65C0" w:rsidP="00385DD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A384" w14:textId="77777777" w:rsidR="001B65C0" w:rsidRDefault="001B65C0">
    <w:pPr>
      <w:pStyle w:val="Header"/>
    </w:pPr>
    <w:r>
      <w:rPr>
        <w:noProof/>
        <w:lang w:eastAsia="en-GB"/>
      </w:rPr>
      <w:drawing>
        <wp:anchor distT="0" distB="0" distL="114300" distR="114300" simplePos="0" relativeHeight="251657216" behindDoc="1" locked="0" layoutInCell="0" allowOverlap="1" wp14:anchorId="4276041B" wp14:editId="448850BB">
          <wp:simplePos x="0" y="0"/>
          <wp:positionH relativeFrom="page">
            <wp:align>left</wp:align>
          </wp:positionH>
          <wp:positionV relativeFrom="page">
            <wp:align>top</wp:align>
          </wp:positionV>
          <wp:extent cx="7559040" cy="10689336"/>
          <wp:effectExtent l="0" t="0" r="0" b="0"/>
          <wp:wrapNone/>
          <wp:docPr id="457748913" name="Picture 45774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224845" descr="SPRU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89336"/>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590C" w14:textId="77777777" w:rsidR="00201446" w:rsidRDefault="00201446" w:rsidP="00BE23C1">
    <w:pPr>
      <w:pStyle w:val="Header"/>
      <w:tabs>
        <w:tab w:val="center" w:pos="0"/>
      </w:tabs>
      <w:rPr>
        <w:sz w:val="18"/>
        <w:szCs w:val="18"/>
      </w:rPr>
    </w:pPr>
    <w:r>
      <w:rPr>
        <w:sz w:val="18"/>
        <w:szCs w:val="18"/>
      </w:rPr>
      <w:t>For and on Behalf of Cherwell District Council</w:t>
    </w:r>
  </w:p>
  <w:p w14:paraId="129F0817" w14:textId="77777777" w:rsidR="00201446" w:rsidRDefault="00201446" w:rsidP="00BE23C1">
    <w:pPr>
      <w:pStyle w:val="Header"/>
      <w:tabs>
        <w:tab w:val="center" w:pos="0"/>
      </w:tabs>
      <w:rPr>
        <w:sz w:val="18"/>
        <w:szCs w:val="18"/>
      </w:rPr>
    </w:pPr>
    <w:r>
      <w:rPr>
        <w:sz w:val="18"/>
        <w:szCs w:val="18"/>
      </w:rPr>
      <w:t>Proof of Evidence on Land Supply</w:t>
    </w:r>
  </w:p>
  <w:p w14:paraId="7A060EF4" w14:textId="77777777" w:rsidR="00201446" w:rsidRDefault="00201446" w:rsidP="00625A22">
    <w:pPr>
      <w:pStyle w:val="Header"/>
      <w:tabs>
        <w:tab w:val="center" w:pos="0"/>
      </w:tabs>
    </w:pPr>
    <w:r w:rsidRPr="00BA0DC4">
      <w:rPr>
        <w:sz w:val="18"/>
        <w:szCs w:val="18"/>
      </w:rPr>
      <w:t>APP/C3105/W/23/3315849</w:t>
    </w:r>
    <w:r>
      <w:rPr>
        <w:noProof/>
        <w:lang w:eastAsia="en-GB"/>
      </w:rPr>
      <w:drawing>
        <wp:anchor distT="0" distB="0" distL="114300" distR="114300" simplePos="0" relativeHeight="251678720" behindDoc="0" locked="1" layoutInCell="1" allowOverlap="1" wp14:anchorId="0DD6DE8D" wp14:editId="1723D1DB">
          <wp:simplePos x="0" y="0"/>
          <wp:positionH relativeFrom="page">
            <wp:posOffset>7898130</wp:posOffset>
          </wp:positionH>
          <wp:positionV relativeFrom="page">
            <wp:posOffset>196215</wp:posOffset>
          </wp:positionV>
          <wp:extent cx="1774190" cy="784225"/>
          <wp:effectExtent l="0" t="0" r="0" b="0"/>
          <wp:wrapSquare wrapText="bothSides"/>
          <wp:docPr id="144020973" name="Picture 14402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U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1774190" cy="784225"/>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tab/>
    </w:r>
  </w:p>
  <w:p w14:paraId="5578941C" w14:textId="77777777" w:rsidR="00201446" w:rsidRDefault="00201446" w:rsidP="00385DD0">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FC59" w14:textId="77777777" w:rsidR="00201446" w:rsidRDefault="00201446" w:rsidP="00BE23C1">
    <w:pPr>
      <w:pStyle w:val="Header"/>
      <w:tabs>
        <w:tab w:val="center" w:pos="0"/>
      </w:tabs>
      <w:rPr>
        <w:sz w:val="18"/>
        <w:szCs w:val="18"/>
      </w:rPr>
    </w:pPr>
    <w:r>
      <w:rPr>
        <w:sz w:val="18"/>
        <w:szCs w:val="18"/>
      </w:rPr>
      <w:t>For and on Behalf of Cherwell District Council</w:t>
    </w:r>
  </w:p>
  <w:p w14:paraId="651DC3F6" w14:textId="77777777" w:rsidR="00201446" w:rsidRDefault="00201446" w:rsidP="00BE23C1">
    <w:pPr>
      <w:pStyle w:val="Header"/>
      <w:tabs>
        <w:tab w:val="center" w:pos="0"/>
      </w:tabs>
      <w:rPr>
        <w:sz w:val="18"/>
        <w:szCs w:val="18"/>
      </w:rPr>
    </w:pPr>
    <w:r>
      <w:rPr>
        <w:sz w:val="18"/>
        <w:szCs w:val="18"/>
      </w:rPr>
      <w:t>Proof of Evidence on Land Supply</w:t>
    </w:r>
  </w:p>
  <w:p w14:paraId="41F3A848" w14:textId="77777777" w:rsidR="00201446" w:rsidRDefault="00201446" w:rsidP="00625A22">
    <w:pPr>
      <w:pStyle w:val="Header"/>
      <w:tabs>
        <w:tab w:val="center" w:pos="0"/>
      </w:tabs>
    </w:pPr>
    <w:r w:rsidRPr="00BA0DC4">
      <w:rPr>
        <w:sz w:val="18"/>
        <w:szCs w:val="18"/>
      </w:rPr>
      <w:t>APP/C3105/W/23/3315849</w:t>
    </w:r>
    <w:r>
      <w:rPr>
        <w:noProof/>
        <w:lang w:eastAsia="en-GB"/>
      </w:rPr>
      <w:drawing>
        <wp:anchor distT="0" distB="0" distL="114300" distR="114300" simplePos="0" relativeHeight="251680768" behindDoc="0" locked="1" layoutInCell="1" allowOverlap="1" wp14:anchorId="784F476F" wp14:editId="14747133">
          <wp:simplePos x="0" y="0"/>
          <wp:positionH relativeFrom="page">
            <wp:posOffset>5062220</wp:posOffset>
          </wp:positionH>
          <wp:positionV relativeFrom="page">
            <wp:posOffset>357505</wp:posOffset>
          </wp:positionV>
          <wp:extent cx="1774800" cy="784800"/>
          <wp:effectExtent l="0" t="0" r="0" b="0"/>
          <wp:wrapSquare wrapText="bothSides"/>
          <wp:docPr id="1498457693" name="Picture 149845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U Logo Final.jpg"/>
                  <pic:cNvPicPr/>
                </pic:nvPicPr>
                <pic:blipFill>
                  <a:blip r:embed="rId1">
                    <a:extLst>
                      <a:ext uri="{28A0092B-C50C-407E-A947-70E740481C1C}">
                        <a14:useLocalDpi xmlns:a14="http://schemas.microsoft.com/office/drawing/2010/main" val="0"/>
                      </a:ext>
                    </a:extLst>
                  </a:blip>
                  <a:stretch>
                    <a:fillRect/>
                  </a:stretch>
                </pic:blipFill>
                <pic:spPr>
                  <a:xfrm>
                    <a:off x="0" y="0"/>
                    <a:ext cx="1774800" cy="784800"/>
                  </a:xfrm>
                  <a:prstGeom prst="rect">
                    <a:avLst/>
                  </a:prstGeom>
                </pic:spPr>
              </pic:pic>
            </a:graphicData>
          </a:graphic>
          <wp14:sizeRelH relativeFrom="margin">
            <wp14:pctWidth>0</wp14:pctWidth>
          </wp14:sizeRelH>
          <wp14:sizeRelV relativeFrom="margin">
            <wp14:pctHeight>0</wp14:pctHeight>
          </wp14:sizeRelV>
        </wp:anchor>
      </w:drawing>
    </w:r>
    <w:r>
      <w:rPr>
        <w:sz w:val="18"/>
        <w:szCs w:val="18"/>
      </w:rPr>
      <w:tab/>
    </w:r>
  </w:p>
  <w:p w14:paraId="3B8BABEC" w14:textId="77777777" w:rsidR="00201446" w:rsidRDefault="00201446" w:rsidP="00385DD0">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8521" w14:textId="77777777" w:rsidR="001B65C0" w:rsidRDefault="001B65C0">
    <w:pPr>
      <w:pStyle w:val="Header"/>
    </w:pPr>
    <w:r>
      <w:rPr>
        <w:noProof/>
        <w:lang w:eastAsia="en-GB"/>
      </w:rPr>
      <w:drawing>
        <wp:anchor distT="0" distB="0" distL="114300" distR="114300" simplePos="0" relativeHeight="251676672" behindDoc="1" locked="0" layoutInCell="0" allowOverlap="1" wp14:anchorId="257CA8E6" wp14:editId="3A684D55">
          <wp:simplePos x="0" y="0"/>
          <wp:positionH relativeFrom="page">
            <wp:align>left</wp:align>
          </wp:positionH>
          <wp:positionV relativeFrom="page">
            <wp:align>top</wp:align>
          </wp:positionV>
          <wp:extent cx="7559040" cy="106893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224845" descr="SPRU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8933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B0E0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41151"/>
    <w:multiLevelType w:val="hybridMultilevel"/>
    <w:tmpl w:val="55EA7B8E"/>
    <w:lvl w:ilvl="0" w:tplc="223E1754">
      <w:start w:val="1"/>
      <w:numFmt w:val="decimal"/>
      <w:pStyle w:val="SPRU141"/>
      <w:lvlText w:val="9.%1"/>
      <w:lvlJc w:val="left"/>
      <w:pPr>
        <w:ind w:left="360" w:hanging="360"/>
      </w:pPr>
      <w:rPr>
        <w:rFonts w:ascii="Arial" w:hAnsi="Arial" w:hint="default"/>
        <w:b w:val="0"/>
        <w:i w:val="0"/>
        <w:caps w:val="0"/>
        <w:strike w:val="0"/>
        <w:dstrike w:val="0"/>
        <w:vanish w:val="0"/>
        <w:color w:val="auto"/>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51678"/>
    <w:multiLevelType w:val="hybridMultilevel"/>
    <w:tmpl w:val="53FA324A"/>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 w15:restartNumberingAfterBreak="0">
    <w:nsid w:val="0AC25D1E"/>
    <w:multiLevelType w:val="hybridMultilevel"/>
    <w:tmpl w:val="436E335A"/>
    <w:lvl w:ilvl="0" w:tplc="C0B42F26">
      <w:start w:val="1"/>
      <w:numFmt w:val="decimal"/>
      <w:pStyle w:val="SPRU81Paragraphs"/>
      <w:lvlText w:val="8.%1"/>
      <w:lvlJc w:val="left"/>
      <w:pPr>
        <w:ind w:left="720" w:hanging="360"/>
      </w:pPr>
      <w:rPr>
        <w:rFonts w:ascii="Arial" w:hAnsi="Arial" w:hint="default"/>
        <w:b w:val="0"/>
        <w:i w:val="0"/>
        <w:caps/>
        <w:strike w:val="0"/>
        <w:dstrike w:val="0"/>
        <w:vanish w:val="0"/>
        <w:sz w:val="22"/>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AF0672"/>
    <w:multiLevelType w:val="hybridMultilevel"/>
    <w:tmpl w:val="744A9A7E"/>
    <w:lvl w:ilvl="0" w:tplc="7D244212">
      <w:start w:val="1"/>
      <w:numFmt w:val="decimal"/>
      <w:pStyle w:val="SPRU101paragraphs"/>
      <w:lvlText w:val="10.%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7E7C86"/>
    <w:multiLevelType w:val="hybridMultilevel"/>
    <w:tmpl w:val="E814FA34"/>
    <w:lvl w:ilvl="0" w:tplc="315294CA">
      <w:start w:val="1"/>
      <w:numFmt w:val="decimal"/>
      <w:pStyle w:val="SPRU01Paragraphs"/>
      <w:lvlText w:val="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E6032"/>
    <w:multiLevelType w:val="hybridMultilevel"/>
    <w:tmpl w:val="FE103690"/>
    <w:lvl w:ilvl="0" w:tplc="C15A48E2">
      <w:start w:val="1"/>
      <w:numFmt w:val="decimal"/>
      <w:pStyle w:val="SPRUApppara2"/>
      <w:lvlText w:val="A2.%1"/>
      <w:lvlJc w:val="left"/>
      <w:pPr>
        <w:ind w:left="720" w:hanging="360"/>
      </w:pPr>
      <w:rPr>
        <w:rFonts w:ascii="Arial" w:hAnsi="Arial" w:hint="default"/>
        <w:b w:val="0"/>
        <w:i w:val="0"/>
        <w:caps/>
        <w:strike w:val="0"/>
        <w:dstrike w:val="0"/>
        <w:vanish w:val="0"/>
        <w:sz w:val="22"/>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C944D3"/>
    <w:multiLevelType w:val="hybridMultilevel"/>
    <w:tmpl w:val="C2C8205E"/>
    <w:lvl w:ilvl="0" w:tplc="941C5A0A">
      <w:start w:val="1"/>
      <w:numFmt w:val="decimal"/>
      <w:pStyle w:val="SPRU111"/>
      <w:lvlText w:val="11.%1"/>
      <w:lvlJc w:val="left"/>
      <w:pPr>
        <w:ind w:left="360" w:hanging="360"/>
      </w:pPr>
      <w:rPr>
        <w:rFonts w:ascii="Arial" w:hAnsi="Arial" w:hint="default"/>
        <w:b w:val="0"/>
        <w:i w:val="0"/>
        <w:caps w:val="0"/>
        <w:strike w:val="0"/>
        <w:dstrike w:val="0"/>
        <w:vanish w:val="0"/>
        <w:color w:val="auto"/>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903AEB"/>
    <w:multiLevelType w:val="hybridMultilevel"/>
    <w:tmpl w:val="D762474A"/>
    <w:lvl w:ilvl="0" w:tplc="ABB266A6">
      <w:start w:val="1"/>
      <w:numFmt w:val="lowerLetter"/>
      <w:pStyle w:val="aSPRUSubHeadings"/>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FC6BAF"/>
    <w:multiLevelType w:val="multilevel"/>
    <w:tmpl w:val="468CDD90"/>
    <w:lvl w:ilvl="0">
      <w:numFmt w:val="decimal"/>
      <w:lvlText w:val="0.%1"/>
      <w:lvlJc w:val="left"/>
      <w:pPr>
        <w:ind w:left="737" w:hanging="737"/>
      </w:pPr>
      <w:rPr>
        <w:rFonts w:ascii="Arial Bold" w:hAnsi="Arial Bold" w:hint="default"/>
        <w:b/>
        <w:i w:val="0"/>
        <w:caps/>
        <w:strike w:val="0"/>
        <w:dstrike w:val="0"/>
        <w:vanish w:val="0"/>
        <w:color w:val="auto"/>
        <w:sz w:val="24"/>
        <w:vertAlign w:val="baseline"/>
      </w:rPr>
    </w:lvl>
    <w:lvl w:ilvl="1">
      <w:start w:val="1"/>
      <w:numFmt w:val="decimal"/>
      <w:lvlText w:val="%1.%2"/>
      <w:lvlJc w:val="left"/>
      <w:pPr>
        <w:ind w:left="737" w:hanging="737"/>
      </w:pPr>
      <w:rPr>
        <w:rFonts w:ascii="Arial" w:hAnsi="Arial" w:hint="default"/>
        <w:b w:val="0"/>
        <w:i w:val="0"/>
        <w:caps w:val="0"/>
        <w:strike w:val="0"/>
        <w:dstrike w:val="0"/>
        <w:vanish w:val="0"/>
        <w:sz w:val="22"/>
        <w:vertAlign w:val="baseline"/>
      </w:rPr>
    </w:lvl>
    <w:lvl w:ilvl="2">
      <w:start w:val="1"/>
      <w:numFmt w:val="decimal"/>
      <w:lvlText w:val="%3.0"/>
      <w:lvlJc w:val="left"/>
      <w:pPr>
        <w:ind w:left="737" w:hanging="737"/>
      </w:pPr>
      <w:rPr>
        <w:rFonts w:ascii="Arial Bold" w:hAnsi="Arial Bold" w:hint="default"/>
        <w:b/>
        <w:i w:val="0"/>
        <w:caps/>
        <w:strike w:val="0"/>
        <w:dstrike w:val="0"/>
        <w:vanish w:val="0"/>
        <w:sz w:val="24"/>
        <w:vertAlign w:val="baseline"/>
      </w:rPr>
    </w:lvl>
    <w:lvl w:ilvl="3">
      <w:start w:val="1"/>
      <w:numFmt w:val="decimal"/>
      <w:lvlText w:val="%3.%4"/>
      <w:lvlJc w:val="left"/>
      <w:pPr>
        <w:ind w:left="737" w:hanging="737"/>
      </w:pPr>
      <w:rPr>
        <w:rFonts w:ascii="Arial" w:hAnsi="Arial" w:hint="default"/>
        <w:b w:val="0"/>
        <w:i w:val="0"/>
        <w:caps w:val="0"/>
        <w:strike w:val="0"/>
        <w:dstrike w:val="0"/>
        <w:vanish w:val="0"/>
        <w:sz w:val="22"/>
        <w:vertAlign w:val="baseline"/>
      </w:rPr>
    </w:lvl>
    <w:lvl w:ilvl="4">
      <w:start w:val="1"/>
      <w:numFmt w:val="decimal"/>
      <w:lvlText w:val="APPENDIX %5"/>
      <w:lvlJc w:val="left"/>
      <w:pPr>
        <w:ind w:left="2268" w:hanging="2268"/>
      </w:pPr>
      <w:rPr>
        <w:rFonts w:ascii="Arial Bold" w:hAnsi="Arial Bold" w:hint="default"/>
        <w:b/>
        <w:i w:val="0"/>
        <w:caps/>
        <w:strike w:val="0"/>
        <w:dstrike w:val="0"/>
        <w:vanish w:val="0"/>
        <w:sz w:val="22"/>
        <w:vertAlign w:val="baseline"/>
      </w:rPr>
    </w:lvl>
    <w:lvl w:ilvl="5">
      <w:start w:val="1"/>
      <w:numFmt w:val="decimal"/>
      <w:lvlText w:val="A%5.%6"/>
      <w:lvlJc w:val="left"/>
      <w:pPr>
        <w:ind w:left="737" w:hanging="737"/>
      </w:pPr>
      <w:rPr>
        <w:rFonts w:ascii="Arial" w:hAnsi="Arial" w:hint="default"/>
        <w:b w:val="0"/>
        <w:i w:val="0"/>
        <w:caps w:val="0"/>
        <w:strike w:val="0"/>
        <w:dstrike w:val="0"/>
        <w:vanish w:val="0"/>
        <w:sz w:val="22"/>
        <w:vertAlign w:val="baseline"/>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lowerRoman"/>
      <w:lvlText w:val="%9."/>
      <w:lvlJc w:val="right"/>
      <w:pPr>
        <w:ind w:left="737" w:hanging="737"/>
      </w:pPr>
      <w:rPr>
        <w:rFonts w:hint="default"/>
      </w:rPr>
    </w:lvl>
  </w:abstractNum>
  <w:abstractNum w:abstractNumId="10" w15:restartNumberingAfterBreak="0">
    <w:nsid w:val="153D6F07"/>
    <w:multiLevelType w:val="hybridMultilevel"/>
    <w:tmpl w:val="475E5BF8"/>
    <w:lvl w:ilvl="0" w:tplc="A23C4646">
      <w:start w:val="1"/>
      <w:numFmt w:val="decimal"/>
      <w:pStyle w:val="SPRUAppPara1"/>
      <w:lvlText w:val="A1.%1"/>
      <w:lvlJc w:val="left"/>
      <w:pPr>
        <w:ind w:left="360" w:hanging="360"/>
      </w:pPr>
      <w:rPr>
        <w:rFonts w:ascii="Arial" w:hAnsi="Arial" w:hint="default"/>
        <w:b w:val="0"/>
        <w:i w:val="0"/>
        <w:caps/>
        <w:strike w:val="0"/>
        <w:dstrike w:val="0"/>
        <w:vanish w:val="0"/>
        <w:sz w:val="22"/>
        <w:szCs w:val="24"/>
        <w:vertAlign w:val="baseline"/>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1" w15:restartNumberingAfterBreak="0">
    <w:nsid w:val="15F87125"/>
    <w:multiLevelType w:val="hybridMultilevel"/>
    <w:tmpl w:val="D0A29002"/>
    <w:lvl w:ilvl="0" w:tplc="3B1C2754">
      <w:start w:val="1"/>
      <w:numFmt w:val="decimal"/>
      <w:pStyle w:val="SPRUApppara5"/>
      <w:lvlText w:val="A5.%1"/>
      <w:lvlJc w:val="left"/>
      <w:pPr>
        <w:ind w:left="720" w:hanging="360"/>
      </w:pPr>
      <w:rPr>
        <w:rFonts w:ascii="Arial" w:hAnsi="Arial" w:hint="default"/>
        <w:b w:val="0"/>
        <w:i w:val="0"/>
        <w:caps/>
        <w:strike w:val="0"/>
        <w:dstrike w:val="0"/>
        <w:vanish w:val="0"/>
        <w:sz w:val="22"/>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AA09AE"/>
    <w:multiLevelType w:val="hybridMultilevel"/>
    <w:tmpl w:val="0C1290DC"/>
    <w:lvl w:ilvl="0" w:tplc="B3F89E16">
      <w:numFmt w:val="decimal"/>
      <w:pStyle w:val="SPRU00HEADING"/>
      <w:lvlText w:val="0.%1"/>
      <w:lvlJc w:val="left"/>
      <w:pPr>
        <w:ind w:left="720" w:hanging="360"/>
      </w:pPr>
      <w:rPr>
        <w:rFonts w:ascii="Arial Bold" w:hAnsi="Arial Bold" w:hint="default"/>
        <w:b/>
        <w:i w:val="0"/>
        <w:caps/>
        <w:strike w:val="0"/>
        <w:dstrike w:val="0"/>
        <w:vanish w:val="0"/>
        <w:sz w:val="24"/>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0C3924"/>
    <w:multiLevelType w:val="hybridMultilevel"/>
    <w:tmpl w:val="D3807D4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28003324"/>
    <w:multiLevelType w:val="hybridMultilevel"/>
    <w:tmpl w:val="65E2E45C"/>
    <w:lvl w:ilvl="0" w:tplc="98708C50">
      <w:start w:val="1"/>
      <w:numFmt w:val="decimal"/>
      <w:lvlText w:val="%1)"/>
      <w:lvlJc w:val="left"/>
      <w:pPr>
        <w:ind w:left="1097" w:hanging="360"/>
      </w:pPr>
    </w:lvl>
    <w:lvl w:ilvl="1" w:tplc="04090019">
      <w:start w:val="1"/>
      <w:numFmt w:val="lowerLetter"/>
      <w:lvlText w:val="%2."/>
      <w:lvlJc w:val="left"/>
      <w:pPr>
        <w:ind w:left="1817" w:hanging="360"/>
      </w:pPr>
    </w:lvl>
    <w:lvl w:ilvl="2" w:tplc="0409001B">
      <w:start w:val="1"/>
      <w:numFmt w:val="lowerRoman"/>
      <w:lvlText w:val="%3."/>
      <w:lvlJc w:val="right"/>
      <w:pPr>
        <w:ind w:left="2537" w:hanging="180"/>
      </w:pPr>
    </w:lvl>
    <w:lvl w:ilvl="3" w:tplc="0409000F">
      <w:start w:val="1"/>
      <w:numFmt w:val="decimal"/>
      <w:lvlText w:val="%4."/>
      <w:lvlJc w:val="left"/>
      <w:pPr>
        <w:ind w:left="3257" w:hanging="360"/>
      </w:pPr>
    </w:lvl>
    <w:lvl w:ilvl="4" w:tplc="04090019">
      <w:start w:val="1"/>
      <w:numFmt w:val="lowerLetter"/>
      <w:lvlText w:val="%5."/>
      <w:lvlJc w:val="left"/>
      <w:pPr>
        <w:ind w:left="3977" w:hanging="360"/>
      </w:pPr>
    </w:lvl>
    <w:lvl w:ilvl="5" w:tplc="0409001B">
      <w:start w:val="1"/>
      <w:numFmt w:val="lowerRoman"/>
      <w:lvlText w:val="%6."/>
      <w:lvlJc w:val="right"/>
      <w:pPr>
        <w:ind w:left="4697" w:hanging="180"/>
      </w:pPr>
    </w:lvl>
    <w:lvl w:ilvl="6" w:tplc="0409000F">
      <w:start w:val="1"/>
      <w:numFmt w:val="decimal"/>
      <w:lvlText w:val="%7."/>
      <w:lvlJc w:val="left"/>
      <w:pPr>
        <w:ind w:left="5417" w:hanging="360"/>
      </w:pPr>
    </w:lvl>
    <w:lvl w:ilvl="7" w:tplc="04090019">
      <w:start w:val="1"/>
      <w:numFmt w:val="lowerLetter"/>
      <w:lvlText w:val="%8."/>
      <w:lvlJc w:val="left"/>
      <w:pPr>
        <w:ind w:left="6137" w:hanging="360"/>
      </w:pPr>
    </w:lvl>
    <w:lvl w:ilvl="8" w:tplc="0409001B">
      <w:start w:val="1"/>
      <w:numFmt w:val="lowerRoman"/>
      <w:lvlText w:val="%9."/>
      <w:lvlJc w:val="right"/>
      <w:pPr>
        <w:ind w:left="6857" w:hanging="180"/>
      </w:pPr>
    </w:lvl>
  </w:abstractNum>
  <w:abstractNum w:abstractNumId="15" w15:restartNumberingAfterBreak="0">
    <w:nsid w:val="293B00EA"/>
    <w:multiLevelType w:val="hybridMultilevel"/>
    <w:tmpl w:val="5646576E"/>
    <w:lvl w:ilvl="0" w:tplc="9F400BA2">
      <w:start w:val="1"/>
      <w:numFmt w:val="decimal"/>
      <w:pStyle w:val="SPRUAppPara3"/>
      <w:lvlText w:val="A3.%1"/>
      <w:lvlJc w:val="left"/>
      <w:pPr>
        <w:ind w:left="720" w:hanging="360"/>
      </w:pPr>
      <w:rPr>
        <w:rFonts w:ascii="Arial" w:hAnsi="Arial" w:hint="default"/>
        <w:b w:val="0"/>
        <w:i w:val="0"/>
        <w:caps/>
        <w:strike w:val="0"/>
        <w:dstrike w:val="0"/>
        <w:vanish w:val="0"/>
        <w:sz w:val="22"/>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D97123"/>
    <w:multiLevelType w:val="hybridMultilevel"/>
    <w:tmpl w:val="2722B63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7" w15:restartNumberingAfterBreak="0">
    <w:nsid w:val="2E232CA3"/>
    <w:multiLevelType w:val="hybridMultilevel"/>
    <w:tmpl w:val="359CFF76"/>
    <w:lvl w:ilvl="0" w:tplc="191EF8BE">
      <w:start w:val="1"/>
      <w:numFmt w:val="lowerLetter"/>
      <w:pStyle w:val="Heading1"/>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8" w15:restartNumberingAfterBreak="0">
    <w:nsid w:val="302419DA"/>
    <w:multiLevelType w:val="hybridMultilevel"/>
    <w:tmpl w:val="E92CF8B2"/>
    <w:lvl w:ilvl="0" w:tplc="21007D5A">
      <w:start w:val="1"/>
      <w:numFmt w:val="decimal"/>
      <w:pStyle w:val="SPRUChapterHeadings10"/>
      <w:lvlText w:val="%1.0"/>
      <w:lvlJc w:val="left"/>
      <w:pPr>
        <w:ind w:left="720" w:hanging="360"/>
      </w:pPr>
      <w:rPr>
        <w:rFonts w:ascii="Arial Bold" w:hAnsi="Arial Bold" w:hint="default"/>
        <w:b/>
        <w:i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0C5045"/>
    <w:multiLevelType w:val="hybridMultilevel"/>
    <w:tmpl w:val="51E8A60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3A91497"/>
    <w:multiLevelType w:val="hybridMultilevel"/>
    <w:tmpl w:val="418AC578"/>
    <w:lvl w:ilvl="0" w:tplc="0FAEDBFC">
      <w:start w:val="1"/>
      <w:numFmt w:val="decimal"/>
      <w:pStyle w:val="SPRU21Paragraphs"/>
      <w:lvlText w:val="2.%1"/>
      <w:lvlJc w:val="left"/>
      <w:pPr>
        <w:ind w:left="720" w:hanging="360"/>
      </w:pPr>
      <w:rPr>
        <w:rFonts w:hint="default"/>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0829DB"/>
    <w:multiLevelType w:val="hybridMultilevel"/>
    <w:tmpl w:val="DB5CF90A"/>
    <w:lvl w:ilvl="0" w:tplc="9AA05822">
      <w:start w:val="1"/>
      <w:numFmt w:val="decimal"/>
      <w:pStyle w:val="SPRUCharts"/>
      <w:lvlText w:val="Chart %1:"/>
      <w:lvlJc w:val="left"/>
      <w:pPr>
        <w:ind w:left="1457" w:hanging="360"/>
      </w:pPr>
      <w:rPr>
        <w:rFonts w:ascii="Arial Bold" w:hAnsi="Arial Bold" w:hint="default"/>
        <w:b/>
        <w:i w:val="0"/>
        <w:caps w:val="0"/>
        <w:strike w:val="0"/>
        <w:dstrike w:val="0"/>
        <w:vanish w:val="0"/>
        <w:sz w:val="22"/>
        <w:vertAlign w:val="baseline"/>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2" w15:restartNumberingAfterBreak="0">
    <w:nsid w:val="39313E52"/>
    <w:multiLevelType w:val="hybridMultilevel"/>
    <w:tmpl w:val="F8DEE872"/>
    <w:lvl w:ilvl="0" w:tplc="0EAE7868">
      <w:start w:val="1"/>
      <w:numFmt w:val="decimal"/>
      <w:pStyle w:val="Style2"/>
      <w:lvlText w:val="2.%1"/>
      <w:lvlJc w:val="left"/>
      <w:pPr>
        <w:tabs>
          <w:tab w:val="num" w:pos="709"/>
        </w:tabs>
        <w:ind w:left="709" w:hanging="709"/>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F1D06282">
      <w:start w:val="1"/>
      <w:numFmt w:val="lowerRoman"/>
      <w:lvlText w:val="%5)"/>
      <w:lvlJc w:val="left"/>
      <w:pPr>
        <w:ind w:left="3960" w:hanging="720"/>
      </w:pPr>
      <w:rPr>
        <w:rFonts w:hint="default"/>
      </w:rPr>
    </w:lvl>
    <w:lvl w:ilvl="5" w:tplc="623869A6">
      <w:start w:val="1"/>
      <w:numFmt w:val="decimal"/>
      <w:lvlText w:val="(%6)"/>
      <w:lvlJc w:val="left"/>
      <w:pPr>
        <w:ind w:left="4500" w:hanging="360"/>
      </w:pPr>
      <w:rPr>
        <w:rFonts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B8B1334"/>
    <w:multiLevelType w:val="hybridMultilevel"/>
    <w:tmpl w:val="F7D68BB8"/>
    <w:lvl w:ilvl="0" w:tplc="9BA0CF38">
      <w:start w:val="1"/>
      <w:numFmt w:val="decimal"/>
      <w:pStyle w:val="SPRUApppara4"/>
      <w:lvlText w:val="A4.%1"/>
      <w:lvlJc w:val="left"/>
      <w:pPr>
        <w:ind w:left="720" w:hanging="360"/>
      </w:pPr>
      <w:rPr>
        <w:rFonts w:ascii="Arial" w:hAnsi="Arial" w:hint="default"/>
        <w:b w:val="0"/>
        <w:i w:val="0"/>
        <w:caps/>
        <w:strike w:val="0"/>
        <w:dstrike w:val="0"/>
        <w:vanish w:val="0"/>
        <w:sz w:val="22"/>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164008"/>
    <w:multiLevelType w:val="hybridMultilevel"/>
    <w:tmpl w:val="E56CE056"/>
    <w:lvl w:ilvl="0" w:tplc="F5BA8538">
      <w:start w:val="1"/>
      <w:numFmt w:val="lowerRoman"/>
      <w:pStyle w:val="Heading2"/>
      <w:lvlText w:val="%1)"/>
      <w:lvlJc w:val="left"/>
      <w:pPr>
        <w:ind w:left="1069" w:hanging="360"/>
      </w:pPr>
      <w:rPr>
        <w:rFonts w:ascii="Arial Bold" w:hAnsi="Arial Bold" w:hint="default"/>
        <w:b/>
        <w:i w:val="0"/>
        <w:caps w:val="0"/>
        <w:strike w:val="0"/>
        <w:dstrike w:val="0"/>
        <w:vanish w:val="0"/>
        <w:kern w:val="0"/>
        <w:sz w:val="22"/>
        <w:vertAlign w:val="baseline"/>
        <w14:cntxtAlts w14:val="0"/>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 w15:restartNumberingAfterBreak="0">
    <w:nsid w:val="3D360EE0"/>
    <w:multiLevelType w:val="hybridMultilevel"/>
    <w:tmpl w:val="BC3CF65E"/>
    <w:lvl w:ilvl="0" w:tplc="4986EAA6">
      <w:start w:val="1"/>
      <w:numFmt w:val="lowerLetter"/>
      <w:pStyle w:val="SPRUSubHeading"/>
      <w:lvlText w:val="%1)"/>
      <w:lvlJc w:val="left"/>
      <w:pPr>
        <w:ind w:left="1457" w:hanging="360"/>
      </w:pPr>
      <w:rPr>
        <w:rFonts w:ascii="Arial" w:hAnsi="Arial" w:hint="default"/>
        <w:b w:val="0"/>
        <w:i w:val="0"/>
        <w:caps w:val="0"/>
        <w:strike w:val="0"/>
        <w:dstrike w:val="0"/>
        <w:vanish w:val="0"/>
        <w:color w:val="auto"/>
        <w:kern w:val="0"/>
        <w:sz w:val="22"/>
        <w:vertAlign w:val="baseline"/>
        <w14:cntxtAlts w14:val="0"/>
      </w:r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26" w15:restartNumberingAfterBreak="0">
    <w:nsid w:val="3D7C6E34"/>
    <w:multiLevelType w:val="hybridMultilevel"/>
    <w:tmpl w:val="85F8045A"/>
    <w:lvl w:ilvl="0" w:tplc="1EB42406">
      <w:start w:val="1"/>
      <w:numFmt w:val="decimal"/>
      <w:pStyle w:val="SPRU31Paragraphs"/>
      <w:lvlText w:val="3.%1"/>
      <w:lvlJc w:val="left"/>
      <w:pPr>
        <w:ind w:left="360" w:hanging="360"/>
      </w:pPr>
      <w:rPr>
        <w:rFonts w:ascii="Arial" w:hAnsi="Arial" w:hint="default"/>
        <w:b w:val="0"/>
        <w:i w:val="0"/>
        <w:caps/>
        <w:strike w:val="0"/>
        <w:dstrike w:val="0"/>
        <w:vanish w:val="0"/>
        <w:sz w:val="22"/>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784CD5"/>
    <w:multiLevelType w:val="hybridMultilevel"/>
    <w:tmpl w:val="A990A01E"/>
    <w:lvl w:ilvl="0" w:tplc="A17A603C">
      <w:start w:val="1"/>
      <w:numFmt w:val="bullet"/>
      <w:pStyle w:val="SPRUSubsidiaryBullets"/>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42836171"/>
    <w:multiLevelType w:val="hybridMultilevel"/>
    <w:tmpl w:val="0BEEF6D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9" w15:restartNumberingAfterBreak="0">
    <w:nsid w:val="44AE15E7"/>
    <w:multiLevelType w:val="hybridMultilevel"/>
    <w:tmpl w:val="E36686EC"/>
    <w:lvl w:ilvl="0" w:tplc="C52A5DBC">
      <w:start w:val="1"/>
      <w:numFmt w:val="lowerLetter"/>
      <w:pStyle w:val="TOC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E431B4"/>
    <w:multiLevelType w:val="hybridMultilevel"/>
    <w:tmpl w:val="2BB4DE7E"/>
    <w:lvl w:ilvl="0" w:tplc="B4B86E7A">
      <w:start w:val="1"/>
      <w:numFmt w:val="decimal"/>
      <w:pStyle w:val="SPRUx141"/>
      <w:lvlText w:val="14.%1"/>
      <w:lvlJc w:val="left"/>
      <w:pPr>
        <w:ind w:left="720" w:hanging="360"/>
      </w:pPr>
      <w:rPr>
        <w:rFonts w:ascii="Arial" w:hAnsi="Arial" w:hint="default"/>
        <w:b w:val="0"/>
        <w:i w:val="0"/>
        <w:caps w:val="0"/>
        <w:strike w:val="0"/>
        <w:dstrike w:val="0"/>
        <w:vanish w:val="0"/>
        <w:color w:val="auto"/>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60230D"/>
    <w:multiLevelType w:val="hybridMultilevel"/>
    <w:tmpl w:val="EE667D1A"/>
    <w:lvl w:ilvl="0" w:tplc="08090001">
      <w:start w:val="1"/>
      <w:numFmt w:val="bullet"/>
      <w:lvlText w:val=""/>
      <w:lvlJc w:val="left"/>
      <w:pPr>
        <w:ind w:left="720" w:hanging="360"/>
      </w:pPr>
      <w:rPr>
        <w:rFonts w:ascii="Symbol" w:hAnsi="Symbol" w:hint="default"/>
        <w:b w:val="0"/>
        <w:i w:val="0"/>
        <w:caps/>
        <w:strike w:val="0"/>
        <w:dstrike w:val="0"/>
        <w:vanish w:val="0"/>
        <w:sz w:val="22"/>
        <w:szCs w:val="24"/>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3618A2"/>
    <w:multiLevelType w:val="hybridMultilevel"/>
    <w:tmpl w:val="3FE46A88"/>
    <w:lvl w:ilvl="0" w:tplc="D758EF36">
      <w:start w:val="1"/>
      <w:numFmt w:val="decimal"/>
      <w:pStyle w:val="SPRUTables"/>
      <w:lvlText w:val="Table %1."/>
      <w:lvlJc w:val="left"/>
      <w:pPr>
        <w:ind w:left="1080" w:hanging="360"/>
      </w:pPr>
      <w:rPr>
        <w:rFonts w:ascii="Arial Bold" w:hAnsi="Arial Bold" w:hint="default"/>
        <w:b/>
        <w:i w:val="0"/>
        <w:caps w:val="0"/>
        <w:strike w:val="0"/>
        <w:dstrike w:val="0"/>
        <w:vanish w:val="0"/>
        <w:color w:val="auto"/>
        <w:sz w:val="22"/>
        <w:vertAlign w:val="base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42319D6"/>
    <w:multiLevelType w:val="hybridMultilevel"/>
    <w:tmpl w:val="DC008CF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4" w15:restartNumberingAfterBreak="0">
    <w:nsid w:val="5D72196F"/>
    <w:multiLevelType w:val="hybridMultilevel"/>
    <w:tmpl w:val="3FC250C4"/>
    <w:lvl w:ilvl="0" w:tplc="2CC4C682">
      <w:start w:val="1"/>
      <w:numFmt w:val="decimal"/>
      <w:pStyle w:val="SPRU151"/>
      <w:lvlText w:val="5.%1"/>
      <w:lvlJc w:val="left"/>
      <w:pPr>
        <w:ind w:left="360" w:hanging="360"/>
      </w:pPr>
      <w:rPr>
        <w:rFonts w:ascii="Arial" w:hAnsi="Arial" w:hint="default"/>
        <w:b w:val="0"/>
        <w:i w:val="0"/>
        <w:caps/>
        <w:strike w:val="0"/>
        <w:dstrike w:val="0"/>
        <w:vanish w:val="0"/>
        <w:sz w:val="22"/>
        <w:szCs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A72A9F"/>
    <w:multiLevelType w:val="hybridMultilevel"/>
    <w:tmpl w:val="51F4541A"/>
    <w:lvl w:ilvl="0" w:tplc="055C1D3A">
      <w:start w:val="1"/>
      <w:numFmt w:val="decimal"/>
      <w:pStyle w:val="Style8"/>
      <w:lvlText w:val="8.%1"/>
      <w:lvlJc w:val="left"/>
      <w:pPr>
        <w:tabs>
          <w:tab w:val="num" w:pos="1146"/>
        </w:tabs>
        <w:ind w:left="1146" w:hanging="720"/>
      </w:pPr>
      <w:rPr>
        <w:rFonts w:ascii="Arial" w:hAnsi="Arial" w:cs="Times New Roman" w:hint="default"/>
        <w:b w:val="0"/>
        <w:i w:val="0"/>
        <w:sz w:val="22"/>
        <w:szCs w:val="22"/>
      </w:rPr>
    </w:lvl>
    <w:lvl w:ilvl="1" w:tplc="04090019">
      <w:start w:val="1"/>
      <w:numFmt w:val="lowerLetter"/>
      <w:lvlText w:val="%2."/>
      <w:lvlJc w:val="left"/>
      <w:pPr>
        <w:tabs>
          <w:tab w:val="num" w:pos="1157"/>
        </w:tabs>
        <w:ind w:left="1157" w:hanging="360"/>
      </w:pPr>
      <w:rPr>
        <w:rFonts w:cs="Times New Roman"/>
      </w:rPr>
    </w:lvl>
    <w:lvl w:ilvl="2" w:tplc="0409001B">
      <w:start w:val="1"/>
      <w:numFmt w:val="lowerRoman"/>
      <w:lvlText w:val="%3."/>
      <w:lvlJc w:val="right"/>
      <w:pPr>
        <w:tabs>
          <w:tab w:val="num" w:pos="1877"/>
        </w:tabs>
        <w:ind w:left="1877" w:hanging="180"/>
      </w:pPr>
      <w:rPr>
        <w:rFonts w:cs="Times New Roman"/>
      </w:rPr>
    </w:lvl>
    <w:lvl w:ilvl="3" w:tplc="0409000F" w:tentative="1">
      <w:start w:val="1"/>
      <w:numFmt w:val="decimal"/>
      <w:lvlText w:val="%4."/>
      <w:lvlJc w:val="left"/>
      <w:pPr>
        <w:tabs>
          <w:tab w:val="num" w:pos="2597"/>
        </w:tabs>
        <w:ind w:left="2597" w:hanging="360"/>
      </w:pPr>
      <w:rPr>
        <w:rFonts w:cs="Times New Roman"/>
      </w:rPr>
    </w:lvl>
    <w:lvl w:ilvl="4" w:tplc="04090019" w:tentative="1">
      <w:start w:val="1"/>
      <w:numFmt w:val="lowerLetter"/>
      <w:lvlText w:val="%5."/>
      <w:lvlJc w:val="left"/>
      <w:pPr>
        <w:tabs>
          <w:tab w:val="num" w:pos="3317"/>
        </w:tabs>
        <w:ind w:left="3317" w:hanging="360"/>
      </w:pPr>
      <w:rPr>
        <w:rFonts w:cs="Times New Roman"/>
      </w:rPr>
    </w:lvl>
    <w:lvl w:ilvl="5" w:tplc="0409001B" w:tentative="1">
      <w:start w:val="1"/>
      <w:numFmt w:val="lowerRoman"/>
      <w:lvlText w:val="%6."/>
      <w:lvlJc w:val="right"/>
      <w:pPr>
        <w:tabs>
          <w:tab w:val="num" w:pos="4037"/>
        </w:tabs>
        <w:ind w:left="4037" w:hanging="180"/>
      </w:pPr>
      <w:rPr>
        <w:rFonts w:cs="Times New Roman"/>
      </w:rPr>
    </w:lvl>
    <w:lvl w:ilvl="6" w:tplc="0409000F" w:tentative="1">
      <w:start w:val="1"/>
      <w:numFmt w:val="decimal"/>
      <w:lvlText w:val="%7."/>
      <w:lvlJc w:val="left"/>
      <w:pPr>
        <w:tabs>
          <w:tab w:val="num" w:pos="4757"/>
        </w:tabs>
        <w:ind w:left="4757" w:hanging="360"/>
      </w:pPr>
      <w:rPr>
        <w:rFonts w:cs="Times New Roman"/>
      </w:rPr>
    </w:lvl>
    <w:lvl w:ilvl="7" w:tplc="04090019" w:tentative="1">
      <w:start w:val="1"/>
      <w:numFmt w:val="lowerLetter"/>
      <w:lvlText w:val="%8."/>
      <w:lvlJc w:val="left"/>
      <w:pPr>
        <w:tabs>
          <w:tab w:val="num" w:pos="5477"/>
        </w:tabs>
        <w:ind w:left="5477" w:hanging="360"/>
      </w:pPr>
      <w:rPr>
        <w:rFonts w:cs="Times New Roman"/>
      </w:rPr>
    </w:lvl>
    <w:lvl w:ilvl="8" w:tplc="0409001B" w:tentative="1">
      <w:start w:val="1"/>
      <w:numFmt w:val="lowerRoman"/>
      <w:lvlText w:val="%9."/>
      <w:lvlJc w:val="right"/>
      <w:pPr>
        <w:tabs>
          <w:tab w:val="num" w:pos="6197"/>
        </w:tabs>
        <w:ind w:left="6197" w:hanging="180"/>
      </w:pPr>
      <w:rPr>
        <w:rFonts w:cs="Times New Roman"/>
      </w:rPr>
    </w:lvl>
  </w:abstractNum>
  <w:abstractNum w:abstractNumId="36" w15:restartNumberingAfterBreak="0">
    <w:nsid w:val="6613435B"/>
    <w:multiLevelType w:val="hybridMultilevel"/>
    <w:tmpl w:val="3C0CF916"/>
    <w:lvl w:ilvl="0" w:tplc="AE9E56C8">
      <w:start w:val="1"/>
      <w:numFmt w:val="decimal"/>
      <w:pStyle w:val="SPRU11Paragraphs"/>
      <w:lvlText w:val="1.%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70CE227C">
      <w:start w:val="2"/>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F1687A"/>
    <w:multiLevelType w:val="hybridMultilevel"/>
    <w:tmpl w:val="FADEC27E"/>
    <w:lvl w:ilvl="0" w:tplc="847ACDE8">
      <w:start w:val="1"/>
      <w:numFmt w:val="decimal"/>
      <w:pStyle w:val="SPRU121"/>
      <w:lvlText w:val="12.%1"/>
      <w:lvlJc w:val="left"/>
      <w:pPr>
        <w:ind w:left="360" w:hanging="360"/>
      </w:pPr>
      <w:rPr>
        <w:rFonts w:ascii="Arial" w:hAnsi="Arial" w:hint="default"/>
        <w:b w:val="0"/>
        <w:i w:val="0"/>
        <w:caps w:val="0"/>
        <w:strike w:val="0"/>
        <w:dstrike w:val="0"/>
        <w:vanish w:val="0"/>
        <w:color w:val="auto"/>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024697"/>
    <w:multiLevelType w:val="hybridMultilevel"/>
    <w:tmpl w:val="7DF49F12"/>
    <w:lvl w:ilvl="0" w:tplc="986604C6">
      <w:start w:val="1"/>
      <w:numFmt w:val="decimal"/>
      <w:pStyle w:val="SPRU131"/>
      <w:lvlText w:val="13.%1"/>
      <w:lvlJc w:val="left"/>
      <w:pPr>
        <w:ind w:left="360" w:hanging="360"/>
      </w:pPr>
      <w:rPr>
        <w:rFonts w:ascii="Arial" w:hAnsi="Arial" w:hint="default"/>
        <w:b w:val="0"/>
        <w:i w:val="0"/>
        <w:caps w:val="0"/>
        <w:strike w:val="0"/>
        <w:dstrike w:val="0"/>
        <w:vanish w:val="0"/>
        <w:color w:val="auto"/>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DF304B"/>
    <w:multiLevelType w:val="hybridMultilevel"/>
    <w:tmpl w:val="B2CCB8C2"/>
    <w:lvl w:ilvl="0" w:tplc="5AFE49C6">
      <w:start w:val="1"/>
      <w:numFmt w:val="decimal"/>
      <w:pStyle w:val="SPRU41Paragraphs"/>
      <w:lvlText w:val="4.%1"/>
      <w:lvlJc w:val="left"/>
      <w:pPr>
        <w:ind w:left="720" w:hanging="360"/>
      </w:pPr>
      <w:rPr>
        <w:rFonts w:hint="default"/>
        <w:b w:val="0"/>
        <w:bCs w:val="0"/>
        <w:i w:val="0"/>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9E4D41"/>
    <w:multiLevelType w:val="hybridMultilevel"/>
    <w:tmpl w:val="F77CFAE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1" w15:restartNumberingAfterBreak="0">
    <w:nsid w:val="73F2539B"/>
    <w:multiLevelType w:val="hybridMultilevel"/>
    <w:tmpl w:val="98C8AB2C"/>
    <w:lvl w:ilvl="0" w:tplc="FE329236">
      <w:start w:val="1"/>
      <w:numFmt w:val="decimal"/>
      <w:pStyle w:val="SPRUFigures"/>
      <w:lvlText w:val="Figure %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732C09"/>
    <w:multiLevelType w:val="hybridMultilevel"/>
    <w:tmpl w:val="FDA6539A"/>
    <w:lvl w:ilvl="0" w:tplc="C93EF3A6">
      <w:start w:val="1"/>
      <w:numFmt w:val="decimal"/>
      <w:pStyle w:val="SPRUQuestion"/>
      <w:lvlText w:val="Q%1)"/>
      <w:lvlJc w:val="left"/>
      <w:pPr>
        <w:ind w:left="1429" w:hanging="360"/>
      </w:pPr>
      <w:rPr>
        <w:rFonts w:ascii="Arial Bold" w:hAnsi="Arial Bold" w:hint="default"/>
        <w:b/>
        <w:i w:val="0"/>
        <w:caps w:val="0"/>
        <w:strike w:val="0"/>
        <w:dstrike w:val="0"/>
        <w:vanish w:val="0"/>
        <w:sz w:val="22"/>
        <w:vertAlign w:val="baseline"/>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3" w15:restartNumberingAfterBreak="0">
    <w:nsid w:val="75010804"/>
    <w:multiLevelType w:val="hybridMultilevel"/>
    <w:tmpl w:val="6B865EE2"/>
    <w:lvl w:ilvl="0" w:tplc="12A6E0E8">
      <w:start w:val="1"/>
      <w:numFmt w:val="decimal"/>
      <w:pStyle w:val="SPRU61Paragraphs"/>
      <w:lvlText w:val="6.%1"/>
      <w:lvlJc w:val="left"/>
      <w:pPr>
        <w:ind w:left="720" w:hanging="360"/>
      </w:pPr>
      <w:rPr>
        <w:rFonts w:ascii="Arial" w:hAnsi="Arial" w:hint="default"/>
        <w:b w:val="0"/>
        <w:i w:val="0"/>
        <w:caps/>
        <w:strike w:val="0"/>
        <w:dstrike w:val="0"/>
        <w:vanish w:val="0"/>
        <w:sz w:val="22"/>
        <w:szCs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9C6611"/>
    <w:multiLevelType w:val="hybridMultilevel"/>
    <w:tmpl w:val="B7B42254"/>
    <w:lvl w:ilvl="0" w:tplc="A58C78BA">
      <w:start w:val="1"/>
      <w:numFmt w:val="decimal"/>
      <w:pStyle w:val="SPRU71Paragraphs"/>
      <w:lvlText w:val="7.%1"/>
      <w:lvlJc w:val="left"/>
      <w:pPr>
        <w:ind w:left="720" w:hanging="360"/>
      </w:pPr>
      <w:rPr>
        <w:rFonts w:ascii="Arial" w:hAnsi="Arial" w:hint="default"/>
        <w:b w:val="0"/>
        <w:i w:val="0"/>
        <w:caps/>
        <w:strike w:val="0"/>
        <w:dstrike w:val="0"/>
        <w:vanish w:val="0"/>
        <w:sz w:val="22"/>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FC472D"/>
    <w:multiLevelType w:val="hybridMultilevel"/>
    <w:tmpl w:val="A4AAB29E"/>
    <w:lvl w:ilvl="0" w:tplc="FCE0BA2A">
      <w:start w:val="1"/>
      <w:numFmt w:val="decimal"/>
      <w:pStyle w:val="SPRU51Paragraphs"/>
      <w:lvlText w:val="5.%1"/>
      <w:lvlJc w:val="left"/>
      <w:pPr>
        <w:ind w:left="720" w:hanging="360"/>
      </w:pPr>
      <w:rPr>
        <w:rFonts w:ascii="Arial" w:hAnsi="Arial" w:hint="default"/>
        <w:b w:val="0"/>
        <w:i w:val="0"/>
        <w:caps/>
        <w:strike w:val="0"/>
        <w:dstrike w:val="0"/>
        <w:vanish w:val="0"/>
        <w:sz w:val="22"/>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B04DC"/>
    <w:multiLevelType w:val="hybridMultilevel"/>
    <w:tmpl w:val="E81C0890"/>
    <w:lvl w:ilvl="0" w:tplc="7E364972">
      <w:start w:val="1"/>
      <w:numFmt w:val="bullet"/>
      <w:pStyle w:val="SPRUBulletPoints"/>
      <w:lvlText w:val=""/>
      <w:lvlJc w:val="left"/>
      <w:pPr>
        <w:ind w:left="686" w:hanging="360"/>
      </w:pPr>
      <w:rPr>
        <w:rFonts w:ascii="Symbol" w:hAnsi="Symbol" w:hint="default"/>
      </w:rPr>
    </w:lvl>
    <w:lvl w:ilvl="1" w:tplc="08090001">
      <w:start w:val="1"/>
      <w:numFmt w:val="bullet"/>
      <w:lvlText w:val=""/>
      <w:lvlJc w:val="left"/>
      <w:pPr>
        <w:ind w:left="1406" w:hanging="360"/>
      </w:pPr>
      <w:rPr>
        <w:rFonts w:ascii="Symbol" w:hAnsi="Symbol" w:hint="default"/>
      </w:rPr>
    </w:lvl>
    <w:lvl w:ilvl="2" w:tplc="08090005" w:tentative="1">
      <w:start w:val="1"/>
      <w:numFmt w:val="bullet"/>
      <w:lvlText w:val=""/>
      <w:lvlJc w:val="left"/>
      <w:pPr>
        <w:ind w:left="2126" w:hanging="360"/>
      </w:pPr>
      <w:rPr>
        <w:rFonts w:ascii="Wingdings" w:hAnsi="Wingdings" w:hint="default"/>
      </w:rPr>
    </w:lvl>
    <w:lvl w:ilvl="3" w:tplc="08090001" w:tentative="1">
      <w:start w:val="1"/>
      <w:numFmt w:val="bullet"/>
      <w:lvlText w:val=""/>
      <w:lvlJc w:val="left"/>
      <w:pPr>
        <w:ind w:left="2846" w:hanging="360"/>
      </w:pPr>
      <w:rPr>
        <w:rFonts w:ascii="Symbol" w:hAnsi="Symbol" w:hint="default"/>
      </w:rPr>
    </w:lvl>
    <w:lvl w:ilvl="4" w:tplc="08090003" w:tentative="1">
      <w:start w:val="1"/>
      <w:numFmt w:val="bullet"/>
      <w:lvlText w:val="o"/>
      <w:lvlJc w:val="left"/>
      <w:pPr>
        <w:ind w:left="3566" w:hanging="360"/>
      </w:pPr>
      <w:rPr>
        <w:rFonts w:ascii="Courier New" w:hAnsi="Courier New" w:cs="Courier New" w:hint="default"/>
      </w:rPr>
    </w:lvl>
    <w:lvl w:ilvl="5" w:tplc="08090005" w:tentative="1">
      <w:start w:val="1"/>
      <w:numFmt w:val="bullet"/>
      <w:lvlText w:val=""/>
      <w:lvlJc w:val="left"/>
      <w:pPr>
        <w:ind w:left="4286" w:hanging="360"/>
      </w:pPr>
      <w:rPr>
        <w:rFonts w:ascii="Wingdings" w:hAnsi="Wingdings" w:hint="default"/>
      </w:rPr>
    </w:lvl>
    <w:lvl w:ilvl="6" w:tplc="08090001" w:tentative="1">
      <w:start w:val="1"/>
      <w:numFmt w:val="bullet"/>
      <w:lvlText w:val=""/>
      <w:lvlJc w:val="left"/>
      <w:pPr>
        <w:ind w:left="5006" w:hanging="360"/>
      </w:pPr>
      <w:rPr>
        <w:rFonts w:ascii="Symbol" w:hAnsi="Symbol" w:hint="default"/>
      </w:rPr>
    </w:lvl>
    <w:lvl w:ilvl="7" w:tplc="08090003" w:tentative="1">
      <w:start w:val="1"/>
      <w:numFmt w:val="bullet"/>
      <w:lvlText w:val="o"/>
      <w:lvlJc w:val="left"/>
      <w:pPr>
        <w:ind w:left="5726" w:hanging="360"/>
      </w:pPr>
      <w:rPr>
        <w:rFonts w:ascii="Courier New" w:hAnsi="Courier New" w:cs="Courier New" w:hint="default"/>
      </w:rPr>
    </w:lvl>
    <w:lvl w:ilvl="8" w:tplc="08090005" w:tentative="1">
      <w:start w:val="1"/>
      <w:numFmt w:val="bullet"/>
      <w:lvlText w:val=""/>
      <w:lvlJc w:val="left"/>
      <w:pPr>
        <w:ind w:left="6446" w:hanging="360"/>
      </w:pPr>
      <w:rPr>
        <w:rFonts w:ascii="Wingdings" w:hAnsi="Wingdings" w:hint="default"/>
      </w:rPr>
    </w:lvl>
  </w:abstractNum>
  <w:abstractNum w:abstractNumId="47" w15:restartNumberingAfterBreak="0">
    <w:nsid w:val="7DCC46D6"/>
    <w:multiLevelType w:val="hybridMultilevel"/>
    <w:tmpl w:val="9A68F4EA"/>
    <w:lvl w:ilvl="0" w:tplc="F2D8D542">
      <w:start w:val="1"/>
      <w:numFmt w:val="decimal"/>
      <w:pStyle w:val="Style6"/>
      <w:lvlText w:val="6.%1"/>
      <w:lvlJc w:val="left"/>
      <w:pPr>
        <w:tabs>
          <w:tab w:val="num" w:pos="709"/>
        </w:tabs>
        <w:ind w:left="709" w:hanging="709"/>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E640C67"/>
    <w:multiLevelType w:val="hybridMultilevel"/>
    <w:tmpl w:val="0846BA74"/>
    <w:lvl w:ilvl="0" w:tplc="36C46166">
      <w:start w:val="1"/>
      <w:numFmt w:val="decimal"/>
      <w:pStyle w:val="SPRU91Paragraphs"/>
      <w:lvlText w:val="9.%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7497502">
    <w:abstractNumId w:val="18"/>
  </w:num>
  <w:num w:numId="2" w16cid:durableId="1679775393">
    <w:abstractNumId w:val="20"/>
  </w:num>
  <w:num w:numId="3" w16cid:durableId="1816604208">
    <w:abstractNumId w:val="26"/>
  </w:num>
  <w:num w:numId="4" w16cid:durableId="1818302690">
    <w:abstractNumId w:val="48"/>
  </w:num>
  <w:num w:numId="5" w16cid:durableId="1385104358">
    <w:abstractNumId w:val="45"/>
  </w:num>
  <w:num w:numId="6" w16cid:durableId="1201555668">
    <w:abstractNumId w:val="43"/>
  </w:num>
  <w:num w:numId="7" w16cid:durableId="280646017">
    <w:abstractNumId w:val="44"/>
  </w:num>
  <w:num w:numId="8" w16cid:durableId="15543193">
    <w:abstractNumId w:val="3"/>
  </w:num>
  <w:num w:numId="9" w16cid:durableId="1010448800">
    <w:abstractNumId w:val="46"/>
  </w:num>
  <w:num w:numId="10" w16cid:durableId="985858555">
    <w:abstractNumId w:val="27"/>
  </w:num>
  <w:num w:numId="11" w16cid:durableId="908350207">
    <w:abstractNumId w:val="12"/>
  </w:num>
  <w:num w:numId="12" w16cid:durableId="2051224237">
    <w:abstractNumId w:val="41"/>
  </w:num>
  <w:num w:numId="13" w16cid:durableId="327175830">
    <w:abstractNumId w:val="32"/>
  </w:num>
  <w:num w:numId="14" w16cid:durableId="1527212478">
    <w:abstractNumId w:val="39"/>
  </w:num>
  <w:num w:numId="15" w16cid:durableId="2060933436">
    <w:abstractNumId w:val="4"/>
  </w:num>
  <w:num w:numId="16" w16cid:durableId="1249191457">
    <w:abstractNumId w:val="17"/>
  </w:num>
  <w:num w:numId="17" w16cid:durableId="671759497">
    <w:abstractNumId w:val="21"/>
  </w:num>
  <w:num w:numId="18" w16cid:durableId="895556482">
    <w:abstractNumId w:val="7"/>
  </w:num>
  <w:num w:numId="19" w16cid:durableId="1276016672">
    <w:abstractNumId w:val="37"/>
  </w:num>
  <w:num w:numId="20" w16cid:durableId="1486891561">
    <w:abstractNumId w:val="38"/>
  </w:num>
  <w:num w:numId="21" w16cid:durableId="1091125222">
    <w:abstractNumId w:val="1"/>
  </w:num>
  <w:num w:numId="22" w16cid:durableId="575943250">
    <w:abstractNumId w:val="34"/>
  </w:num>
  <w:num w:numId="23" w16cid:durableId="291252421">
    <w:abstractNumId w:val="10"/>
  </w:num>
  <w:num w:numId="24" w16cid:durableId="1095662739">
    <w:abstractNumId w:val="6"/>
  </w:num>
  <w:num w:numId="25" w16cid:durableId="1312639250">
    <w:abstractNumId w:val="15"/>
  </w:num>
  <w:num w:numId="26" w16cid:durableId="790592113">
    <w:abstractNumId w:val="23"/>
  </w:num>
  <w:num w:numId="27" w16cid:durableId="44647563">
    <w:abstractNumId w:val="11"/>
  </w:num>
  <w:num w:numId="28" w16cid:durableId="1393501851">
    <w:abstractNumId w:val="29"/>
  </w:num>
  <w:num w:numId="29" w16cid:durableId="319233250">
    <w:abstractNumId w:val="47"/>
  </w:num>
  <w:num w:numId="30" w16cid:durableId="1673022324">
    <w:abstractNumId w:val="8"/>
  </w:num>
  <w:num w:numId="31" w16cid:durableId="83310834">
    <w:abstractNumId w:val="25"/>
  </w:num>
  <w:num w:numId="32" w16cid:durableId="557056848">
    <w:abstractNumId w:val="5"/>
  </w:num>
  <w:num w:numId="33" w16cid:durableId="118693318">
    <w:abstractNumId w:val="36"/>
  </w:num>
  <w:num w:numId="34" w16cid:durableId="1313944245">
    <w:abstractNumId w:val="35"/>
  </w:num>
  <w:num w:numId="35" w16cid:durableId="1726441450">
    <w:abstractNumId w:val="22"/>
  </w:num>
  <w:num w:numId="36" w16cid:durableId="648437651">
    <w:abstractNumId w:val="8"/>
    <w:lvlOverride w:ilvl="0">
      <w:startOverride w:val="1"/>
    </w:lvlOverride>
  </w:num>
  <w:num w:numId="37" w16cid:durableId="1213812053">
    <w:abstractNumId w:val="9"/>
  </w:num>
  <w:num w:numId="38" w16cid:durableId="1649627367">
    <w:abstractNumId w:val="42"/>
  </w:num>
  <w:num w:numId="39" w16cid:durableId="1425228714">
    <w:abstractNumId w:val="30"/>
  </w:num>
  <w:num w:numId="40" w16cid:durableId="930970166">
    <w:abstractNumId w:val="24"/>
    <w:lvlOverride w:ilvl="0">
      <w:startOverride w:val="1"/>
    </w:lvlOverride>
  </w:num>
  <w:num w:numId="41" w16cid:durableId="2006785903">
    <w:abstractNumId w:val="8"/>
    <w:lvlOverride w:ilvl="0">
      <w:startOverride w:val="1"/>
    </w:lvlOverride>
  </w:num>
  <w:num w:numId="42" w16cid:durableId="952903445">
    <w:abstractNumId w:val="0"/>
  </w:num>
  <w:num w:numId="43" w16cid:durableId="684281902">
    <w:abstractNumId w:val="8"/>
    <w:lvlOverride w:ilvl="0">
      <w:startOverride w:val="1"/>
    </w:lvlOverride>
  </w:num>
  <w:num w:numId="44" w16cid:durableId="973490571">
    <w:abstractNumId w:val="8"/>
  </w:num>
  <w:num w:numId="45" w16cid:durableId="2034306062">
    <w:abstractNumId w:val="24"/>
  </w:num>
  <w:num w:numId="46" w16cid:durableId="1862696741">
    <w:abstractNumId w:val="31"/>
  </w:num>
  <w:num w:numId="47" w16cid:durableId="1125658378">
    <w:abstractNumId w:val="8"/>
    <w:lvlOverride w:ilvl="0">
      <w:startOverride w:val="1"/>
    </w:lvlOverride>
  </w:num>
  <w:num w:numId="48" w16cid:durableId="401290864">
    <w:abstractNumId w:val="24"/>
    <w:lvlOverride w:ilvl="0">
      <w:startOverride w:val="1"/>
    </w:lvlOverride>
  </w:num>
  <w:num w:numId="49" w16cid:durableId="1770436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151754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972423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60169373">
    <w:abstractNumId w:val="8"/>
    <w:lvlOverride w:ilvl="0">
      <w:startOverride w:val="1"/>
    </w:lvlOverride>
  </w:num>
  <w:num w:numId="53" w16cid:durableId="916594035">
    <w:abstractNumId w:val="8"/>
    <w:lvlOverride w:ilvl="0">
      <w:startOverride w:val="1"/>
    </w:lvlOverride>
  </w:num>
  <w:num w:numId="54" w16cid:durableId="272057329">
    <w:abstractNumId w:val="19"/>
  </w:num>
  <w:num w:numId="55" w16cid:durableId="1867518133">
    <w:abstractNumId w:val="13"/>
  </w:num>
  <w:num w:numId="56" w16cid:durableId="259218569">
    <w:abstractNumId w:val="16"/>
  </w:num>
  <w:num w:numId="57" w16cid:durableId="109669117">
    <w:abstractNumId w:val="28"/>
  </w:num>
  <w:num w:numId="58" w16cid:durableId="1244754207">
    <w:abstractNumId w:val="40"/>
  </w:num>
  <w:num w:numId="59" w16cid:durableId="1963657274">
    <w:abstractNumId w:val="3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 Goodall">
    <w15:presenceInfo w15:providerId="AD" w15:userId="S::jon.goodall@dlpconsultants.co.uk::3dde0d59-cb53-4aae-86ae-65a650328c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09C"/>
    <w:rsid w:val="00002450"/>
    <w:rsid w:val="0000299B"/>
    <w:rsid w:val="00002AE9"/>
    <w:rsid w:val="00002C5C"/>
    <w:rsid w:val="000038C7"/>
    <w:rsid w:val="00004936"/>
    <w:rsid w:val="00005BD6"/>
    <w:rsid w:val="00007624"/>
    <w:rsid w:val="00010DCA"/>
    <w:rsid w:val="00012A36"/>
    <w:rsid w:val="00013EAB"/>
    <w:rsid w:val="0001478D"/>
    <w:rsid w:val="00020372"/>
    <w:rsid w:val="00023AF0"/>
    <w:rsid w:val="00025524"/>
    <w:rsid w:val="00026F42"/>
    <w:rsid w:val="00027383"/>
    <w:rsid w:val="00027C0E"/>
    <w:rsid w:val="00027C18"/>
    <w:rsid w:val="0003329E"/>
    <w:rsid w:val="00035C66"/>
    <w:rsid w:val="00035D82"/>
    <w:rsid w:val="0003610B"/>
    <w:rsid w:val="00037413"/>
    <w:rsid w:val="00040768"/>
    <w:rsid w:val="000428B4"/>
    <w:rsid w:val="00042BC3"/>
    <w:rsid w:val="00042DBF"/>
    <w:rsid w:val="00042F95"/>
    <w:rsid w:val="0004385D"/>
    <w:rsid w:val="00046757"/>
    <w:rsid w:val="000511F8"/>
    <w:rsid w:val="000529BF"/>
    <w:rsid w:val="00053199"/>
    <w:rsid w:val="000531BA"/>
    <w:rsid w:val="00054505"/>
    <w:rsid w:val="0005482E"/>
    <w:rsid w:val="000557BB"/>
    <w:rsid w:val="00055AD5"/>
    <w:rsid w:val="00055F65"/>
    <w:rsid w:val="00060637"/>
    <w:rsid w:val="00061BC4"/>
    <w:rsid w:val="00061F9D"/>
    <w:rsid w:val="000635F2"/>
    <w:rsid w:val="000705F8"/>
    <w:rsid w:val="00071185"/>
    <w:rsid w:val="00073236"/>
    <w:rsid w:val="000736BB"/>
    <w:rsid w:val="00074410"/>
    <w:rsid w:val="00076809"/>
    <w:rsid w:val="000809E2"/>
    <w:rsid w:val="000829CA"/>
    <w:rsid w:val="000845B9"/>
    <w:rsid w:val="00087AF5"/>
    <w:rsid w:val="000904FF"/>
    <w:rsid w:val="00090F48"/>
    <w:rsid w:val="00091232"/>
    <w:rsid w:val="00092973"/>
    <w:rsid w:val="00093335"/>
    <w:rsid w:val="00093A7C"/>
    <w:rsid w:val="00093B54"/>
    <w:rsid w:val="00095202"/>
    <w:rsid w:val="000967A7"/>
    <w:rsid w:val="00096F5D"/>
    <w:rsid w:val="000A0C70"/>
    <w:rsid w:val="000A1150"/>
    <w:rsid w:val="000A1F54"/>
    <w:rsid w:val="000A2057"/>
    <w:rsid w:val="000A658F"/>
    <w:rsid w:val="000A66F5"/>
    <w:rsid w:val="000A70F3"/>
    <w:rsid w:val="000A7953"/>
    <w:rsid w:val="000A7B5E"/>
    <w:rsid w:val="000B0ABC"/>
    <w:rsid w:val="000B0E1D"/>
    <w:rsid w:val="000B1A58"/>
    <w:rsid w:val="000B1E24"/>
    <w:rsid w:val="000B1E86"/>
    <w:rsid w:val="000B3154"/>
    <w:rsid w:val="000B3A61"/>
    <w:rsid w:val="000B5E18"/>
    <w:rsid w:val="000C01C9"/>
    <w:rsid w:val="000C402B"/>
    <w:rsid w:val="000C46D0"/>
    <w:rsid w:val="000C7252"/>
    <w:rsid w:val="000C7A1F"/>
    <w:rsid w:val="000D067F"/>
    <w:rsid w:val="000D1552"/>
    <w:rsid w:val="000D19C8"/>
    <w:rsid w:val="000D2002"/>
    <w:rsid w:val="000D2537"/>
    <w:rsid w:val="000D2ABA"/>
    <w:rsid w:val="000D3868"/>
    <w:rsid w:val="000D49C1"/>
    <w:rsid w:val="000D4C3B"/>
    <w:rsid w:val="000D5373"/>
    <w:rsid w:val="000D5949"/>
    <w:rsid w:val="000D6763"/>
    <w:rsid w:val="000D71EA"/>
    <w:rsid w:val="000E00E0"/>
    <w:rsid w:val="000E01F2"/>
    <w:rsid w:val="000E0A6B"/>
    <w:rsid w:val="000E1140"/>
    <w:rsid w:val="000E1853"/>
    <w:rsid w:val="000E2EF9"/>
    <w:rsid w:val="000E5E0C"/>
    <w:rsid w:val="000E623D"/>
    <w:rsid w:val="000F0198"/>
    <w:rsid w:val="000F115D"/>
    <w:rsid w:val="000F2EAB"/>
    <w:rsid w:val="000F4C10"/>
    <w:rsid w:val="000F5779"/>
    <w:rsid w:val="000F64B7"/>
    <w:rsid w:val="00100C63"/>
    <w:rsid w:val="00100DF6"/>
    <w:rsid w:val="0010241E"/>
    <w:rsid w:val="001029AA"/>
    <w:rsid w:val="00103728"/>
    <w:rsid w:val="0010531D"/>
    <w:rsid w:val="00105C49"/>
    <w:rsid w:val="00105E27"/>
    <w:rsid w:val="001060DA"/>
    <w:rsid w:val="00106E31"/>
    <w:rsid w:val="00111BBB"/>
    <w:rsid w:val="001137E3"/>
    <w:rsid w:val="001143F4"/>
    <w:rsid w:val="0011556E"/>
    <w:rsid w:val="0011608D"/>
    <w:rsid w:val="00116E17"/>
    <w:rsid w:val="0011745E"/>
    <w:rsid w:val="0012063D"/>
    <w:rsid w:val="00121FC2"/>
    <w:rsid w:val="00122173"/>
    <w:rsid w:val="0012320E"/>
    <w:rsid w:val="001248F0"/>
    <w:rsid w:val="001254A0"/>
    <w:rsid w:val="001279B5"/>
    <w:rsid w:val="001313AA"/>
    <w:rsid w:val="00132BFF"/>
    <w:rsid w:val="0013474B"/>
    <w:rsid w:val="00135FEF"/>
    <w:rsid w:val="00137242"/>
    <w:rsid w:val="00140510"/>
    <w:rsid w:val="00140FBE"/>
    <w:rsid w:val="00141241"/>
    <w:rsid w:val="00141E02"/>
    <w:rsid w:val="0014251E"/>
    <w:rsid w:val="00144D9A"/>
    <w:rsid w:val="00146988"/>
    <w:rsid w:val="00146F84"/>
    <w:rsid w:val="0014776A"/>
    <w:rsid w:val="00151479"/>
    <w:rsid w:val="00152040"/>
    <w:rsid w:val="00152824"/>
    <w:rsid w:val="00152D84"/>
    <w:rsid w:val="00153CD2"/>
    <w:rsid w:val="001561AA"/>
    <w:rsid w:val="00160824"/>
    <w:rsid w:val="001616AF"/>
    <w:rsid w:val="001616D5"/>
    <w:rsid w:val="001628A4"/>
    <w:rsid w:val="00163FE2"/>
    <w:rsid w:val="00166DB2"/>
    <w:rsid w:val="00170356"/>
    <w:rsid w:val="001707E2"/>
    <w:rsid w:val="00171081"/>
    <w:rsid w:val="0017157C"/>
    <w:rsid w:val="00173D2F"/>
    <w:rsid w:val="001747F7"/>
    <w:rsid w:val="00174B16"/>
    <w:rsid w:val="00175EB3"/>
    <w:rsid w:val="00176E29"/>
    <w:rsid w:val="001773AB"/>
    <w:rsid w:val="001818DB"/>
    <w:rsid w:val="00183DC4"/>
    <w:rsid w:val="00184AE9"/>
    <w:rsid w:val="0018535F"/>
    <w:rsid w:val="0018540F"/>
    <w:rsid w:val="001854D3"/>
    <w:rsid w:val="00190F00"/>
    <w:rsid w:val="00190F1B"/>
    <w:rsid w:val="0019252A"/>
    <w:rsid w:val="001939C6"/>
    <w:rsid w:val="00193FE2"/>
    <w:rsid w:val="00194168"/>
    <w:rsid w:val="00194C8D"/>
    <w:rsid w:val="0019558E"/>
    <w:rsid w:val="00195AD6"/>
    <w:rsid w:val="0019774F"/>
    <w:rsid w:val="00197EF0"/>
    <w:rsid w:val="001A0EC8"/>
    <w:rsid w:val="001A122B"/>
    <w:rsid w:val="001A183E"/>
    <w:rsid w:val="001A1B04"/>
    <w:rsid w:val="001A234D"/>
    <w:rsid w:val="001A31FE"/>
    <w:rsid w:val="001A34A3"/>
    <w:rsid w:val="001A41C1"/>
    <w:rsid w:val="001A441C"/>
    <w:rsid w:val="001A7ED0"/>
    <w:rsid w:val="001B0001"/>
    <w:rsid w:val="001B34E3"/>
    <w:rsid w:val="001B380F"/>
    <w:rsid w:val="001B56E9"/>
    <w:rsid w:val="001B65C0"/>
    <w:rsid w:val="001B6A69"/>
    <w:rsid w:val="001B6C31"/>
    <w:rsid w:val="001B6C8C"/>
    <w:rsid w:val="001B74E7"/>
    <w:rsid w:val="001C0BD1"/>
    <w:rsid w:val="001C4172"/>
    <w:rsid w:val="001C4D69"/>
    <w:rsid w:val="001C6075"/>
    <w:rsid w:val="001C6552"/>
    <w:rsid w:val="001C7681"/>
    <w:rsid w:val="001D24B8"/>
    <w:rsid w:val="001D2F03"/>
    <w:rsid w:val="001D4069"/>
    <w:rsid w:val="001D570E"/>
    <w:rsid w:val="001D61D1"/>
    <w:rsid w:val="001D7154"/>
    <w:rsid w:val="001E06EE"/>
    <w:rsid w:val="001E36B8"/>
    <w:rsid w:val="001E3AC0"/>
    <w:rsid w:val="001E3C1F"/>
    <w:rsid w:val="001E43F2"/>
    <w:rsid w:val="001E606C"/>
    <w:rsid w:val="001E71D0"/>
    <w:rsid w:val="001F14C1"/>
    <w:rsid w:val="001F2308"/>
    <w:rsid w:val="001F4B48"/>
    <w:rsid w:val="001F4B8E"/>
    <w:rsid w:val="001F752F"/>
    <w:rsid w:val="001F78A4"/>
    <w:rsid w:val="00200369"/>
    <w:rsid w:val="002004AA"/>
    <w:rsid w:val="00201446"/>
    <w:rsid w:val="00201CB7"/>
    <w:rsid w:val="00203200"/>
    <w:rsid w:val="00203DC1"/>
    <w:rsid w:val="00204D62"/>
    <w:rsid w:val="00204FA3"/>
    <w:rsid w:val="00206B65"/>
    <w:rsid w:val="002110C5"/>
    <w:rsid w:val="002135FA"/>
    <w:rsid w:val="0021610F"/>
    <w:rsid w:val="0022107E"/>
    <w:rsid w:val="00221108"/>
    <w:rsid w:val="00221559"/>
    <w:rsid w:val="002238EA"/>
    <w:rsid w:val="002240E3"/>
    <w:rsid w:val="00224C35"/>
    <w:rsid w:val="00227391"/>
    <w:rsid w:val="00230A43"/>
    <w:rsid w:val="00231157"/>
    <w:rsid w:val="0023149A"/>
    <w:rsid w:val="00232393"/>
    <w:rsid w:val="0023249A"/>
    <w:rsid w:val="00232D80"/>
    <w:rsid w:val="002348DA"/>
    <w:rsid w:val="002348DC"/>
    <w:rsid w:val="00235180"/>
    <w:rsid w:val="00236136"/>
    <w:rsid w:val="00236AC9"/>
    <w:rsid w:val="002372AF"/>
    <w:rsid w:val="00241009"/>
    <w:rsid w:val="00241B2D"/>
    <w:rsid w:val="002422AF"/>
    <w:rsid w:val="00242368"/>
    <w:rsid w:val="00242DB1"/>
    <w:rsid w:val="002455BA"/>
    <w:rsid w:val="002473EC"/>
    <w:rsid w:val="00251BE8"/>
    <w:rsid w:val="0025382A"/>
    <w:rsid w:val="00253FB6"/>
    <w:rsid w:val="0025420F"/>
    <w:rsid w:val="00255C70"/>
    <w:rsid w:val="00256691"/>
    <w:rsid w:val="00257582"/>
    <w:rsid w:val="0025790F"/>
    <w:rsid w:val="00260D03"/>
    <w:rsid w:val="00261635"/>
    <w:rsid w:val="002621B4"/>
    <w:rsid w:val="002632B0"/>
    <w:rsid w:val="00264D4A"/>
    <w:rsid w:val="00265636"/>
    <w:rsid w:val="00265761"/>
    <w:rsid w:val="00265A68"/>
    <w:rsid w:val="002669DB"/>
    <w:rsid w:val="002704AD"/>
    <w:rsid w:val="00273DFD"/>
    <w:rsid w:val="00276D81"/>
    <w:rsid w:val="0027754B"/>
    <w:rsid w:val="00277637"/>
    <w:rsid w:val="00282AD5"/>
    <w:rsid w:val="00283447"/>
    <w:rsid w:val="002855FA"/>
    <w:rsid w:val="002869B0"/>
    <w:rsid w:val="00286FFF"/>
    <w:rsid w:val="002873EC"/>
    <w:rsid w:val="00287E4E"/>
    <w:rsid w:val="00291CE6"/>
    <w:rsid w:val="002922BD"/>
    <w:rsid w:val="0029334D"/>
    <w:rsid w:val="00293504"/>
    <w:rsid w:val="00293B7C"/>
    <w:rsid w:val="00293B9F"/>
    <w:rsid w:val="0029507B"/>
    <w:rsid w:val="002950E5"/>
    <w:rsid w:val="00296ECC"/>
    <w:rsid w:val="00296FFF"/>
    <w:rsid w:val="002A3724"/>
    <w:rsid w:val="002A5005"/>
    <w:rsid w:val="002A6487"/>
    <w:rsid w:val="002A6ED6"/>
    <w:rsid w:val="002B11C2"/>
    <w:rsid w:val="002B16D6"/>
    <w:rsid w:val="002B3DF9"/>
    <w:rsid w:val="002B6514"/>
    <w:rsid w:val="002B6A45"/>
    <w:rsid w:val="002B6F7D"/>
    <w:rsid w:val="002C2E51"/>
    <w:rsid w:val="002C4E25"/>
    <w:rsid w:val="002C66A2"/>
    <w:rsid w:val="002C7E37"/>
    <w:rsid w:val="002D4702"/>
    <w:rsid w:val="002D53FB"/>
    <w:rsid w:val="002D6961"/>
    <w:rsid w:val="002D696D"/>
    <w:rsid w:val="002E015A"/>
    <w:rsid w:val="002E2462"/>
    <w:rsid w:val="002E314E"/>
    <w:rsid w:val="002E345E"/>
    <w:rsid w:val="002E778D"/>
    <w:rsid w:val="002F0BC4"/>
    <w:rsid w:val="002F1294"/>
    <w:rsid w:val="002F206D"/>
    <w:rsid w:val="002F2AF7"/>
    <w:rsid w:val="002F460A"/>
    <w:rsid w:val="002F5E55"/>
    <w:rsid w:val="002F6AD4"/>
    <w:rsid w:val="003006B1"/>
    <w:rsid w:val="00300C69"/>
    <w:rsid w:val="003068B5"/>
    <w:rsid w:val="0031120C"/>
    <w:rsid w:val="00312460"/>
    <w:rsid w:val="003125FA"/>
    <w:rsid w:val="00312844"/>
    <w:rsid w:val="0031363C"/>
    <w:rsid w:val="00314B4A"/>
    <w:rsid w:val="00314C12"/>
    <w:rsid w:val="00315751"/>
    <w:rsid w:val="00316188"/>
    <w:rsid w:val="003167E1"/>
    <w:rsid w:val="00316BAD"/>
    <w:rsid w:val="00320480"/>
    <w:rsid w:val="00325188"/>
    <w:rsid w:val="00325290"/>
    <w:rsid w:val="00325AB7"/>
    <w:rsid w:val="00325C57"/>
    <w:rsid w:val="003309E2"/>
    <w:rsid w:val="0033131B"/>
    <w:rsid w:val="00331DC5"/>
    <w:rsid w:val="00334522"/>
    <w:rsid w:val="0033452F"/>
    <w:rsid w:val="00340822"/>
    <w:rsid w:val="003412E1"/>
    <w:rsid w:val="00341AA9"/>
    <w:rsid w:val="00344988"/>
    <w:rsid w:val="00345146"/>
    <w:rsid w:val="003458C0"/>
    <w:rsid w:val="00345DB2"/>
    <w:rsid w:val="003470F3"/>
    <w:rsid w:val="00351C88"/>
    <w:rsid w:val="0035488D"/>
    <w:rsid w:val="003553DE"/>
    <w:rsid w:val="003558AC"/>
    <w:rsid w:val="003560BD"/>
    <w:rsid w:val="0035636F"/>
    <w:rsid w:val="00357532"/>
    <w:rsid w:val="00360948"/>
    <w:rsid w:val="00360C93"/>
    <w:rsid w:val="0036160D"/>
    <w:rsid w:val="003645EF"/>
    <w:rsid w:val="00366C1B"/>
    <w:rsid w:val="003715B8"/>
    <w:rsid w:val="003721BB"/>
    <w:rsid w:val="00372596"/>
    <w:rsid w:val="00373DA3"/>
    <w:rsid w:val="00377106"/>
    <w:rsid w:val="003778E1"/>
    <w:rsid w:val="0038130D"/>
    <w:rsid w:val="00381625"/>
    <w:rsid w:val="00381D52"/>
    <w:rsid w:val="00381EC8"/>
    <w:rsid w:val="00383D06"/>
    <w:rsid w:val="0038489A"/>
    <w:rsid w:val="00385367"/>
    <w:rsid w:val="00385DD0"/>
    <w:rsid w:val="00385E33"/>
    <w:rsid w:val="00385E8B"/>
    <w:rsid w:val="00387879"/>
    <w:rsid w:val="0039021B"/>
    <w:rsid w:val="0039053E"/>
    <w:rsid w:val="0039505A"/>
    <w:rsid w:val="00395856"/>
    <w:rsid w:val="00395DB0"/>
    <w:rsid w:val="0039678E"/>
    <w:rsid w:val="00396C45"/>
    <w:rsid w:val="0039726B"/>
    <w:rsid w:val="003A067C"/>
    <w:rsid w:val="003A63BA"/>
    <w:rsid w:val="003B1622"/>
    <w:rsid w:val="003B18AD"/>
    <w:rsid w:val="003B5F0F"/>
    <w:rsid w:val="003B66F7"/>
    <w:rsid w:val="003B6EFE"/>
    <w:rsid w:val="003B7FC8"/>
    <w:rsid w:val="003C0134"/>
    <w:rsid w:val="003C0F49"/>
    <w:rsid w:val="003C0F7A"/>
    <w:rsid w:val="003C1207"/>
    <w:rsid w:val="003C31E0"/>
    <w:rsid w:val="003C39A4"/>
    <w:rsid w:val="003C46EA"/>
    <w:rsid w:val="003C4B93"/>
    <w:rsid w:val="003C512B"/>
    <w:rsid w:val="003C5B5B"/>
    <w:rsid w:val="003D0121"/>
    <w:rsid w:val="003D1E4E"/>
    <w:rsid w:val="003D42A4"/>
    <w:rsid w:val="003D53C6"/>
    <w:rsid w:val="003D579E"/>
    <w:rsid w:val="003D5832"/>
    <w:rsid w:val="003D6077"/>
    <w:rsid w:val="003D651F"/>
    <w:rsid w:val="003D6CE1"/>
    <w:rsid w:val="003E0061"/>
    <w:rsid w:val="003E1DCB"/>
    <w:rsid w:val="003E2E32"/>
    <w:rsid w:val="003E317C"/>
    <w:rsid w:val="003E449B"/>
    <w:rsid w:val="003F21F1"/>
    <w:rsid w:val="003F7263"/>
    <w:rsid w:val="00401D81"/>
    <w:rsid w:val="00402457"/>
    <w:rsid w:val="0040249F"/>
    <w:rsid w:val="004024D4"/>
    <w:rsid w:val="00402F5B"/>
    <w:rsid w:val="00403BBE"/>
    <w:rsid w:val="00405B75"/>
    <w:rsid w:val="004061DF"/>
    <w:rsid w:val="00406A1B"/>
    <w:rsid w:val="004105E3"/>
    <w:rsid w:val="00410887"/>
    <w:rsid w:val="00410CC4"/>
    <w:rsid w:val="004113F6"/>
    <w:rsid w:val="00411403"/>
    <w:rsid w:val="00413121"/>
    <w:rsid w:val="004156DB"/>
    <w:rsid w:val="00415E1C"/>
    <w:rsid w:val="00416334"/>
    <w:rsid w:val="00416F8C"/>
    <w:rsid w:val="004170D4"/>
    <w:rsid w:val="004173C5"/>
    <w:rsid w:val="004229F5"/>
    <w:rsid w:val="00423D20"/>
    <w:rsid w:val="0042615D"/>
    <w:rsid w:val="0042797A"/>
    <w:rsid w:val="00430CE5"/>
    <w:rsid w:val="00432DD8"/>
    <w:rsid w:val="00435399"/>
    <w:rsid w:val="004353AA"/>
    <w:rsid w:val="004403B1"/>
    <w:rsid w:val="00440682"/>
    <w:rsid w:val="00441ED6"/>
    <w:rsid w:val="004422D7"/>
    <w:rsid w:val="00445CDA"/>
    <w:rsid w:val="00446DE8"/>
    <w:rsid w:val="00451313"/>
    <w:rsid w:val="00452BD7"/>
    <w:rsid w:val="00453819"/>
    <w:rsid w:val="00453872"/>
    <w:rsid w:val="004538A6"/>
    <w:rsid w:val="0045492D"/>
    <w:rsid w:val="004628D3"/>
    <w:rsid w:val="0046409C"/>
    <w:rsid w:val="00465C42"/>
    <w:rsid w:val="00466136"/>
    <w:rsid w:val="00466657"/>
    <w:rsid w:val="00467337"/>
    <w:rsid w:val="00470B65"/>
    <w:rsid w:val="00471376"/>
    <w:rsid w:val="004726C7"/>
    <w:rsid w:val="0047308C"/>
    <w:rsid w:val="004749CC"/>
    <w:rsid w:val="00476C50"/>
    <w:rsid w:val="0048074D"/>
    <w:rsid w:val="00480E4F"/>
    <w:rsid w:val="00483A80"/>
    <w:rsid w:val="004849FA"/>
    <w:rsid w:val="00484FA2"/>
    <w:rsid w:val="004859A1"/>
    <w:rsid w:val="00485B94"/>
    <w:rsid w:val="00486907"/>
    <w:rsid w:val="00490249"/>
    <w:rsid w:val="00491976"/>
    <w:rsid w:val="00492207"/>
    <w:rsid w:val="00493327"/>
    <w:rsid w:val="004962CA"/>
    <w:rsid w:val="00496581"/>
    <w:rsid w:val="004A3BDF"/>
    <w:rsid w:val="004A58A5"/>
    <w:rsid w:val="004B2233"/>
    <w:rsid w:val="004B316A"/>
    <w:rsid w:val="004B4FD7"/>
    <w:rsid w:val="004B5A22"/>
    <w:rsid w:val="004C3B6C"/>
    <w:rsid w:val="004C5975"/>
    <w:rsid w:val="004C6211"/>
    <w:rsid w:val="004D18B7"/>
    <w:rsid w:val="004D2B11"/>
    <w:rsid w:val="004D48F2"/>
    <w:rsid w:val="004D4EE5"/>
    <w:rsid w:val="004D5961"/>
    <w:rsid w:val="004D5C4B"/>
    <w:rsid w:val="004D6D07"/>
    <w:rsid w:val="004D7AB9"/>
    <w:rsid w:val="004E04E2"/>
    <w:rsid w:val="004E0EB1"/>
    <w:rsid w:val="004E269C"/>
    <w:rsid w:val="004E2B15"/>
    <w:rsid w:val="004E3E49"/>
    <w:rsid w:val="004E5673"/>
    <w:rsid w:val="004E7048"/>
    <w:rsid w:val="004E7642"/>
    <w:rsid w:val="004E7D2A"/>
    <w:rsid w:val="004F2B4F"/>
    <w:rsid w:val="004F4DB1"/>
    <w:rsid w:val="004F51C4"/>
    <w:rsid w:val="004F5DFC"/>
    <w:rsid w:val="004F62AE"/>
    <w:rsid w:val="004F6967"/>
    <w:rsid w:val="004F73FB"/>
    <w:rsid w:val="004F7E5A"/>
    <w:rsid w:val="00501AB6"/>
    <w:rsid w:val="0050206B"/>
    <w:rsid w:val="00502AB8"/>
    <w:rsid w:val="005049BB"/>
    <w:rsid w:val="005064D3"/>
    <w:rsid w:val="00507C5F"/>
    <w:rsid w:val="00510891"/>
    <w:rsid w:val="00513210"/>
    <w:rsid w:val="005133E9"/>
    <w:rsid w:val="00513D9A"/>
    <w:rsid w:val="00514C15"/>
    <w:rsid w:val="00515E8D"/>
    <w:rsid w:val="005178CE"/>
    <w:rsid w:val="00521AE0"/>
    <w:rsid w:val="00521E17"/>
    <w:rsid w:val="00522330"/>
    <w:rsid w:val="00522C88"/>
    <w:rsid w:val="00524C5B"/>
    <w:rsid w:val="00526C0E"/>
    <w:rsid w:val="0052702E"/>
    <w:rsid w:val="0052780D"/>
    <w:rsid w:val="00527DA7"/>
    <w:rsid w:val="00530C22"/>
    <w:rsid w:val="00530E21"/>
    <w:rsid w:val="0053472E"/>
    <w:rsid w:val="00535498"/>
    <w:rsid w:val="00536A45"/>
    <w:rsid w:val="00537689"/>
    <w:rsid w:val="005377BA"/>
    <w:rsid w:val="005379F0"/>
    <w:rsid w:val="00540C5A"/>
    <w:rsid w:val="00540FBE"/>
    <w:rsid w:val="005414B3"/>
    <w:rsid w:val="005435BE"/>
    <w:rsid w:val="00543D4A"/>
    <w:rsid w:val="005444E4"/>
    <w:rsid w:val="0054478F"/>
    <w:rsid w:val="00545131"/>
    <w:rsid w:val="0055223C"/>
    <w:rsid w:val="00553928"/>
    <w:rsid w:val="00553E71"/>
    <w:rsid w:val="00555872"/>
    <w:rsid w:val="005558DB"/>
    <w:rsid w:val="00556DE9"/>
    <w:rsid w:val="00557613"/>
    <w:rsid w:val="00557C3A"/>
    <w:rsid w:val="00560F55"/>
    <w:rsid w:val="005610F6"/>
    <w:rsid w:val="00562A30"/>
    <w:rsid w:val="00563965"/>
    <w:rsid w:val="00563F08"/>
    <w:rsid w:val="005640E3"/>
    <w:rsid w:val="00564887"/>
    <w:rsid w:val="00564B72"/>
    <w:rsid w:val="0056571E"/>
    <w:rsid w:val="0057140E"/>
    <w:rsid w:val="00571778"/>
    <w:rsid w:val="00572714"/>
    <w:rsid w:val="00575099"/>
    <w:rsid w:val="005773B8"/>
    <w:rsid w:val="00580B8F"/>
    <w:rsid w:val="005820D4"/>
    <w:rsid w:val="00582928"/>
    <w:rsid w:val="00583432"/>
    <w:rsid w:val="00587CE8"/>
    <w:rsid w:val="00592659"/>
    <w:rsid w:val="005947F0"/>
    <w:rsid w:val="00595C71"/>
    <w:rsid w:val="0059633F"/>
    <w:rsid w:val="00597D12"/>
    <w:rsid w:val="005A0423"/>
    <w:rsid w:val="005A0723"/>
    <w:rsid w:val="005A1B03"/>
    <w:rsid w:val="005A3BE8"/>
    <w:rsid w:val="005A64E1"/>
    <w:rsid w:val="005A64E4"/>
    <w:rsid w:val="005B39C0"/>
    <w:rsid w:val="005B44F0"/>
    <w:rsid w:val="005B5293"/>
    <w:rsid w:val="005B6871"/>
    <w:rsid w:val="005C1C72"/>
    <w:rsid w:val="005C2E06"/>
    <w:rsid w:val="005C3CBD"/>
    <w:rsid w:val="005C42E5"/>
    <w:rsid w:val="005C4A67"/>
    <w:rsid w:val="005C50EE"/>
    <w:rsid w:val="005C6CF9"/>
    <w:rsid w:val="005D04DE"/>
    <w:rsid w:val="005D22F0"/>
    <w:rsid w:val="005D6C96"/>
    <w:rsid w:val="005D7508"/>
    <w:rsid w:val="005D7FF7"/>
    <w:rsid w:val="005E06E5"/>
    <w:rsid w:val="005E0E8C"/>
    <w:rsid w:val="005E5E77"/>
    <w:rsid w:val="005F06D8"/>
    <w:rsid w:val="005F0EB7"/>
    <w:rsid w:val="005F10E1"/>
    <w:rsid w:val="005F19F1"/>
    <w:rsid w:val="005F35B3"/>
    <w:rsid w:val="005F4274"/>
    <w:rsid w:val="005F637A"/>
    <w:rsid w:val="005F65E1"/>
    <w:rsid w:val="00601778"/>
    <w:rsid w:val="00602115"/>
    <w:rsid w:val="0060278F"/>
    <w:rsid w:val="006054F4"/>
    <w:rsid w:val="006055F6"/>
    <w:rsid w:val="006062A1"/>
    <w:rsid w:val="00607BB8"/>
    <w:rsid w:val="00612ADA"/>
    <w:rsid w:val="00612FDA"/>
    <w:rsid w:val="00613575"/>
    <w:rsid w:val="006138B3"/>
    <w:rsid w:val="00615041"/>
    <w:rsid w:val="00616C60"/>
    <w:rsid w:val="00617523"/>
    <w:rsid w:val="0062169B"/>
    <w:rsid w:val="0062227D"/>
    <w:rsid w:val="006234B6"/>
    <w:rsid w:val="00623B85"/>
    <w:rsid w:val="006245DF"/>
    <w:rsid w:val="00625065"/>
    <w:rsid w:val="00625A22"/>
    <w:rsid w:val="00626E8A"/>
    <w:rsid w:val="00633F6F"/>
    <w:rsid w:val="006350FC"/>
    <w:rsid w:val="00637F74"/>
    <w:rsid w:val="0064021D"/>
    <w:rsid w:val="006412D2"/>
    <w:rsid w:val="0064580D"/>
    <w:rsid w:val="006476D2"/>
    <w:rsid w:val="00650493"/>
    <w:rsid w:val="006526BF"/>
    <w:rsid w:val="0065316A"/>
    <w:rsid w:val="00653C32"/>
    <w:rsid w:val="00657E19"/>
    <w:rsid w:val="0066407A"/>
    <w:rsid w:val="0066666D"/>
    <w:rsid w:val="00666CFB"/>
    <w:rsid w:val="0066746F"/>
    <w:rsid w:val="006703E9"/>
    <w:rsid w:val="0067174E"/>
    <w:rsid w:val="00671D5F"/>
    <w:rsid w:val="00672F15"/>
    <w:rsid w:val="00674493"/>
    <w:rsid w:val="006756D9"/>
    <w:rsid w:val="00676464"/>
    <w:rsid w:val="0067728E"/>
    <w:rsid w:val="00677ECB"/>
    <w:rsid w:val="006800FA"/>
    <w:rsid w:val="006819A4"/>
    <w:rsid w:val="00682358"/>
    <w:rsid w:val="006824F6"/>
    <w:rsid w:val="00682F6D"/>
    <w:rsid w:val="00683C30"/>
    <w:rsid w:val="00684E6B"/>
    <w:rsid w:val="0068539A"/>
    <w:rsid w:val="006859D0"/>
    <w:rsid w:val="006924DB"/>
    <w:rsid w:val="00692B0A"/>
    <w:rsid w:val="00693F53"/>
    <w:rsid w:val="00694AF3"/>
    <w:rsid w:val="0069661B"/>
    <w:rsid w:val="00697DE0"/>
    <w:rsid w:val="006A039D"/>
    <w:rsid w:val="006A0616"/>
    <w:rsid w:val="006A21DF"/>
    <w:rsid w:val="006A2ADB"/>
    <w:rsid w:val="006A3892"/>
    <w:rsid w:val="006A3E6C"/>
    <w:rsid w:val="006A421E"/>
    <w:rsid w:val="006A59F6"/>
    <w:rsid w:val="006A6E4C"/>
    <w:rsid w:val="006A7B51"/>
    <w:rsid w:val="006B2CFC"/>
    <w:rsid w:val="006B4039"/>
    <w:rsid w:val="006B4092"/>
    <w:rsid w:val="006B72EB"/>
    <w:rsid w:val="006C2A4C"/>
    <w:rsid w:val="006C402E"/>
    <w:rsid w:val="006C542D"/>
    <w:rsid w:val="006C5A48"/>
    <w:rsid w:val="006C65D9"/>
    <w:rsid w:val="006D2A8F"/>
    <w:rsid w:val="006D4007"/>
    <w:rsid w:val="006D576C"/>
    <w:rsid w:val="006D63CF"/>
    <w:rsid w:val="006D72E5"/>
    <w:rsid w:val="006E14B0"/>
    <w:rsid w:val="006E299E"/>
    <w:rsid w:val="006E387D"/>
    <w:rsid w:val="006E3C05"/>
    <w:rsid w:val="006E5660"/>
    <w:rsid w:val="006E56ED"/>
    <w:rsid w:val="006E5C19"/>
    <w:rsid w:val="006E63E0"/>
    <w:rsid w:val="006E6885"/>
    <w:rsid w:val="006F05BB"/>
    <w:rsid w:val="006F0AB8"/>
    <w:rsid w:val="006F0AFF"/>
    <w:rsid w:val="006F166A"/>
    <w:rsid w:val="006F1E80"/>
    <w:rsid w:val="006F28DA"/>
    <w:rsid w:val="006F3507"/>
    <w:rsid w:val="006F39CE"/>
    <w:rsid w:val="006F3C01"/>
    <w:rsid w:val="006F5656"/>
    <w:rsid w:val="006F6AAF"/>
    <w:rsid w:val="006F7115"/>
    <w:rsid w:val="00700425"/>
    <w:rsid w:val="00700C89"/>
    <w:rsid w:val="0070197E"/>
    <w:rsid w:val="00702E44"/>
    <w:rsid w:val="00703319"/>
    <w:rsid w:val="00703829"/>
    <w:rsid w:val="00704265"/>
    <w:rsid w:val="00705350"/>
    <w:rsid w:val="007055F2"/>
    <w:rsid w:val="00707C69"/>
    <w:rsid w:val="00710159"/>
    <w:rsid w:val="007105BB"/>
    <w:rsid w:val="00710D6B"/>
    <w:rsid w:val="00712F74"/>
    <w:rsid w:val="00713BCA"/>
    <w:rsid w:val="00714BC5"/>
    <w:rsid w:val="00714CDF"/>
    <w:rsid w:val="00716B10"/>
    <w:rsid w:val="00716B5E"/>
    <w:rsid w:val="00717685"/>
    <w:rsid w:val="0071773B"/>
    <w:rsid w:val="00717D93"/>
    <w:rsid w:val="00721597"/>
    <w:rsid w:val="0072197F"/>
    <w:rsid w:val="007222FF"/>
    <w:rsid w:val="007249BB"/>
    <w:rsid w:val="00724F05"/>
    <w:rsid w:val="00725D31"/>
    <w:rsid w:val="00726D4F"/>
    <w:rsid w:val="00727837"/>
    <w:rsid w:val="007307F6"/>
    <w:rsid w:val="007315E8"/>
    <w:rsid w:val="0073210C"/>
    <w:rsid w:val="00732E92"/>
    <w:rsid w:val="007331E4"/>
    <w:rsid w:val="0073688F"/>
    <w:rsid w:val="00736C77"/>
    <w:rsid w:val="00741351"/>
    <w:rsid w:val="0074302F"/>
    <w:rsid w:val="007431F4"/>
    <w:rsid w:val="007439D8"/>
    <w:rsid w:val="00744C14"/>
    <w:rsid w:val="00745A01"/>
    <w:rsid w:val="00745C78"/>
    <w:rsid w:val="007472DF"/>
    <w:rsid w:val="00753E0D"/>
    <w:rsid w:val="007562D2"/>
    <w:rsid w:val="00757355"/>
    <w:rsid w:val="00757576"/>
    <w:rsid w:val="007600FA"/>
    <w:rsid w:val="007603AB"/>
    <w:rsid w:val="00761779"/>
    <w:rsid w:val="00762E70"/>
    <w:rsid w:val="00766153"/>
    <w:rsid w:val="00770AC6"/>
    <w:rsid w:val="007715F5"/>
    <w:rsid w:val="00772DC1"/>
    <w:rsid w:val="0077343A"/>
    <w:rsid w:val="007747B0"/>
    <w:rsid w:val="00775A77"/>
    <w:rsid w:val="00776D45"/>
    <w:rsid w:val="00777351"/>
    <w:rsid w:val="00780B26"/>
    <w:rsid w:val="00781EFA"/>
    <w:rsid w:val="00781F5F"/>
    <w:rsid w:val="00782BF7"/>
    <w:rsid w:val="00785076"/>
    <w:rsid w:val="00785846"/>
    <w:rsid w:val="00786359"/>
    <w:rsid w:val="00786605"/>
    <w:rsid w:val="00786A62"/>
    <w:rsid w:val="00787CCC"/>
    <w:rsid w:val="00791313"/>
    <w:rsid w:val="00792D8F"/>
    <w:rsid w:val="00794968"/>
    <w:rsid w:val="00794BBD"/>
    <w:rsid w:val="00795047"/>
    <w:rsid w:val="00796A33"/>
    <w:rsid w:val="00796A4B"/>
    <w:rsid w:val="00797CEC"/>
    <w:rsid w:val="007A3DAA"/>
    <w:rsid w:val="007A5BBA"/>
    <w:rsid w:val="007A5BFB"/>
    <w:rsid w:val="007B1E61"/>
    <w:rsid w:val="007B20B3"/>
    <w:rsid w:val="007B3E5E"/>
    <w:rsid w:val="007B4062"/>
    <w:rsid w:val="007B4B18"/>
    <w:rsid w:val="007B5C96"/>
    <w:rsid w:val="007B7A59"/>
    <w:rsid w:val="007C0CE2"/>
    <w:rsid w:val="007C1838"/>
    <w:rsid w:val="007C1922"/>
    <w:rsid w:val="007C2DA1"/>
    <w:rsid w:val="007C3E0E"/>
    <w:rsid w:val="007C4857"/>
    <w:rsid w:val="007C5029"/>
    <w:rsid w:val="007C5B06"/>
    <w:rsid w:val="007C6101"/>
    <w:rsid w:val="007C6652"/>
    <w:rsid w:val="007C6800"/>
    <w:rsid w:val="007C7348"/>
    <w:rsid w:val="007D071F"/>
    <w:rsid w:val="007D0C25"/>
    <w:rsid w:val="007D23AD"/>
    <w:rsid w:val="007D4D50"/>
    <w:rsid w:val="007E0606"/>
    <w:rsid w:val="007E104F"/>
    <w:rsid w:val="007E17B5"/>
    <w:rsid w:val="007E2E08"/>
    <w:rsid w:val="007E6EEC"/>
    <w:rsid w:val="007F1168"/>
    <w:rsid w:val="007F1C7A"/>
    <w:rsid w:val="007F4105"/>
    <w:rsid w:val="007F4B03"/>
    <w:rsid w:val="007F4DC0"/>
    <w:rsid w:val="007F5814"/>
    <w:rsid w:val="007F592B"/>
    <w:rsid w:val="007F6AE0"/>
    <w:rsid w:val="008012D6"/>
    <w:rsid w:val="00802A9A"/>
    <w:rsid w:val="008030DB"/>
    <w:rsid w:val="008046B5"/>
    <w:rsid w:val="00805071"/>
    <w:rsid w:val="008050B0"/>
    <w:rsid w:val="00805732"/>
    <w:rsid w:val="00805BA6"/>
    <w:rsid w:val="0080768A"/>
    <w:rsid w:val="00807B35"/>
    <w:rsid w:val="0081091E"/>
    <w:rsid w:val="00811194"/>
    <w:rsid w:val="00811838"/>
    <w:rsid w:val="0081184F"/>
    <w:rsid w:val="0081247C"/>
    <w:rsid w:val="00812A01"/>
    <w:rsid w:val="0081334F"/>
    <w:rsid w:val="00814564"/>
    <w:rsid w:val="00814DF0"/>
    <w:rsid w:val="0081518E"/>
    <w:rsid w:val="00815BE6"/>
    <w:rsid w:val="00816D4D"/>
    <w:rsid w:val="00820422"/>
    <w:rsid w:val="00821972"/>
    <w:rsid w:val="00822925"/>
    <w:rsid w:val="00822CD4"/>
    <w:rsid w:val="00822D26"/>
    <w:rsid w:val="00825334"/>
    <w:rsid w:val="00825769"/>
    <w:rsid w:val="00826071"/>
    <w:rsid w:val="00830E55"/>
    <w:rsid w:val="00831E39"/>
    <w:rsid w:val="00832FF1"/>
    <w:rsid w:val="008338F7"/>
    <w:rsid w:val="00833E0C"/>
    <w:rsid w:val="008352F7"/>
    <w:rsid w:val="0083531A"/>
    <w:rsid w:val="00835AD7"/>
    <w:rsid w:val="00835BE6"/>
    <w:rsid w:val="008375CF"/>
    <w:rsid w:val="00840DC9"/>
    <w:rsid w:val="008410E0"/>
    <w:rsid w:val="00842B52"/>
    <w:rsid w:val="00846F03"/>
    <w:rsid w:val="00847373"/>
    <w:rsid w:val="00847BE8"/>
    <w:rsid w:val="008523AA"/>
    <w:rsid w:val="00853906"/>
    <w:rsid w:val="0085420E"/>
    <w:rsid w:val="00854B0D"/>
    <w:rsid w:val="0085543F"/>
    <w:rsid w:val="008556EC"/>
    <w:rsid w:val="008566E0"/>
    <w:rsid w:val="00860733"/>
    <w:rsid w:val="00861594"/>
    <w:rsid w:val="008619A7"/>
    <w:rsid w:val="00861A2D"/>
    <w:rsid w:val="00863A62"/>
    <w:rsid w:val="008643B0"/>
    <w:rsid w:val="008649DC"/>
    <w:rsid w:val="00865333"/>
    <w:rsid w:val="008702CC"/>
    <w:rsid w:val="008702F3"/>
    <w:rsid w:val="00871087"/>
    <w:rsid w:val="00876DC4"/>
    <w:rsid w:val="0088256C"/>
    <w:rsid w:val="00882C60"/>
    <w:rsid w:val="00882C78"/>
    <w:rsid w:val="00884000"/>
    <w:rsid w:val="00884838"/>
    <w:rsid w:val="008849E6"/>
    <w:rsid w:val="00884EC2"/>
    <w:rsid w:val="008851B3"/>
    <w:rsid w:val="008863FB"/>
    <w:rsid w:val="0088706F"/>
    <w:rsid w:val="008917DF"/>
    <w:rsid w:val="00895877"/>
    <w:rsid w:val="00897209"/>
    <w:rsid w:val="008A009C"/>
    <w:rsid w:val="008A11BA"/>
    <w:rsid w:val="008A1963"/>
    <w:rsid w:val="008A555E"/>
    <w:rsid w:val="008A58B9"/>
    <w:rsid w:val="008A601A"/>
    <w:rsid w:val="008B035F"/>
    <w:rsid w:val="008B269F"/>
    <w:rsid w:val="008B3B81"/>
    <w:rsid w:val="008B5F41"/>
    <w:rsid w:val="008C0E8C"/>
    <w:rsid w:val="008C2B93"/>
    <w:rsid w:val="008C3EFD"/>
    <w:rsid w:val="008C56D0"/>
    <w:rsid w:val="008D1212"/>
    <w:rsid w:val="008D2256"/>
    <w:rsid w:val="008D3232"/>
    <w:rsid w:val="008D7188"/>
    <w:rsid w:val="008D7D11"/>
    <w:rsid w:val="008D7E74"/>
    <w:rsid w:val="008E01DC"/>
    <w:rsid w:val="008E15E6"/>
    <w:rsid w:val="008E25D2"/>
    <w:rsid w:val="008E53F0"/>
    <w:rsid w:val="008E5503"/>
    <w:rsid w:val="008E5F44"/>
    <w:rsid w:val="008E7399"/>
    <w:rsid w:val="008F015A"/>
    <w:rsid w:val="008F049F"/>
    <w:rsid w:val="008F1114"/>
    <w:rsid w:val="008F3BA4"/>
    <w:rsid w:val="008F3CC9"/>
    <w:rsid w:val="008F3EC6"/>
    <w:rsid w:val="008F730C"/>
    <w:rsid w:val="00900278"/>
    <w:rsid w:val="00901DB0"/>
    <w:rsid w:val="0090251B"/>
    <w:rsid w:val="009026E9"/>
    <w:rsid w:val="00902737"/>
    <w:rsid w:val="00907731"/>
    <w:rsid w:val="00907C2C"/>
    <w:rsid w:val="00910A90"/>
    <w:rsid w:val="009119FA"/>
    <w:rsid w:val="00911BA6"/>
    <w:rsid w:val="00912635"/>
    <w:rsid w:val="00915126"/>
    <w:rsid w:val="00916064"/>
    <w:rsid w:val="00917DE9"/>
    <w:rsid w:val="0092064F"/>
    <w:rsid w:val="00921430"/>
    <w:rsid w:val="00922903"/>
    <w:rsid w:val="00922FCD"/>
    <w:rsid w:val="00925110"/>
    <w:rsid w:val="00925294"/>
    <w:rsid w:val="009266A0"/>
    <w:rsid w:val="00926969"/>
    <w:rsid w:val="009278A2"/>
    <w:rsid w:val="0092797F"/>
    <w:rsid w:val="00930A55"/>
    <w:rsid w:val="00931A69"/>
    <w:rsid w:val="00932717"/>
    <w:rsid w:val="00933040"/>
    <w:rsid w:val="0093467C"/>
    <w:rsid w:val="00936C2A"/>
    <w:rsid w:val="00937BFE"/>
    <w:rsid w:val="0094166F"/>
    <w:rsid w:val="00942DDC"/>
    <w:rsid w:val="00943080"/>
    <w:rsid w:val="00947AA9"/>
    <w:rsid w:val="00947DD5"/>
    <w:rsid w:val="00947E64"/>
    <w:rsid w:val="009529E3"/>
    <w:rsid w:val="00953E1F"/>
    <w:rsid w:val="00955EA5"/>
    <w:rsid w:val="00956C72"/>
    <w:rsid w:val="00957810"/>
    <w:rsid w:val="00960E03"/>
    <w:rsid w:val="00962DEF"/>
    <w:rsid w:val="0096447E"/>
    <w:rsid w:val="00964903"/>
    <w:rsid w:val="009655F7"/>
    <w:rsid w:val="009661DD"/>
    <w:rsid w:val="00970A61"/>
    <w:rsid w:val="00976470"/>
    <w:rsid w:val="009766F5"/>
    <w:rsid w:val="009772C7"/>
    <w:rsid w:val="00977DB1"/>
    <w:rsid w:val="009809AC"/>
    <w:rsid w:val="00980E12"/>
    <w:rsid w:val="00981B19"/>
    <w:rsid w:val="009833FE"/>
    <w:rsid w:val="009843E7"/>
    <w:rsid w:val="0098476B"/>
    <w:rsid w:val="00986C59"/>
    <w:rsid w:val="00987A96"/>
    <w:rsid w:val="00990016"/>
    <w:rsid w:val="0099096B"/>
    <w:rsid w:val="00992103"/>
    <w:rsid w:val="009923C4"/>
    <w:rsid w:val="00994DFA"/>
    <w:rsid w:val="00995064"/>
    <w:rsid w:val="0099568F"/>
    <w:rsid w:val="00996905"/>
    <w:rsid w:val="009A229D"/>
    <w:rsid w:val="009A2AAD"/>
    <w:rsid w:val="009A501C"/>
    <w:rsid w:val="009A5FC8"/>
    <w:rsid w:val="009A6458"/>
    <w:rsid w:val="009B1B26"/>
    <w:rsid w:val="009B1DB9"/>
    <w:rsid w:val="009B2999"/>
    <w:rsid w:val="009B35E5"/>
    <w:rsid w:val="009B4101"/>
    <w:rsid w:val="009B5386"/>
    <w:rsid w:val="009B5D6A"/>
    <w:rsid w:val="009B6487"/>
    <w:rsid w:val="009B6D49"/>
    <w:rsid w:val="009B6ED5"/>
    <w:rsid w:val="009B7E08"/>
    <w:rsid w:val="009C0AA8"/>
    <w:rsid w:val="009C2FE1"/>
    <w:rsid w:val="009C4080"/>
    <w:rsid w:val="009C4D3E"/>
    <w:rsid w:val="009C5E2B"/>
    <w:rsid w:val="009C68CC"/>
    <w:rsid w:val="009C750E"/>
    <w:rsid w:val="009C7991"/>
    <w:rsid w:val="009D009B"/>
    <w:rsid w:val="009D03FE"/>
    <w:rsid w:val="009D22BD"/>
    <w:rsid w:val="009D6388"/>
    <w:rsid w:val="009E0A22"/>
    <w:rsid w:val="009E0CB1"/>
    <w:rsid w:val="009E2854"/>
    <w:rsid w:val="009E322D"/>
    <w:rsid w:val="009E511E"/>
    <w:rsid w:val="009E51D4"/>
    <w:rsid w:val="009E53E9"/>
    <w:rsid w:val="009E58E6"/>
    <w:rsid w:val="009E6B22"/>
    <w:rsid w:val="009E77A7"/>
    <w:rsid w:val="009F338D"/>
    <w:rsid w:val="009F59C5"/>
    <w:rsid w:val="009F64B5"/>
    <w:rsid w:val="00A01CD8"/>
    <w:rsid w:val="00A027E0"/>
    <w:rsid w:val="00A02BB3"/>
    <w:rsid w:val="00A04FAB"/>
    <w:rsid w:val="00A053D9"/>
    <w:rsid w:val="00A064A0"/>
    <w:rsid w:val="00A069AD"/>
    <w:rsid w:val="00A11DBE"/>
    <w:rsid w:val="00A127A0"/>
    <w:rsid w:val="00A12D65"/>
    <w:rsid w:val="00A12FF5"/>
    <w:rsid w:val="00A146EA"/>
    <w:rsid w:val="00A148B6"/>
    <w:rsid w:val="00A171C6"/>
    <w:rsid w:val="00A215BC"/>
    <w:rsid w:val="00A21A7B"/>
    <w:rsid w:val="00A24745"/>
    <w:rsid w:val="00A24AC2"/>
    <w:rsid w:val="00A26605"/>
    <w:rsid w:val="00A27639"/>
    <w:rsid w:val="00A27A1A"/>
    <w:rsid w:val="00A316F5"/>
    <w:rsid w:val="00A31DB0"/>
    <w:rsid w:val="00A34706"/>
    <w:rsid w:val="00A349B2"/>
    <w:rsid w:val="00A352D9"/>
    <w:rsid w:val="00A35E75"/>
    <w:rsid w:val="00A367C6"/>
    <w:rsid w:val="00A36C35"/>
    <w:rsid w:val="00A37903"/>
    <w:rsid w:val="00A41117"/>
    <w:rsid w:val="00A417AF"/>
    <w:rsid w:val="00A42E06"/>
    <w:rsid w:val="00A432F6"/>
    <w:rsid w:val="00A43388"/>
    <w:rsid w:val="00A44BD1"/>
    <w:rsid w:val="00A45C9C"/>
    <w:rsid w:val="00A4649B"/>
    <w:rsid w:val="00A46DCB"/>
    <w:rsid w:val="00A5560C"/>
    <w:rsid w:val="00A55AAF"/>
    <w:rsid w:val="00A56E77"/>
    <w:rsid w:val="00A6306C"/>
    <w:rsid w:val="00A63ED9"/>
    <w:rsid w:val="00A652F5"/>
    <w:rsid w:val="00A7008B"/>
    <w:rsid w:val="00A7012A"/>
    <w:rsid w:val="00A70FCC"/>
    <w:rsid w:val="00A721A9"/>
    <w:rsid w:val="00A742C6"/>
    <w:rsid w:val="00A7431F"/>
    <w:rsid w:val="00A7460B"/>
    <w:rsid w:val="00A75BEA"/>
    <w:rsid w:val="00A767FA"/>
    <w:rsid w:val="00A76ACC"/>
    <w:rsid w:val="00A76C47"/>
    <w:rsid w:val="00A77A70"/>
    <w:rsid w:val="00A77C9E"/>
    <w:rsid w:val="00A80340"/>
    <w:rsid w:val="00A83176"/>
    <w:rsid w:val="00A84CA9"/>
    <w:rsid w:val="00A86813"/>
    <w:rsid w:val="00A86C5A"/>
    <w:rsid w:val="00A87498"/>
    <w:rsid w:val="00A9030E"/>
    <w:rsid w:val="00A92B15"/>
    <w:rsid w:val="00A93346"/>
    <w:rsid w:val="00A978E1"/>
    <w:rsid w:val="00AA026B"/>
    <w:rsid w:val="00AA0778"/>
    <w:rsid w:val="00AA0A43"/>
    <w:rsid w:val="00AA3196"/>
    <w:rsid w:val="00AA6442"/>
    <w:rsid w:val="00AA768D"/>
    <w:rsid w:val="00AA76E5"/>
    <w:rsid w:val="00AB160E"/>
    <w:rsid w:val="00AB1C30"/>
    <w:rsid w:val="00AB1D8E"/>
    <w:rsid w:val="00AB2C25"/>
    <w:rsid w:val="00AB33FD"/>
    <w:rsid w:val="00AB3707"/>
    <w:rsid w:val="00AB43CF"/>
    <w:rsid w:val="00AB4E4E"/>
    <w:rsid w:val="00AB734C"/>
    <w:rsid w:val="00AC0576"/>
    <w:rsid w:val="00AC078B"/>
    <w:rsid w:val="00AC094C"/>
    <w:rsid w:val="00AC180F"/>
    <w:rsid w:val="00AC1BE2"/>
    <w:rsid w:val="00AC28D3"/>
    <w:rsid w:val="00AC435E"/>
    <w:rsid w:val="00AC7E0C"/>
    <w:rsid w:val="00AD121E"/>
    <w:rsid w:val="00AD1C99"/>
    <w:rsid w:val="00AD1CBF"/>
    <w:rsid w:val="00AD39FD"/>
    <w:rsid w:val="00AD435C"/>
    <w:rsid w:val="00AD6E00"/>
    <w:rsid w:val="00AD71E0"/>
    <w:rsid w:val="00AD7376"/>
    <w:rsid w:val="00AE0092"/>
    <w:rsid w:val="00AE24AF"/>
    <w:rsid w:val="00AE5614"/>
    <w:rsid w:val="00AE62FC"/>
    <w:rsid w:val="00AE78C8"/>
    <w:rsid w:val="00AF187E"/>
    <w:rsid w:val="00AF18E6"/>
    <w:rsid w:val="00AF4F5C"/>
    <w:rsid w:val="00AF6314"/>
    <w:rsid w:val="00B00071"/>
    <w:rsid w:val="00B00292"/>
    <w:rsid w:val="00B01D04"/>
    <w:rsid w:val="00B01F98"/>
    <w:rsid w:val="00B02539"/>
    <w:rsid w:val="00B031DF"/>
    <w:rsid w:val="00B04468"/>
    <w:rsid w:val="00B06067"/>
    <w:rsid w:val="00B07B8D"/>
    <w:rsid w:val="00B10364"/>
    <w:rsid w:val="00B10B17"/>
    <w:rsid w:val="00B116A5"/>
    <w:rsid w:val="00B117FB"/>
    <w:rsid w:val="00B12174"/>
    <w:rsid w:val="00B12435"/>
    <w:rsid w:val="00B14D00"/>
    <w:rsid w:val="00B1676A"/>
    <w:rsid w:val="00B172E3"/>
    <w:rsid w:val="00B1760F"/>
    <w:rsid w:val="00B2044C"/>
    <w:rsid w:val="00B20533"/>
    <w:rsid w:val="00B207F0"/>
    <w:rsid w:val="00B208C5"/>
    <w:rsid w:val="00B20E78"/>
    <w:rsid w:val="00B21A32"/>
    <w:rsid w:val="00B23026"/>
    <w:rsid w:val="00B23645"/>
    <w:rsid w:val="00B25556"/>
    <w:rsid w:val="00B276D2"/>
    <w:rsid w:val="00B30146"/>
    <w:rsid w:val="00B31E03"/>
    <w:rsid w:val="00B32FC3"/>
    <w:rsid w:val="00B34893"/>
    <w:rsid w:val="00B35AB9"/>
    <w:rsid w:val="00B360FF"/>
    <w:rsid w:val="00B37417"/>
    <w:rsid w:val="00B377D4"/>
    <w:rsid w:val="00B40431"/>
    <w:rsid w:val="00B4321E"/>
    <w:rsid w:val="00B43316"/>
    <w:rsid w:val="00B43EAA"/>
    <w:rsid w:val="00B445E4"/>
    <w:rsid w:val="00B45D55"/>
    <w:rsid w:val="00B47839"/>
    <w:rsid w:val="00B549F7"/>
    <w:rsid w:val="00B5526C"/>
    <w:rsid w:val="00B57305"/>
    <w:rsid w:val="00B61D67"/>
    <w:rsid w:val="00B61E51"/>
    <w:rsid w:val="00B6304E"/>
    <w:rsid w:val="00B63E19"/>
    <w:rsid w:val="00B65316"/>
    <w:rsid w:val="00B66521"/>
    <w:rsid w:val="00B665B1"/>
    <w:rsid w:val="00B67C26"/>
    <w:rsid w:val="00B709C4"/>
    <w:rsid w:val="00B709ED"/>
    <w:rsid w:val="00B72052"/>
    <w:rsid w:val="00B73274"/>
    <w:rsid w:val="00B73A9D"/>
    <w:rsid w:val="00B74810"/>
    <w:rsid w:val="00B74D40"/>
    <w:rsid w:val="00B75584"/>
    <w:rsid w:val="00B75694"/>
    <w:rsid w:val="00B75856"/>
    <w:rsid w:val="00B758F3"/>
    <w:rsid w:val="00B75998"/>
    <w:rsid w:val="00B76247"/>
    <w:rsid w:val="00B767C8"/>
    <w:rsid w:val="00B776ED"/>
    <w:rsid w:val="00B80E3C"/>
    <w:rsid w:val="00B80EA6"/>
    <w:rsid w:val="00B81030"/>
    <w:rsid w:val="00B816A7"/>
    <w:rsid w:val="00B82F1E"/>
    <w:rsid w:val="00B83C37"/>
    <w:rsid w:val="00B8508F"/>
    <w:rsid w:val="00B8615A"/>
    <w:rsid w:val="00B8641B"/>
    <w:rsid w:val="00B87CDA"/>
    <w:rsid w:val="00B9052C"/>
    <w:rsid w:val="00B91643"/>
    <w:rsid w:val="00B937E8"/>
    <w:rsid w:val="00B93DAD"/>
    <w:rsid w:val="00B942A3"/>
    <w:rsid w:val="00B94ECC"/>
    <w:rsid w:val="00B96227"/>
    <w:rsid w:val="00B96A63"/>
    <w:rsid w:val="00BA0A2E"/>
    <w:rsid w:val="00BA0DC4"/>
    <w:rsid w:val="00BA176E"/>
    <w:rsid w:val="00BA1FB3"/>
    <w:rsid w:val="00BA3CFD"/>
    <w:rsid w:val="00BA463C"/>
    <w:rsid w:val="00BA472B"/>
    <w:rsid w:val="00BA4CED"/>
    <w:rsid w:val="00BA5DE5"/>
    <w:rsid w:val="00BA7316"/>
    <w:rsid w:val="00BA748B"/>
    <w:rsid w:val="00BB01F4"/>
    <w:rsid w:val="00BB02CE"/>
    <w:rsid w:val="00BB1204"/>
    <w:rsid w:val="00BB27A9"/>
    <w:rsid w:val="00BB534F"/>
    <w:rsid w:val="00BB76AF"/>
    <w:rsid w:val="00BC10F0"/>
    <w:rsid w:val="00BC133A"/>
    <w:rsid w:val="00BC3DDA"/>
    <w:rsid w:val="00BC41AA"/>
    <w:rsid w:val="00BC5900"/>
    <w:rsid w:val="00BC62D9"/>
    <w:rsid w:val="00BC6A55"/>
    <w:rsid w:val="00BC6A8F"/>
    <w:rsid w:val="00BC7A05"/>
    <w:rsid w:val="00BC7AB7"/>
    <w:rsid w:val="00BD03DA"/>
    <w:rsid w:val="00BD0FE6"/>
    <w:rsid w:val="00BD24C9"/>
    <w:rsid w:val="00BD30D8"/>
    <w:rsid w:val="00BD64AF"/>
    <w:rsid w:val="00BE23C1"/>
    <w:rsid w:val="00BE3F87"/>
    <w:rsid w:val="00BE42F3"/>
    <w:rsid w:val="00BE47F9"/>
    <w:rsid w:val="00BE5488"/>
    <w:rsid w:val="00BE59DE"/>
    <w:rsid w:val="00BE6DD0"/>
    <w:rsid w:val="00BE7E61"/>
    <w:rsid w:val="00BF1F99"/>
    <w:rsid w:val="00BF28D7"/>
    <w:rsid w:val="00BF4554"/>
    <w:rsid w:val="00BF5C10"/>
    <w:rsid w:val="00BF7131"/>
    <w:rsid w:val="00BF720E"/>
    <w:rsid w:val="00C0021D"/>
    <w:rsid w:val="00C02359"/>
    <w:rsid w:val="00C0270C"/>
    <w:rsid w:val="00C0279F"/>
    <w:rsid w:val="00C029DA"/>
    <w:rsid w:val="00C02C05"/>
    <w:rsid w:val="00C10553"/>
    <w:rsid w:val="00C10F47"/>
    <w:rsid w:val="00C11D94"/>
    <w:rsid w:val="00C12C0A"/>
    <w:rsid w:val="00C146BF"/>
    <w:rsid w:val="00C14BE1"/>
    <w:rsid w:val="00C16C8A"/>
    <w:rsid w:val="00C16F77"/>
    <w:rsid w:val="00C20165"/>
    <w:rsid w:val="00C23920"/>
    <w:rsid w:val="00C25075"/>
    <w:rsid w:val="00C25E34"/>
    <w:rsid w:val="00C264ED"/>
    <w:rsid w:val="00C30434"/>
    <w:rsid w:val="00C3373F"/>
    <w:rsid w:val="00C33BD4"/>
    <w:rsid w:val="00C33F19"/>
    <w:rsid w:val="00C363CF"/>
    <w:rsid w:val="00C37017"/>
    <w:rsid w:val="00C40FC3"/>
    <w:rsid w:val="00C41BE1"/>
    <w:rsid w:val="00C41D58"/>
    <w:rsid w:val="00C45E60"/>
    <w:rsid w:val="00C46598"/>
    <w:rsid w:val="00C47A1B"/>
    <w:rsid w:val="00C47C00"/>
    <w:rsid w:val="00C47D21"/>
    <w:rsid w:val="00C5145A"/>
    <w:rsid w:val="00C52B35"/>
    <w:rsid w:val="00C56130"/>
    <w:rsid w:val="00C601EB"/>
    <w:rsid w:val="00C61C28"/>
    <w:rsid w:val="00C61E89"/>
    <w:rsid w:val="00C6274C"/>
    <w:rsid w:val="00C6402B"/>
    <w:rsid w:val="00C654DA"/>
    <w:rsid w:val="00C65D1B"/>
    <w:rsid w:val="00C67613"/>
    <w:rsid w:val="00C678E9"/>
    <w:rsid w:val="00C67D04"/>
    <w:rsid w:val="00C733F9"/>
    <w:rsid w:val="00C73616"/>
    <w:rsid w:val="00C74042"/>
    <w:rsid w:val="00C75252"/>
    <w:rsid w:val="00C76B6A"/>
    <w:rsid w:val="00C77516"/>
    <w:rsid w:val="00C804A1"/>
    <w:rsid w:val="00C81BC8"/>
    <w:rsid w:val="00C85D23"/>
    <w:rsid w:val="00C86AC9"/>
    <w:rsid w:val="00C87D4D"/>
    <w:rsid w:val="00C90BE4"/>
    <w:rsid w:val="00C93DA2"/>
    <w:rsid w:val="00C93F33"/>
    <w:rsid w:val="00C948C4"/>
    <w:rsid w:val="00CA398F"/>
    <w:rsid w:val="00CA4528"/>
    <w:rsid w:val="00CA541C"/>
    <w:rsid w:val="00CA6549"/>
    <w:rsid w:val="00CB134D"/>
    <w:rsid w:val="00CB188F"/>
    <w:rsid w:val="00CB269F"/>
    <w:rsid w:val="00CB2DC5"/>
    <w:rsid w:val="00CB6149"/>
    <w:rsid w:val="00CB776A"/>
    <w:rsid w:val="00CC2776"/>
    <w:rsid w:val="00CC45CA"/>
    <w:rsid w:val="00CC7EF7"/>
    <w:rsid w:val="00CD024D"/>
    <w:rsid w:val="00CD0F32"/>
    <w:rsid w:val="00CD0F53"/>
    <w:rsid w:val="00CD1116"/>
    <w:rsid w:val="00CD269F"/>
    <w:rsid w:val="00CD2A03"/>
    <w:rsid w:val="00CD2C27"/>
    <w:rsid w:val="00CD3509"/>
    <w:rsid w:val="00CD3A74"/>
    <w:rsid w:val="00CD4777"/>
    <w:rsid w:val="00CD5A26"/>
    <w:rsid w:val="00CD5FC2"/>
    <w:rsid w:val="00CD7A72"/>
    <w:rsid w:val="00CE0C36"/>
    <w:rsid w:val="00CE20D0"/>
    <w:rsid w:val="00CE26D8"/>
    <w:rsid w:val="00CE4FF0"/>
    <w:rsid w:val="00CF126B"/>
    <w:rsid w:val="00CF5F7C"/>
    <w:rsid w:val="00CF76CA"/>
    <w:rsid w:val="00CF7F41"/>
    <w:rsid w:val="00D000E7"/>
    <w:rsid w:val="00D00579"/>
    <w:rsid w:val="00D00DFE"/>
    <w:rsid w:val="00D019D6"/>
    <w:rsid w:val="00D02EC0"/>
    <w:rsid w:val="00D04513"/>
    <w:rsid w:val="00D05C29"/>
    <w:rsid w:val="00D05C6E"/>
    <w:rsid w:val="00D05EC0"/>
    <w:rsid w:val="00D06613"/>
    <w:rsid w:val="00D07A86"/>
    <w:rsid w:val="00D100AB"/>
    <w:rsid w:val="00D114A3"/>
    <w:rsid w:val="00D114C5"/>
    <w:rsid w:val="00D11686"/>
    <w:rsid w:val="00D158E8"/>
    <w:rsid w:val="00D15A6A"/>
    <w:rsid w:val="00D16EF4"/>
    <w:rsid w:val="00D17130"/>
    <w:rsid w:val="00D208C3"/>
    <w:rsid w:val="00D20EFB"/>
    <w:rsid w:val="00D2203B"/>
    <w:rsid w:val="00D22718"/>
    <w:rsid w:val="00D22FA8"/>
    <w:rsid w:val="00D25731"/>
    <w:rsid w:val="00D25E70"/>
    <w:rsid w:val="00D2699D"/>
    <w:rsid w:val="00D27EC7"/>
    <w:rsid w:val="00D325CB"/>
    <w:rsid w:val="00D330C2"/>
    <w:rsid w:val="00D36F54"/>
    <w:rsid w:val="00D37A9D"/>
    <w:rsid w:val="00D4002C"/>
    <w:rsid w:val="00D420A9"/>
    <w:rsid w:val="00D4317F"/>
    <w:rsid w:val="00D44158"/>
    <w:rsid w:val="00D46550"/>
    <w:rsid w:val="00D46DD1"/>
    <w:rsid w:val="00D47255"/>
    <w:rsid w:val="00D50A13"/>
    <w:rsid w:val="00D50BA8"/>
    <w:rsid w:val="00D533D3"/>
    <w:rsid w:val="00D53F69"/>
    <w:rsid w:val="00D54D82"/>
    <w:rsid w:val="00D550F0"/>
    <w:rsid w:val="00D56626"/>
    <w:rsid w:val="00D6153E"/>
    <w:rsid w:val="00D6179A"/>
    <w:rsid w:val="00D652D4"/>
    <w:rsid w:val="00D658B2"/>
    <w:rsid w:val="00D729DB"/>
    <w:rsid w:val="00D73400"/>
    <w:rsid w:val="00D73E99"/>
    <w:rsid w:val="00D73FD4"/>
    <w:rsid w:val="00D74285"/>
    <w:rsid w:val="00D77BBD"/>
    <w:rsid w:val="00D77ED8"/>
    <w:rsid w:val="00D801A5"/>
    <w:rsid w:val="00D80661"/>
    <w:rsid w:val="00D82D0E"/>
    <w:rsid w:val="00D8512D"/>
    <w:rsid w:val="00D85AB2"/>
    <w:rsid w:val="00D866B3"/>
    <w:rsid w:val="00D8728A"/>
    <w:rsid w:val="00D87DEE"/>
    <w:rsid w:val="00D90083"/>
    <w:rsid w:val="00D90E07"/>
    <w:rsid w:val="00D91501"/>
    <w:rsid w:val="00D91D55"/>
    <w:rsid w:val="00D92F26"/>
    <w:rsid w:val="00D936A9"/>
    <w:rsid w:val="00D9389C"/>
    <w:rsid w:val="00D93A26"/>
    <w:rsid w:val="00D93F30"/>
    <w:rsid w:val="00D946F8"/>
    <w:rsid w:val="00D96838"/>
    <w:rsid w:val="00D96F1D"/>
    <w:rsid w:val="00D97E7F"/>
    <w:rsid w:val="00DA0123"/>
    <w:rsid w:val="00DA25A2"/>
    <w:rsid w:val="00DA2650"/>
    <w:rsid w:val="00DA3DAC"/>
    <w:rsid w:val="00DA4044"/>
    <w:rsid w:val="00DA42D4"/>
    <w:rsid w:val="00DA5A3C"/>
    <w:rsid w:val="00DA78AE"/>
    <w:rsid w:val="00DB011C"/>
    <w:rsid w:val="00DB1F21"/>
    <w:rsid w:val="00DB2EB6"/>
    <w:rsid w:val="00DB3826"/>
    <w:rsid w:val="00DB3A5E"/>
    <w:rsid w:val="00DB4455"/>
    <w:rsid w:val="00DB71D9"/>
    <w:rsid w:val="00DC1E11"/>
    <w:rsid w:val="00DC6063"/>
    <w:rsid w:val="00DC7B8A"/>
    <w:rsid w:val="00DD1402"/>
    <w:rsid w:val="00DD141B"/>
    <w:rsid w:val="00DD1D06"/>
    <w:rsid w:val="00DD3705"/>
    <w:rsid w:val="00DD62D5"/>
    <w:rsid w:val="00DD7390"/>
    <w:rsid w:val="00DD7749"/>
    <w:rsid w:val="00DE085E"/>
    <w:rsid w:val="00DE0A45"/>
    <w:rsid w:val="00DE113F"/>
    <w:rsid w:val="00DE13C4"/>
    <w:rsid w:val="00DE1431"/>
    <w:rsid w:val="00DE14EA"/>
    <w:rsid w:val="00DE2634"/>
    <w:rsid w:val="00DE272C"/>
    <w:rsid w:val="00DE52A2"/>
    <w:rsid w:val="00DE642F"/>
    <w:rsid w:val="00DE674D"/>
    <w:rsid w:val="00DE6B0D"/>
    <w:rsid w:val="00DE77F6"/>
    <w:rsid w:val="00DF05C5"/>
    <w:rsid w:val="00DF0623"/>
    <w:rsid w:val="00DF202A"/>
    <w:rsid w:val="00DF23C7"/>
    <w:rsid w:val="00DF5429"/>
    <w:rsid w:val="00DF5695"/>
    <w:rsid w:val="00DF58D6"/>
    <w:rsid w:val="00DF6DBA"/>
    <w:rsid w:val="00DF78FF"/>
    <w:rsid w:val="00DF7937"/>
    <w:rsid w:val="00DF7B1D"/>
    <w:rsid w:val="00E0089E"/>
    <w:rsid w:val="00E00B78"/>
    <w:rsid w:val="00E010F8"/>
    <w:rsid w:val="00E030F2"/>
    <w:rsid w:val="00E033A5"/>
    <w:rsid w:val="00E036B1"/>
    <w:rsid w:val="00E049F3"/>
    <w:rsid w:val="00E04FCA"/>
    <w:rsid w:val="00E050F0"/>
    <w:rsid w:val="00E05920"/>
    <w:rsid w:val="00E05C81"/>
    <w:rsid w:val="00E06589"/>
    <w:rsid w:val="00E07227"/>
    <w:rsid w:val="00E075D6"/>
    <w:rsid w:val="00E07EB8"/>
    <w:rsid w:val="00E1002A"/>
    <w:rsid w:val="00E1197F"/>
    <w:rsid w:val="00E12C71"/>
    <w:rsid w:val="00E13803"/>
    <w:rsid w:val="00E1538C"/>
    <w:rsid w:val="00E15E27"/>
    <w:rsid w:val="00E16EED"/>
    <w:rsid w:val="00E1738D"/>
    <w:rsid w:val="00E1783C"/>
    <w:rsid w:val="00E20C94"/>
    <w:rsid w:val="00E20CE1"/>
    <w:rsid w:val="00E25EC8"/>
    <w:rsid w:val="00E26EE3"/>
    <w:rsid w:val="00E31CC6"/>
    <w:rsid w:val="00E33B16"/>
    <w:rsid w:val="00E3526D"/>
    <w:rsid w:val="00E352AA"/>
    <w:rsid w:val="00E358B5"/>
    <w:rsid w:val="00E36BD6"/>
    <w:rsid w:val="00E37D80"/>
    <w:rsid w:val="00E37F51"/>
    <w:rsid w:val="00E41E76"/>
    <w:rsid w:val="00E41F25"/>
    <w:rsid w:val="00E422F9"/>
    <w:rsid w:val="00E43B14"/>
    <w:rsid w:val="00E451EB"/>
    <w:rsid w:val="00E45A99"/>
    <w:rsid w:val="00E467B6"/>
    <w:rsid w:val="00E46B32"/>
    <w:rsid w:val="00E47B34"/>
    <w:rsid w:val="00E512AA"/>
    <w:rsid w:val="00E54B60"/>
    <w:rsid w:val="00E55730"/>
    <w:rsid w:val="00E612AC"/>
    <w:rsid w:val="00E61FF7"/>
    <w:rsid w:val="00E62378"/>
    <w:rsid w:val="00E659B6"/>
    <w:rsid w:val="00E6687D"/>
    <w:rsid w:val="00E66C63"/>
    <w:rsid w:val="00E67302"/>
    <w:rsid w:val="00E6765B"/>
    <w:rsid w:val="00E71EE3"/>
    <w:rsid w:val="00E72063"/>
    <w:rsid w:val="00E744B6"/>
    <w:rsid w:val="00E76C42"/>
    <w:rsid w:val="00E82BA2"/>
    <w:rsid w:val="00E83746"/>
    <w:rsid w:val="00E847CD"/>
    <w:rsid w:val="00E84974"/>
    <w:rsid w:val="00E85747"/>
    <w:rsid w:val="00E87831"/>
    <w:rsid w:val="00E9015A"/>
    <w:rsid w:val="00E901C7"/>
    <w:rsid w:val="00E91695"/>
    <w:rsid w:val="00E9269F"/>
    <w:rsid w:val="00E931A6"/>
    <w:rsid w:val="00E94AE1"/>
    <w:rsid w:val="00EA0073"/>
    <w:rsid w:val="00EA17E6"/>
    <w:rsid w:val="00EA1BAA"/>
    <w:rsid w:val="00EA3219"/>
    <w:rsid w:val="00EA5848"/>
    <w:rsid w:val="00EA70E9"/>
    <w:rsid w:val="00EA7113"/>
    <w:rsid w:val="00EA7396"/>
    <w:rsid w:val="00EB0731"/>
    <w:rsid w:val="00EB1154"/>
    <w:rsid w:val="00EB1B63"/>
    <w:rsid w:val="00EB248B"/>
    <w:rsid w:val="00EB36A2"/>
    <w:rsid w:val="00EB4767"/>
    <w:rsid w:val="00EB4994"/>
    <w:rsid w:val="00EB5BDC"/>
    <w:rsid w:val="00EB7014"/>
    <w:rsid w:val="00EB72F2"/>
    <w:rsid w:val="00EC1048"/>
    <w:rsid w:val="00EC1DA3"/>
    <w:rsid w:val="00EC20E4"/>
    <w:rsid w:val="00EC226D"/>
    <w:rsid w:val="00EC3582"/>
    <w:rsid w:val="00EC3BAD"/>
    <w:rsid w:val="00EC51CA"/>
    <w:rsid w:val="00EC6647"/>
    <w:rsid w:val="00ED007F"/>
    <w:rsid w:val="00ED1BB4"/>
    <w:rsid w:val="00ED2A5A"/>
    <w:rsid w:val="00ED2C41"/>
    <w:rsid w:val="00ED2D08"/>
    <w:rsid w:val="00ED326F"/>
    <w:rsid w:val="00ED464C"/>
    <w:rsid w:val="00EE2342"/>
    <w:rsid w:val="00EE24EA"/>
    <w:rsid w:val="00EE30B0"/>
    <w:rsid w:val="00EE5E35"/>
    <w:rsid w:val="00EE6445"/>
    <w:rsid w:val="00EE79F0"/>
    <w:rsid w:val="00EF0C3B"/>
    <w:rsid w:val="00EF4114"/>
    <w:rsid w:val="00EF43AE"/>
    <w:rsid w:val="00EF4A5B"/>
    <w:rsid w:val="00EF78C4"/>
    <w:rsid w:val="00F01B64"/>
    <w:rsid w:val="00F01FC1"/>
    <w:rsid w:val="00F022D3"/>
    <w:rsid w:val="00F02324"/>
    <w:rsid w:val="00F02786"/>
    <w:rsid w:val="00F029E6"/>
    <w:rsid w:val="00F02A51"/>
    <w:rsid w:val="00F02B96"/>
    <w:rsid w:val="00F034DE"/>
    <w:rsid w:val="00F03646"/>
    <w:rsid w:val="00F03FCD"/>
    <w:rsid w:val="00F07587"/>
    <w:rsid w:val="00F122A1"/>
    <w:rsid w:val="00F12BDA"/>
    <w:rsid w:val="00F12FD5"/>
    <w:rsid w:val="00F141F7"/>
    <w:rsid w:val="00F1464C"/>
    <w:rsid w:val="00F14BE9"/>
    <w:rsid w:val="00F17EB3"/>
    <w:rsid w:val="00F218EC"/>
    <w:rsid w:val="00F21BB1"/>
    <w:rsid w:val="00F21C88"/>
    <w:rsid w:val="00F220E6"/>
    <w:rsid w:val="00F2319B"/>
    <w:rsid w:val="00F24017"/>
    <w:rsid w:val="00F24C03"/>
    <w:rsid w:val="00F269EC"/>
    <w:rsid w:val="00F2791E"/>
    <w:rsid w:val="00F27F19"/>
    <w:rsid w:val="00F303C9"/>
    <w:rsid w:val="00F3061D"/>
    <w:rsid w:val="00F30F47"/>
    <w:rsid w:val="00F30FA1"/>
    <w:rsid w:val="00F323A1"/>
    <w:rsid w:val="00F33957"/>
    <w:rsid w:val="00F344F5"/>
    <w:rsid w:val="00F36EC1"/>
    <w:rsid w:val="00F37021"/>
    <w:rsid w:val="00F37A38"/>
    <w:rsid w:val="00F4042C"/>
    <w:rsid w:val="00F421B5"/>
    <w:rsid w:val="00F434B1"/>
    <w:rsid w:val="00F4458B"/>
    <w:rsid w:val="00F45BF6"/>
    <w:rsid w:val="00F464A6"/>
    <w:rsid w:val="00F46782"/>
    <w:rsid w:val="00F46B97"/>
    <w:rsid w:val="00F474C1"/>
    <w:rsid w:val="00F47A97"/>
    <w:rsid w:val="00F50553"/>
    <w:rsid w:val="00F50B1A"/>
    <w:rsid w:val="00F516F2"/>
    <w:rsid w:val="00F51A82"/>
    <w:rsid w:val="00F51B14"/>
    <w:rsid w:val="00F528C6"/>
    <w:rsid w:val="00F551CB"/>
    <w:rsid w:val="00F5557B"/>
    <w:rsid w:val="00F65387"/>
    <w:rsid w:val="00F65EB8"/>
    <w:rsid w:val="00F66712"/>
    <w:rsid w:val="00F677D2"/>
    <w:rsid w:val="00F72347"/>
    <w:rsid w:val="00F73822"/>
    <w:rsid w:val="00F7400E"/>
    <w:rsid w:val="00F744BD"/>
    <w:rsid w:val="00F76F68"/>
    <w:rsid w:val="00F84C50"/>
    <w:rsid w:val="00F86D2F"/>
    <w:rsid w:val="00F873E9"/>
    <w:rsid w:val="00F87663"/>
    <w:rsid w:val="00F87A03"/>
    <w:rsid w:val="00F87C69"/>
    <w:rsid w:val="00F87DAD"/>
    <w:rsid w:val="00F911BF"/>
    <w:rsid w:val="00F91329"/>
    <w:rsid w:val="00F92CD0"/>
    <w:rsid w:val="00F92DD9"/>
    <w:rsid w:val="00F93343"/>
    <w:rsid w:val="00F9489B"/>
    <w:rsid w:val="00FA3AA7"/>
    <w:rsid w:val="00FA60BA"/>
    <w:rsid w:val="00FA7CD4"/>
    <w:rsid w:val="00FB0BF6"/>
    <w:rsid w:val="00FB1F14"/>
    <w:rsid w:val="00FB2027"/>
    <w:rsid w:val="00FB268C"/>
    <w:rsid w:val="00FB2A34"/>
    <w:rsid w:val="00FB2D04"/>
    <w:rsid w:val="00FB4ED1"/>
    <w:rsid w:val="00FB64FC"/>
    <w:rsid w:val="00FB66E7"/>
    <w:rsid w:val="00FB71C9"/>
    <w:rsid w:val="00FB78AB"/>
    <w:rsid w:val="00FB7C10"/>
    <w:rsid w:val="00FC1523"/>
    <w:rsid w:val="00FC1CD4"/>
    <w:rsid w:val="00FC2D90"/>
    <w:rsid w:val="00FC5C67"/>
    <w:rsid w:val="00FD1F68"/>
    <w:rsid w:val="00FD416B"/>
    <w:rsid w:val="00FD49A3"/>
    <w:rsid w:val="00FD4EE4"/>
    <w:rsid w:val="00FD625C"/>
    <w:rsid w:val="00FD73EA"/>
    <w:rsid w:val="00FE05C3"/>
    <w:rsid w:val="00FE0669"/>
    <w:rsid w:val="00FE0D82"/>
    <w:rsid w:val="00FE0E05"/>
    <w:rsid w:val="00FE18ED"/>
    <w:rsid w:val="00FE4053"/>
    <w:rsid w:val="00FE4B8E"/>
    <w:rsid w:val="00FE6968"/>
    <w:rsid w:val="00FE76CF"/>
    <w:rsid w:val="00FF2852"/>
  </w:rsids>
  <m:mathPr>
    <m:mathFont m:val="Cambria Math"/>
    <m:brkBin m:val="before"/>
    <m:brkBinSub m:val="--"/>
    <m:smallFrac m:val="0"/>
    <m:dispDef/>
    <m:lMargin m:val="0"/>
    <m:rMargin m:val="0"/>
    <m:defJc m:val="centerGroup"/>
    <m:wrapIndent m:val="1440"/>
    <m:intLim m:val="subSup"/>
    <m:naryLim m:val="undOvr"/>
  </m:mathPr>
  <w:themeFontLang w:val="en-GB" w:bidi="yi-He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A2B08"/>
  <w15:docId w15:val="{E4C65647-4A9B-49F7-91DC-D755CB29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SPRU Subheadings"/>
    <w:basedOn w:val="Normal"/>
    <w:next w:val="Normal"/>
    <w:link w:val="Heading1Char"/>
    <w:uiPriority w:val="9"/>
    <w:rsid w:val="00B31E03"/>
    <w:pPr>
      <w:widowControl w:val="0"/>
      <w:numPr>
        <w:numId w:val="16"/>
      </w:numPr>
      <w:spacing w:after="60" w:line="360" w:lineRule="auto"/>
      <w:ind w:left="737" w:hanging="737"/>
      <w:jc w:val="both"/>
      <w:outlineLvl w:val="0"/>
    </w:pPr>
    <w:rPr>
      <w:rFonts w:ascii="Arial Bold" w:eastAsiaTheme="majorEastAsia" w:hAnsi="Arial Bold" w:cstheme="majorBidi"/>
      <w:b/>
      <w:szCs w:val="32"/>
    </w:rPr>
  </w:style>
  <w:style w:type="paragraph" w:styleId="Heading2">
    <w:name w:val="heading 2"/>
    <w:aliases w:val="SPRU subsidiary headings,Sub Heading,SPRU i) subsidiary headings"/>
    <w:basedOn w:val="Heading3"/>
    <w:next w:val="Normal"/>
    <w:link w:val="Heading2Char"/>
    <w:unhideWhenUsed/>
    <w:qFormat/>
    <w:rsid w:val="0019774F"/>
    <w:pPr>
      <w:keepNext w:val="0"/>
      <w:keepLines w:val="0"/>
      <w:numPr>
        <w:numId w:val="45"/>
      </w:numPr>
      <w:outlineLvl w:val="1"/>
    </w:pPr>
    <w:rPr>
      <w:rFonts w:ascii="Arial Bold" w:hAnsi="Arial Bold"/>
      <w:b/>
      <w:i w:val="0"/>
      <w:szCs w:val="26"/>
    </w:rPr>
  </w:style>
  <w:style w:type="paragraph" w:styleId="Heading3">
    <w:name w:val="heading 3"/>
    <w:aliases w:val="Heading 3 SPRU"/>
    <w:basedOn w:val="Normal"/>
    <w:next w:val="Normal"/>
    <w:link w:val="Heading3Char"/>
    <w:uiPriority w:val="9"/>
    <w:unhideWhenUsed/>
    <w:rsid w:val="001B380F"/>
    <w:pPr>
      <w:keepNext/>
      <w:keepLines/>
      <w:spacing w:after="120" w:line="240" w:lineRule="auto"/>
      <w:ind w:left="709" w:firstLine="709"/>
      <w:outlineLvl w:val="2"/>
    </w:pPr>
    <w:rPr>
      <w:rFonts w:ascii="Arial" w:eastAsiaTheme="majorEastAsia" w:hAnsi="Arial"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RUStandard">
    <w:name w:val="SPRU Standard"/>
    <w:basedOn w:val="Normal"/>
    <w:link w:val="SPRUStandardChar"/>
    <w:qFormat/>
    <w:rsid w:val="006055F6"/>
    <w:pPr>
      <w:widowControl w:val="0"/>
      <w:spacing w:after="0" w:line="240" w:lineRule="auto"/>
      <w:jc w:val="both"/>
    </w:pPr>
    <w:rPr>
      <w:rFonts w:ascii="Arial" w:hAnsi="Arial" w:cs="Arial"/>
    </w:rPr>
  </w:style>
  <w:style w:type="character" w:customStyle="1" w:styleId="SPRUStandardChar">
    <w:name w:val="SPRU Standard Char"/>
    <w:basedOn w:val="DefaultParagraphFont"/>
    <w:link w:val="SPRUStandard"/>
    <w:rsid w:val="006055F6"/>
    <w:rPr>
      <w:rFonts w:ascii="Arial" w:hAnsi="Arial" w:cs="Arial"/>
    </w:rPr>
  </w:style>
  <w:style w:type="paragraph" w:customStyle="1" w:styleId="SPRU00HEADING">
    <w:name w:val="SPRU 0.0 HEADING"/>
    <w:basedOn w:val="Heading1"/>
    <w:link w:val="SPRU00HEADINGChar"/>
    <w:qFormat/>
    <w:rsid w:val="0019774F"/>
    <w:pPr>
      <w:pageBreakBefore/>
      <w:numPr>
        <w:numId w:val="11"/>
      </w:numPr>
      <w:ind w:left="737" w:hanging="737"/>
    </w:pPr>
    <w:rPr>
      <w:caps/>
      <w:sz w:val="24"/>
    </w:rPr>
  </w:style>
  <w:style w:type="paragraph" w:customStyle="1" w:styleId="SPRUChapterHeadings10">
    <w:name w:val="SPRU Chapter Headings 1.0"/>
    <w:basedOn w:val="Heading1"/>
    <w:link w:val="SPRUChapterHeadings10Char"/>
    <w:qFormat/>
    <w:rsid w:val="001B6C8C"/>
    <w:pPr>
      <w:numPr>
        <w:numId w:val="1"/>
      </w:numPr>
      <w:spacing w:after="120" w:line="240" w:lineRule="auto"/>
      <w:ind w:left="737" w:hanging="737"/>
    </w:pPr>
    <w:rPr>
      <w:caps/>
    </w:rPr>
  </w:style>
  <w:style w:type="character" w:customStyle="1" w:styleId="Heading1Char">
    <w:name w:val="Heading 1 Char"/>
    <w:aliases w:val="SPRU Subheadings Char"/>
    <w:basedOn w:val="DefaultParagraphFont"/>
    <w:link w:val="Heading1"/>
    <w:uiPriority w:val="9"/>
    <w:rsid w:val="00B31E03"/>
    <w:rPr>
      <w:rFonts w:ascii="Arial Bold" w:eastAsiaTheme="majorEastAsia" w:hAnsi="Arial Bold" w:cstheme="majorBidi"/>
      <w:b/>
      <w:szCs w:val="32"/>
    </w:rPr>
  </w:style>
  <w:style w:type="paragraph" w:customStyle="1" w:styleId="SPRU11Paragraphs">
    <w:name w:val="SPRU 1.1 Paragraphs"/>
    <w:basedOn w:val="Normal"/>
    <w:link w:val="SPRU11ParagraphsChar"/>
    <w:qFormat/>
    <w:rsid w:val="00C61E89"/>
    <w:pPr>
      <w:widowControl w:val="0"/>
      <w:numPr>
        <w:numId w:val="33"/>
      </w:numPr>
      <w:spacing w:after="120" w:line="240" w:lineRule="auto"/>
      <w:ind w:left="737" w:hanging="737"/>
      <w:jc w:val="both"/>
    </w:pPr>
    <w:rPr>
      <w:rFonts w:ascii="Arial" w:hAnsi="Arial" w:cs="Arial"/>
    </w:rPr>
  </w:style>
  <w:style w:type="character" w:customStyle="1" w:styleId="SPRU00HEADINGChar">
    <w:name w:val="SPRU 0.0 HEADING Char"/>
    <w:basedOn w:val="Heading1Char"/>
    <w:link w:val="SPRU00HEADING"/>
    <w:rsid w:val="0019774F"/>
    <w:rPr>
      <w:rFonts w:ascii="Arial Bold" w:eastAsiaTheme="majorEastAsia" w:hAnsi="Arial Bold" w:cstheme="majorBidi"/>
      <w:b/>
      <w:caps/>
      <w:sz w:val="24"/>
      <w:szCs w:val="32"/>
    </w:rPr>
  </w:style>
  <w:style w:type="character" w:customStyle="1" w:styleId="SPRUChapterHeadings10Char">
    <w:name w:val="SPRU Chapter Headings 1.0 Char"/>
    <w:basedOn w:val="SPRU00HEADINGChar"/>
    <w:link w:val="SPRUChapterHeadings10"/>
    <w:rsid w:val="001B6C8C"/>
    <w:rPr>
      <w:rFonts w:ascii="Arial Bold" w:eastAsiaTheme="majorEastAsia" w:hAnsi="Arial Bold" w:cstheme="majorBidi"/>
      <w:b/>
      <w:caps/>
      <w:sz w:val="24"/>
      <w:szCs w:val="32"/>
    </w:rPr>
  </w:style>
  <w:style w:type="paragraph" w:customStyle="1" w:styleId="SPRU01Paragraphs">
    <w:name w:val="SPRU 0.1 Paragraphs"/>
    <w:basedOn w:val="SPRU11Paragraphs"/>
    <w:link w:val="SPRU01ParagraphsChar"/>
    <w:qFormat/>
    <w:rsid w:val="00C61E89"/>
    <w:pPr>
      <w:numPr>
        <w:numId w:val="32"/>
      </w:numPr>
      <w:ind w:left="737" w:hanging="737"/>
    </w:pPr>
  </w:style>
  <w:style w:type="character" w:customStyle="1" w:styleId="SPRU11ParagraphsChar">
    <w:name w:val="SPRU 1.1 Paragraphs Char"/>
    <w:basedOn w:val="DefaultParagraphFont"/>
    <w:link w:val="SPRU11Paragraphs"/>
    <w:rsid w:val="00C61E89"/>
    <w:rPr>
      <w:rFonts w:ascii="Arial" w:hAnsi="Arial" w:cs="Arial"/>
    </w:rPr>
  </w:style>
  <w:style w:type="paragraph" w:customStyle="1" w:styleId="SPRU21Paragraphs">
    <w:name w:val="SPRU 2.1 Paragraphs"/>
    <w:basedOn w:val="SPRU01Paragraphs"/>
    <w:link w:val="SPRU21ParagraphsChar"/>
    <w:qFormat/>
    <w:rsid w:val="009B1DB9"/>
    <w:pPr>
      <w:numPr>
        <w:numId w:val="2"/>
      </w:numPr>
      <w:ind w:left="737" w:hanging="737"/>
    </w:pPr>
  </w:style>
  <w:style w:type="character" w:customStyle="1" w:styleId="SPRU01ParagraphsChar">
    <w:name w:val="SPRU 0.1 Paragraphs Char"/>
    <w:basedOn w:val="SPRU11ParagraphsChar"/>
    <w:link w:val="SPRU01Paragraphs"/>
    <w:rsid w:val="00C61E89"/>
    <w:rPr>
      <w:rFonts w:ascii="Arial" w:hAnsi="Arial" w:cs="Arial"/>
    </w:rPr>
  </w:style>
  <w:style w:type="paragraph" w:customStyle="1" w:styleId="SPRU31Paragraphs">
    <w:name w:val="SPRU 3.1 Paragraphs"/>
    <w:basedOn w:val="SPRU21Paragraphs"/>
    <w:link w:val="SPRU31ParagraphsChar"/>
    <w:qFormat/>
    <w:rsid w:val="00B57305"/>
    <w:pPr>
      <w:numPr>
        <w:numId w:val="3"/>
      </w:numPr>
      <w:ind w:left="737" w:hanging="737"/>
    </w:pPr>
  </w:style>
  <w:style w:type="character" w:customStyle="1" w:styleId="SPRU21ParagraphsChar">
    <w:name w:val="SPRU 2.1 Paragraphs Char"/>
    <w:basedOn w:val="SPRU01ParagraphsChar"/>
    <w:link w:val="SPRU21Paragraphs"/>
    <w:rsid w:val="009B1DB9"/>
    <w:rPr>
      <w:rFonts w:ascii="Arial" w:hAnsi="Arial" w:cs="Arial"/>
    </w:rPr>
  </w:style>
  <w:style w:type="paragraph" w:customStyle="1" w:styleId="SPRU91Paragraphs">
    <w:name w:val="SPRU 9.1 Paragraphs"/>
    <w:basedOn w:val="SPRU31Paragraphs"/>
    <w:link w:val="SPRU91ParagraphsChar"/>
    <w:qFormat/>
    <w:rsid w:val="00B57305"/>
    <w:pPr>
      <w:numPr>
        <w:numId w:val="4"/>
      </w:numPr>
      <w:ind w:left="737" w:hanging="737"/>
    </w:pPr>
  </w:style>
  <w:style w:type="character" w:customStyle="1" w:styleId="SPRU31ParagraphsChar">
    <w:name w:val="SPRU 3.1 Paragraphs Char"/>
    <w:basedOn w:val="SPRU21ParagraphsChar"/>
    <w:link w:val="SPRU31Paragraphs"/>
    <w:rsid w:val="00B57305"/>
    <w:rPr>
      <w:rFonts w:ascii="Arial" w:hAnsi="Arial" w:cs="Arial"/>
    </w:rPr>
  </w:style>
  <w:style w:type="paragraph" w:customStyle="1" w:styleId="SPRU51Paragraphs">
    <w:name w:val="SPRU 5.1 Paragraphs"/>
    <w:basedOn w:val="SPRU41Paragraphs"/>
    <w:next w:val="SPRU41Paragraphs"/>
    <w:link w:val="SPRU51ParagraphsChar"/>
    <w:qFormat/>
    <w:rsid w:val="001C4D69"/>
    <w:pPr>
      <w:numPr>
        <w:numId w:val="5"/>
      </w:numPr>
      <w:ind w:left="1094" w:hanging="737"/>
    </w:pPr>
  </w:style>
  <w:style w:type="character" w:customStyle="1" w:styleId="SPRU91ParagraphsChar">
    <w:name w:val="SPRU 9.1 Paragraphs Char"/>
    <w:basedOn w:val="SPRU31ParagraphsChar"/>
    <w:link w:val="SPRU91Paragraphs"/>
    <w:rsid w:val="00B57305"/>
    <w:rPr>
      <w:rFonts w:ascii="Arial" w:hAnsi="Arial" w:cs="Arial"/>
    </w:rPr>
  </w:style>
  <w:style w:type="paragraph" w:customStyle="1" w:styleId="SPRU61Paragraphs">
    <w:name w:val="SPRU 6.1 Paragraphs"/>
    <w:basedOn w:val="SPRU51Paragraphs"/>
    <w:link w:val="SPRU61ParagraphsChar"/>
    <w:qFormat/>
    <w:rsid w:val="00B57305"/>
    <w:pPr>
      <w:numPr>
        <w:numId w:val="6"/>
      </w:numPr>
      <w:ind w:left="737" w:hanging="737"/>
    </w:pPr>
  </w:style>
  <w:style w:type="character" w:customStyle="1" w:styleId="SPRU51ParagraphsChar">
    <w:name w:val="SPRU 5.1 Paragraphs Char"/>
    <w:basedOn w:val="SPRU91ParagraphsChar"/>
    <w:link w:val="SPRU51Paragraphs"/>
    <w:rsid w:val="001C4D69"/>
    <w:rPr>
      <w:rFonts w:ascii="Arial" w:eastAsia="Times New Roman" w:hAnsi="Arial" w:cs="Times New Roman"/>
      <w:szCs w:val="24"/>
      <w:lang w:eastAsia="en-GB"/>
    </w:rPr>
  </w:style>
  <w:style w:type="paragraph" w:customStyle="1" w:styleId="SPRU71Paragraphs">
    <w:name w:val="SPRU 7.1 Paragraphs"/>
    <w:basedOn w:val="SPRU61Paragraphs"/>
    <w:link w:val="SPRU71ParagraphsChar"/>
    <w:qFormat/>
    <w:rsid w:val="00B57305"/>
    <w:pPr>
      <w:numPr>
        <w:numId w:val="7"/>
      </w:numPr>
      <w:ind w:left="737" w:hanging="737"/>
    </w:pPr>
  </w:style>
  <w:style w:type="character" w:customStyle="1" w:styleId="SPRU61ParagraphsChar">
    <w:name w:val="SPRU 6.1 Paragraphs Char"/>
    <w:basedOn w:val="SPRU51ParagraphsChar"/>
    <w:link w:val="SPRU61Paragraphs"/>
    <w:rsid w:val="00B57305"/>
    <w:rPr>
      <w:rFonts w:ascii="Arial" w:eastAsia="Times New Roman" w:hAnsi="Arial" w:cs="Times New Roman"/>
      <w:szCs w:val="24"/>
      <w:lang w:eastAsia="en-GB"/>
    </w:rPr>
  </w:style>
  <w:style w:type="paragraph" w:customStyle="1" w:styleId="SPRU81Paragraphs">
    <w:name w:val="SPRU 8.1 Paragraphs"/>
    <w:basedOn w:val="SPRU71Paragraphs"/>
    <w:link w:val="SPRU81ParagraphsChar"/>
    <w:qFormat/>
    <w:rsid w:val="00B57305"/>
    <w:pPr>
      <w:numPr>
        <w:numId w:val="8"/>
      </w:numPr>
      <w:ind w:left="737" w:hanging="737"/>
    </w:pPr>
  </w:style>
  <w:style w:type="character" w:customStyle="1" w:styleId="SPRU71ParagraphsChar">
    <w:name w:val="SPRU 7.1 Paragraphs Char"/>
    <w:basedOn w:val="SPRU61ParagraphsChar"/>
    <w:link w:val="SPRU71Paragraphs"/>
    <w:rsid w:val="00B57305"/>
    <w:rPr>
      <w:rFonts w:ascii="Arial" w:eastAsia="Times New Roman" w:hAnsi="Arial" w:cs="Times New Roman"/>
      <w:szCs w:val="24"/>
      <w:lang w:eastAsia="en-GB"/>
    </w:rPr>
  </w:style>
  <w:style w:type="paragraph" w:customStyle="1" w:styleId="DLPSubheading">
    <w:name w:val="DLP Subheading"/>
    <w:basedOn w:val="Heading1"/>
    <w:link w:val="DLPSubheadingChar"/>
    <w:rsid w:val="00E82BA2"/>
    <w:rPr>
      <w:b w:val="0"/>
    </w:rPr>
  </w:style>
  <w:style w:type="character" w:customStyle="1" w:styleId="SPRU81ParagraphsChar">
    <w:name w:val="SPRU 8.1 Paragraphs Char"/>
    <w:basedOn w:val="SPRU71ParagraphsChar"/>
    <w:link w:val="SPRU81Paragraphs"/>
    <w:rsid w:val="00B57305"/>
    <w:rPr>
      <w:rFonts w:ascii="Arial" w:eastAsia="Times New Roman" w:hAnsi="Arial" w:cs="Times New Roman"/>
      <w:szCs w:val="24"/>
      <w:lang w:eastAsia="en-GB"/>
    </w:rPr>
  </w:style>
  <w:style w:type="paragraph" w:customStyle="1" w:styleId="DLPSubsidiaryHeadings">
    <w:name w:val="DLP Subsidiary Headings"/>
    <w:basedOn w:val="Heading1"/>
    <w:link w:val="DLPSubsidiaryHeadingsChar"/>
    <w:rsid w:val="00E82BA2"/>
    <w:rPr>
      <w:i/>
    </w:rPr>
  </w:style>
  <w:style w:type="character" w:customStyle="1" w:styleId="DLPSubheadingChar">
    <w:name w:val="DLP Subheading Char"/>
    <w:basedOn w:val="Heading1Char"/>
    <w:link w:val="DLPSubheading"/>
    <w:rsid w:val="00E82BA2"/>
    <w:rPr>
      <w:rFonts w:ascii="Arial Bold" w:eastAsiaTheme="majorEastAsia" w:hAnsi="Arial Bold" w:cstheme="majorBidi"/>
      <w:b w:val="0"/>
      <w:szCs w:val="32"/>
    </w:rPr>
  </w:style>
  <w:style w:type="character" w:styleId="Emphasis">
    <w:name w:val="Emphasis"/>
    <w:aliases w:val="Quotations"/>
    <w:basedOn w:val="SubtleEmphasis"/>
    <w:uiPriority w:val="20"/>
    <w:rsid w:val="00694AF3"/>
    <w:rPr>
      <w:rFonts w:ascii="Arial" w:hAnsi="Arial"/>
      <w:i/>
      <w:iCs w:val="0"/>
      <w:caps w:val="0"/>
      <w:smallCaps w:val="0"/>
      <w:strike w:val="0"/>
      <w:dstrike w:val="0"/>
      <w:vanish w:val="0"/>
      <w:color w:val="auto"/>
      <w:sz w:val="22"/>
      <w:vertAlign w:val="baseline"/>
    </w:rPr>
  </w:style>
  <w:style w:type="character" w:customStyle="1" w:styleId="DLPSubsidiaryHeadingsChar">
    <w:name w:val="DLP Subsidiary Headings Char"/>
    <w:basedOn w:val="Heading1Char"/>
    <w:link w:val="DLPSubsidiaryHeadings"/>
    <w:rsid w:val="00E82BA2"/>
    <w:rPr>
      <w:rFonts w:ascii="Arial Bold" w:eastAsiaTheme="majorEastAsia" w:hAnsi="Arial Bold" w:cstheme="majorBidi"/>
      <w:b/>
      <w:i/>
      <w:szCs w:val="32"/>
    </w:rPr>
  </w:style>
  <w:style w:type="paragraph" w:styleId="Quote">
    <w:name w:val="Quote"/>
    <w:basedOn w:val="Normal"/>
    <w:next w:val="Normal"/>
    <w:link w:val="QuoteChar"/>
    <w:uiPriority w:val="29"/>
    <w:rsid w:val="00694AF3"/>
    <w:pPr>
      <w:spacing w:before="200"/>
      <w:ind w:left="864" w:right="864"/>
      <w:jc w:val="center"/>
    </w:pPr>
    <w:rPr>
      <w:i/>
      <w:iCs/>
      <w:color w:val="404040" w:themeColor="text1" w:themeTint="BF"/>
    </w:rPr>
  </w:style>
  <w:style w:type="character" w:styleId="SubtleEmphasis">
    <w:name w:val="Subtle Emphasis"/>
    <w:basedOn w:val="DefaultParagraphFont"/>
    <w:uiPriority w:val="19"/>
    <w:rsid w:val="00694AF3"/>
    <w:rPr>
      <w:i/>
      <w:iCs/>
      <w:color w:val="404040" w:themeColor="text1" w:themeTint="BF"/>
    </w:rPr>
  </w:style>
  <w:style w:type="character" w:customStyle="1" w:styleId="QuoteChar">
    <w:name w:val="Quote Char"/>
    <w:basedOn w:val="DefaultParagraphFont"/>
    <w:link w:val="Quote"/>
    <w:uiPriority w:val="29"/>
    <w:rsid w:val="00694AF3"/>
    <w:rPr>
      <w:i/>
      <w:iCs/>
      <w:color w:val="404040" w:themeColor="text1" w:themeTint="BF"/>
    </w:rPr>
  </w:style>
  <w:style w:type="paragraph" w:customStyle="1" w:styleId="SPRUQuotations">
    <w:name w:val="SPRU Quotations"/>
    <w:basedOn w:val="Quote"/>
    <w:link w:val="SPRUQuotationsChar"/>
    <w:qFormat/>
    <w:rsid w:val="006055F6"/>
    <w:pPr>
      <w:widowControl w:val="0"/>
      <w:spacing w:before="0" w:after="60" w:line="240" w:lineRule="auto"/>
      <w:ind w:left="737" w:right="0"/>
      <w:jc w:val="left"/>
    </w:pPr>
    <w:rPr>
      <w:rFonts w:ascii="Arial" w:hAnsi="Arial"/>
      <w:color w:val="auto"/>
    </w:rPr>
  </w:style>
  <w:style w:type="paragraph" w:customStyle="1" w:styleId="SPRUBulletPoints">
    <w:name w:val="SPRU Bullet Points"/>
    <w:basedOn w:val="SPRUStandard"/>
    <w:link w:val="SPRUBulletPointsChar"/>
    <w:qFormat/>
    <w:rsid w:val="006055F6"/>
    <w:pPr>
      <w:numPr>
        <w:numId w:val="9"/>
      </w:numPr>
      <w:spacing w:after="60"/>
      <w:ind w:left="1304" w:hanging="567"/>
    </w:pPr>
  </w:style>
  <w:style w:type="character" w:customStyle="1" w:styleId="SPRUQuotationsChar">
    <w:name w:val="SPRU Quotations Char"/>
    <w:basedOn w:val="QuoteChar"/>
    <w:link w:val="SPRUQuotations"/>
    <w:rsid w:val="006055F6"/>
    <w:rPr>
      <w:rFonts w:ascii="Arial" w:hAnsi="Arial"/>
      <w:i/>
      <w:iCs/>
      <w:color w:val="404040" w:themeColor="text1" w:themeTint="BF"/>
    </w:rPr>
  </w:style>
  <w:style w:type="paragraph" w:customStyle="1" w:styleId="SPRUSubsidiaryBullets">
    <w:name w:val="SPRU Subsidiary Bullets"/>
    <w:basedOn w:val="SPRUBulletPoints"/>
    <w:link w:val="SPRUSubsidiaryBulletsChar"/>
    <w:qFormat/>
    <w:rsid w:val="006055F6"/>
    <w:pPr>
      <w:numPr>
        <w:numId w:val="10"/>
      </w:numPr>
      <w:ind w:left="1701" w:hanging="567"/>
    </w:pPr>
  </w:style>
  <w:style w:type="character" w:customStyle="1" w:styleId="SPRUBulletPointsChar">
    <w:name w:val="SPRU Bullet Points Char"/>
    <w:basedOn w:val="SPRUStandardChar"/>
    <w:link w:val="SPRUBulletPoints"/>
    <w:rsid w:val="006055F6"/>
    <w:rPr>
      <w:rFonts w:ascii="Arial" w:hAnsi="Arial" w:cs="Arial"/>
    </w:rPr>
  </w:style>
  <w:style w:type="character" w:styleId="Strong">
    <w:name w:val="Strong"/>
    <w:basedOn w:val="SPRU01ParagraphsChar"/>
    <w:uiPriority w:val="22"/>
    <w:qFormat/>
    <w:rsid w:val="003C512B"/>
    <w:rPr>
      <w:rFonts w:ascii="Arial Bold" w:hAnsi="Arial Bold" w:cs="Arial"/>
      <w:b/>
      <w:bCs/>
      <w:caps w:val="0"/>
      <w:smallCaps w:val="0"/>
      <w:strike w:val="0"/>
      <w:dstrike w:val="0"/>
      <w:vanish w:val="0"/>
      <w:color w:val="auto"/>
      <w:sz w:val="22"/>
      <w:u w:val="none"/>
      <w:vertAlign w:val="baseline"/>
    </w:rPr>
  </w:style>
  <w:style w:type="character" w:customStyle="1" w:styleId="SPRUSubsidiaryBulletsChar">
    <w:name w:val="SPRU Subsidiary Bullets Char"/>
    <w:basedOn w:val="SPRUBulletPointsChar"/>
    <w:link w:val="SPRUSubsidiaryBullets"/>
    <w:rsid w:val="006055F6"/>
    <w:rPr>
      <w:rFonts w:ascii="Arial" w:hAnsi="Arial" w:cs="Arial"/>
    </w:rPr>
  </w:style>
  <w:style w:type="paragraph" w:customStyle="1" w:styleId="SPRUFigures">
    <w:name w:val="SPRU Figures"/>
    <w:basedOn w:val="SPRUStandard"/>
    <w:link w:val="SPRUFiguresChar"/>
    <w:qFormat/>
    <w:rsid w:val="006055F6"/>
    <w:pPr>
      <w:numPr>
        <w:numId w:val="12"/>
      </w:numPr>
      <w:spacing w:after="120"/>
      <w:ind w:left="1984" w:hanging="1247"/>
    </w:pPr>
    <w:rPr>
      <w:rFonts w:ascii="Arial Bold" w:hAnsi="Arial Bold"/>
      <w:b/>
    </w:rPr>
  </w:style>
  <w:style w:type="paragraph" w:customStyle="1" w:styleId="SPRUTables">
    <w:name w:val="SPRU Tables"/>
    <w:basedOn w:val="SPRUFigures"/>
    <w:link w:val="SPRUTablesChar"/>
    <w:qFormat/>
    <w:rsid w:val="006055F6"/>
    <w:pPr>
      <w:numPr>
        <w:numId w:val="13"/>
      </w:numPr>
    </w:pPr>
  </w:style>
  <w:style w:type="character" w:customStyle="1" w:styleId="SPRUFiguresChar">
    <w:name w:val="SPRU Figures Char"/>
    <w:basedOn w:val="SPRUStandardChar"/>
    <w:link w:val="SPRUFigures"/>
    <w:rsid w:val="006055F6"/>
    <w:rPr>
      <w:rFonts w:ascii="Arial Bold" w:hAnsi="Arial Bold" w:cs="Arial"/>
      <w:b/>
    </w:rPr>
  </w:style>
  <w:style w:type="character" w:customStyle="1" w:styleId="SPRUTablesChar">
    <w:name w:val="SPRU Tables Char"/>
    <w:basedOn w:val="SPRUFiguresChar"/>
    <w:link w:val="SPRUTables"/>
    <w:rsid w:val="006055F6"/>
    <w:rPr>
      <w:rFonts w:ascii="Arial Bold" w:hAnsi="Arial Bold" w:cs="Arial"/>
      <w:b/>
    </w:rPr>
  </w:style>
  <w:style w:type="paragraph" w:styleId="Header">
    <w:name w:val="header"/>
    <w:basedOn w:val="Normal"/>
    <w:link w:val="HeaderChar"/>
    <w:unhideWhenUsed/>
    <w:rsid w:val="0019774F"/>
    <w:pPr>
      <w:tabs>
        <w:tab w:val="center" w:pos="4513"/>
        <w:tab w:val="right" w:pos="9026"/>
      </w:tabs>
      <w:spacing w:after="0" w:line="240" w:lineRule="auto"/>
    </w:pPr>
    <w:rPr>
      <w:rFonts w:ascii="Arial" w:hAnsi="Arial"/>
    </w:rPr>
  </w:style>
  <w:style w:type="character" w:customStyle="1" w:styleId="HeaderChar">
    <w:name w:val="Header Char"/>
    <w:basedOn w:val="DefaultParagraphFont"/>
    <w:link w:val="Header"/>
    <w:uiPriority w:val="99"/>
    <w:rsid w:val="0019774F"/>
    <w:rPr>
      <w:rFonts w:ascii="Arial" w:hAnsi="Arial"/>
    </w:rPr>
  </w:style>
  <w:style w:type="paragraph" w:styleId="Footer">
    <w:name w:val="footer"/>
    <w:basedOn w:val="Normal"/>
    <w:link w:val="FooterChar"/>
    <w:uiPriority w:val="99"/>
    <w:unhideWhenUsed/>
    <w:rsid w:val="0019774F"/>
    <w:pPr>
      <w:tabs>
        <w:tab w:val="center" w:pos="4513"/>
        <w:tab w:val="right" w:pos="9026"/>
      </w:tabs>
      <w:spacing w:after="0" w:line="240" w:lineRule="auto"/>
    </w:pPr>
    <w:rPr>
      <w:rFonts w:ascii="Arial" w:hAnsi="Arial"/>
    </w:rPr>
  </w:style>
  <w:style w:type="character" w:customStyle="1" w:styleId="FooterChar">
    <w:name w:val="Footer Char"/>
    <w:basedOn w:val="DefaultParagraphFont"/>
    <w:link w:val="Footer"/>
    <w:uiPriority w:val="99"/>
    <w:rsid w:val="0019774F"/>
    <w:rPr>
      <w:rFonts w:ascii="Arial" w:hAnsi="Arial"/>
    </w:rPr>
  </w:style>
  <w:style w:type="paragraph" w:customStyle="1" w:styleId="SPRU41Paragraphs">
    <w:name w:val="SPRU 4.1 Paragraphs"/>
    <w:basedOn w:val="SPRU31Paragraphs"/>
    <w:link w:val="SPRU41ParagraphsChar"/>
    <w:qFormat/>
    <w:rsid w:val="00B57305"/>
    <w:pPr>
      <w:numPr>
        <w:numId w:val="14"/>
      </w:numPr>
      <w:tabs>
        <w:tab w:val="left" w:pos="720"/>
      </w:tabs>
      <w:ind w:left="737" w:hanging="737"/>
    </w:pPr>
    <w:rPr>
      <w:rFonts w:eastAsia="Times New Roman" w:cs="Times New Roman"/>
      <w:szCs w:val="24"/>
      <w:lang w:eastAsia="en-GB"/>
    </w:rPr>
  </w:style>
  <w:style w:type="character" w:customStyle="1" w:styleId="SPRU41ParagraphsChar">
    <w:name w:val="SPRU 4.1 Paragraphs Char"/>
    <w:basedOn w:val="DefaultParagraphFont"/>
    <w:link w:val="SPRU41Paragraphs"/>
    <w:rsid w:val="00B57305"/>
    <w:rPr>
      <w:rFonts w:ascii="Arial" w:eastAsia="Times New Roman" w:hAnsi="Arial" w:cs="Times New Roman"/>
      <w:szCs w:val="24"/>
      <w:lang w:eastAsia="en-GB"/>
    </w:rPr>
  </w:style>
  <w:style w:type="paragraph" w:styleId="TOCHeading">
    <w:name w:val="TOC Heading"/>
    <w:basedOn w:val="Header"/>
    <w:next w:val="Normal"/>
    <w:uiPriority w:val="39"/>
    <w:unhideWhenUsed/>
    <w:rsid w:val="002238EA"/>
    <w:pPr>
      <w:numPr>
        <w:numId w:val="28"/>
      </w:numPr>
      <w:ind w:left="737" w:hanging="737"/>
    </w:pPr>
    <w:rPr>
      <w:lang w:val="en-US"/>
    </w:rPr>
  </w:style>
  <w:style w:type="paragraph" w:styleId="TOC1">
    <w:name w:val="toc 1"/>
    <w:basedOn w:val="Normal"/>
    <w:next w:val="Normal"/>
    <w:link w:val="TOC1Char"/>
    <w:autoRedefine/>
    <w:uiPriority w:val="39"/>
    <w:unhideWhenUsed/>
    <w:rsid w:val="00C61E89"/>
    <w:pPr>
      <w:tabs>
        <w:tab w:val="left" w:pos="567"/>
        <w:tab w:val="right" w:leader="dot" w:pos="9204"/>
      </w:tabs>
      <w:spacing w:after="120" w:line="240" w:lineRule="auto"/>
      <w:ind w:right="567"/>
    </w:pPr>
    <w:rPr>
      <w:rFonts w:ascii="Arial" w:hAnsi="Arial" w:cstheme="minorHAnsi"/>
      <w:b/>
      <w:bCs/>
      <w:szCs w:val="20"/>
    </w:rPr>
  </w:style>
  <w:style w:type="character" w:styleId="Hyperlink">
    <w:name w:val="Hyperlink"/>
    <w:basedOn w:val="DefaultParagraphFont"/>
    <w:uiPriority w:val="99"/>
    <w:unhideWhenUsed/>
    <w:rsid w:val="00AB33FD"/>
    <w:rPr>
      <w:color w:val="0563C1" w:themeColor="hyperlink"/>
      <w:u w:val="single"/>
    </w:rPr>
  </w:style>
  <w:style w:type="table" w:styleId="TableGrid">
    <w:name w:val="Table Grid"/>
    <w:basedOn w:val="TableNormal"/>
    <w:uiPriority w:val="39"/>
    <w:rsid w:val="00AB3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U101paragraphs">
    <w:name w:val="SPRU 10.1 paragraphs"/>
    <w:basedOn w:val="SPRU31Paragraphs"/>
    <w:link w:val="SPRU101paragraphsChar"/>
    <w:qFormat/>
    <w:rsid w:val="00B57305"/>
    <w:pPr>
      <w:numPr>
        <w:numId w:val="15"/>
      </w:numPr>
      <w:ind w:left="737" w:hanging="737"/>
    </w:pPr>
  </w:style>
  <w:style w:type="character" w:customStyle="1" w:styleId="SPRU101paragraphsChar">
    <w:name w:val="SPRU 10.1 paragraphs Char"/>
    <w:basedOn w:val="SPRU31ParagraphsChar"/>
    <w:link w:val="SPRU101paragraphs"/>
    <w:rsid w:val="00B57305"/>
    <w:rPr>
      <w:rFonts w:ascii="Arial" w:hAnsi="Arial" w:cs="Arial"/>
    </w:rPr>
  </w:style>
  <w:style w:type="character" w:customStyle="1" w:styleId="Heading2Char">
    <w:name w:val="Heading 2 Char"/>
    <w:aliases w:val="SPRU subsidiary headings Char,Sub Heading Char,SPRU i) subsidiary headings Char"/>
    <w:basedOn w:val="DefaultParagraphFont"/>
    <w:link w:val="Heading2"/>
    <w:rsid w:val="0019774F"/>
    <w:rPr>
      <w:rFonts w:ascii="Arial Bold" w:eastAsiaTheme="majorEastAsia" w:hAnsi="Arial Bold" w:cstheme="majorBidi"/>
      <w:b/>
      <w:szCs w:val="26"/>
    </w:rPr>
  </w:style>
  <w:style w:type="paragraph" w:customStyle="1" w:styleId="SPRUCharts">
    <w:name w:val="SPRU Charts"/>
    <w:basedOn w:val="SPRUFigures"/>
    <w:link w:val="SPRUChartsChar"/>
    <w:qFormat/>
    <w:rsid w:val="006055F6"/>
    <w:pPr>
      <w:numPr>
        <w:numId w:val="17"/>
      </w:numPr>
      <w:ind w:left="1984" w:hanging="1247"/>
    </w:pPr>
  </w:style>
  <w:style w:type="paragraph" w:styleId="TOC2">
    <w:name w:val="toc 2"/>
    <w:basedOn w:val="Normal"/>
    <w:next w:val="Normal"/>
    <w:autoRedefine/>
    <w:uiPriority w:val="39"/>
    <w:unhideWhenUsed/>
    <w:rsid w:val="00D11686"/>
    <w:pPr>
      <w:tabs>
        <w:tab w:val="right" w:leader="dot" w:pos="9202"/>
      </w:tabs>
      <w:spacing w:after="120" w:line="240" w:lineRule="auto"/>
      <w:ind w:left="1134" w:right="567" w:hanging="567"/>
    </w:pPr>
    <w:rPr>
      <w:rFonts w:ascii="Arial" w:hAnsi="Arial" w:cstheme="minorHAnsi"/>
      <w:szCs w:val="20"/>
    </w:rPr>
  </w:style>
  <w:style w:type="character" w:customStyle="1" w:styleId="SPRUChartsChar">
    <w:name w:val="SPRU Charts Char"/>
    <w:basedOn w:val="SPRUFiguresChar"/>
    <w:link w:val="SPRUCharts"/>
    <w:rsid w:val="006055F6"/>
    <w:rPr>
      <w:rFonts w:ascii="Arial Bold" w:hAnsi="Arial Bold" w:cs="Arial"/>
      <w:b/>
    </w:rPr>
  </w:style>
  <w:style w:type="paragraph" w:customStyle="1" w:styleId="DLP01Paragraphs">
    <w:name w:val="DLP 0.1 Paragraphs"/>
    <w:basedOn w:val="Normal"/>
    <w:link w:val="DLP01ParagraphsChar"/>
    <w:rsid w:val="00DB3A5E"/>
    <w:pPr>
      <w:widowControl w:val="0"/>
      <w:spacing w:after="240" w:line="360" w:lineRule="auto"/>
      <w:ind w:left="737" w:hanging="737"/>
      <w:jc w:val="both"/>
    </w:pPr>
    <w:rPr>
      <w:rFonts w:ascii="Arial" w:hAnsi="Arial" w:cs="Arial"/>
    </w:rPr>
  </w:style>
  <w:style w:type="character" w:customStyle="1" w:styleId="DLP01ParagraphsChar">
    <w:name w:val="DLP 0.1 Paragraphs Char"/>
    <w:basedOn w:val="DefaultParagraphFont"/>
    <w:link w:val="DLP01Paragraphs"/>
    <w:rsid w:val="00DB3A5E"/>
    <w:rPr>
      <w:rFonts w:ascii="Arial" w:hAnsi="Arial" w:cs="Arial"/>
    </w:rPr>
  </w:style>
  <w:style w:type="paragraph" w:customStyle="1" w:styleId="DLP11Paragraphs">
    <w:name w:val="DLP 1.1 Paragraphs"/>
    <w:basedOn w:val="Normal"/>
    <w:rsid w:val="00DB3A5E"/>
    <w:pPr>
      <w:widowControl w:val="0"/>
      <w:spacing w:after="240" w:line="360" w:lineRule="auto"/>
      <w:ind w:left="737" w:hanging="737"/>
      <w:jc w:val="both"/>
    </w:pPr>
    <w:rPr>
      <w:rFonts w:ascii="Arial" w:hAnsi="Arial" w:cs="Arial"/>
    </w:rPr>
  </w:style>
  <w:style w:type="paragraph" w:customStyle="1" w:styleId="DLP21Paragraphs">
    <w:name w:val="DLP 2.1 Paragraphs"/>
    <w:basedOn w:val="DLP01Paragraphs"/>
    <w:rsid w:val="00DB3A5E"/>
  </w:style>
  <w:style w:type="paragraph" w:customStyle="1" w:styleId="DLP31Paragraphs">
    <w:name w:val="DLP 3.1 Paragraphs"/>
    <w:basedOn w:val="DLP21Paragraphs"/>
    <w:rsid w:val="00DB3A5E"/>
  </w:style>
  <w:style w:type="paragraph" w:customStyle="1" w:styleId="DLP51Paragraphs">
    <w:name w:val="DLP 5.1 Paragraphs"/>
    <w:basedOn w:val="DLP41Paragraphs"/>
    <w:rsid w:val="00DB3A5E"/>
  </w:style>
  <w:style w:type="paragraph" w:customStyle="1" w:styleId="DLP61Paragraphs">
    <w:name w:val="DLP 6.1 Paragraphs"/>
    <w:basedOn w:val="DLP51Paragraphs"/>
    <w:rsid w:val="00DB3A5E"/>
  </w:style>
  <w:style w:type="paragraph" w:customStyle="1" w:styleId="DLP71Paragraphs">
    <w:name w:val="DLP 7.1 Paragraphs"/>
    <w:basedOn w:val="DLP61Paragraphs"/>
    <w:rsid w:val="00DB3A5E"/>
  </w:style>
  <w:style w:type="paragraph" w:customStyle="1" w:styleId="DLP41Paragraphs">
    <w:name w:val="DLP 4.1 Paragraphs"/>
    <w:basedOn w:val="DLP31Paragraphs"/>
    <w:rsid w:val="00DB3A5E"/>
    <w:pPr>
      <w:tabs>
        <w:tab w:val="left" w:pos="720"/>
      </w:tabs>
    </w:pPr>
    <w:rPr>
      <w:rFonts w:eastAsia="Times New Roman" w:cs="Times New Roman"/>
      <w:szCs w:val="24"/>
      <w:lang w:eastAsia="en-GB"/>
    </w:rPr>
  </w:style>
  <w:style w:type="paragraph" w:customStyle="1" w:styleId="SPRUSource">
    <w:name w:val="SPRU Source"/>
    <w:basedOn w:val="Normal"/>
    <w:link w:val="SPRUSourceChar"/>
    <w:qFormat/>
    <w:rsid w:val="007A5BFB"/>
    <w:pPr>
      <w:widowControl w:val="0"/>
      <w:spacing w:before="80" w:after="200" w:line="240" w:lineRule="auto"/>
      <w:ind w:left="737"/>
    </w:pPr>
    <w:rPr>
      <w:rFonts w:ascii="Arial" w:hAnsi="Arial" w:cs="Arial"/>
      <w:i/>
      <w:sz w:val="20"/>
    </w:rPr>
  </w:style>
  <w:style w:type="character" w:customStyle="1" w:styleId="SPRUSourceChar">
    <w:name w:val="SPRU Source Char"/>
    <w:basedOn w:val="DefaultParagraphFont"/>
    <w:link w:val="SPRUSource"/>
    <w:rsid w:val="007A5BFB"/>
    <w:rPr>
      <w:rFonts w:ascii="Arial" w:hAnsi="Arial" w:cs="Arial"/>
      <w:i/>
      <w:sz w:val="20"/>
    </w:rPr>
  </w:style>
  <w:style w:type="paragraph" w:styleId="TOC3">
    <w:name w:val="toc 3"/>
    <w:basedOn w:val="Normal"/>
    <w:next w:val="Normal"/>
    <w:autoRedefine/>
    <w:uiPriority w:val="39"/>
    <w:unhideWhenUsed/>
    <w:rsid w:val="00D11686"/>
    <w:pPr>
      <w:tabs>
        <w:tab w:val="right" w:leader="dot" w:pos="9202"/>
      </w:tabs>
      <w:spacing w:after="120" w:line="240" w:lineRule="auto"/>
      <w:ind w:left="1134" w:right="567" w:hanging="567"/>
    </w:pPr>
    <w:rPr>
      <w:rFonts w:ascii="Arial" w:hAnsi="Arial" w:cstheme="minorHAnsi"/>
      <w:iCs/>
      <w:szCs w:val="20"/>
    </w:rPr>
  </w:style>
  <w:style w:type="paragraph" w:styleId="TOC4">
    <w:name w:val="toc 4"/>
    <w:basedOn w:val="Normal"/>
    <w:next w:val="Normal"/>
    <w:autoRedefine/>
    <w:uiPriority w:val="39"/>
    <w:unhideWhenUsed/>
    <w:rsid w:val="00F9489B"/>
    <w:pPr>
      <w:spacing w:after="0"/>
      <w:ind w:left="660"/>
    </w:pPr>
    <w:rPr>
      <w:rFonts w:cstheme="minorHAnsi"/>
      <w:sz w:val="18"/>
      <w:szCs w:val="18"/>
    </w:rPr>
  </w:style>
  <w:style w:type="paragraph" w:styleId="TOC5">
    <w:name w:val="toc 5"/>
    <w:basedOn w:val="Normal"/>
    <w:next w:val="Normal"/>
    <w:autoRedefine/>
    <w:uiPriority w:val="39"/>
    <w:unhideWhenUsed/>
    <w:rsid w:val="00DE272C"/>
    <w:pPr>
      <w:spacing w:after="0"/>
      <w:ind w:left="880"/>
    </w:pPr>
    <w:rPr>
      <w:rFonts w:cstheme="minorHAnsi"/>
      <w:sz w:val="18"/>
      <w:szCs w:val="18"/>
    </w:rPr>
  </w:style>
  <w:style w:type="paragraph" w:styleId="TOC6">
    <w:name w:val="toc 6"/>
    <w:basedOn w:val="Normal"/>
    <w:next w:val="Normal"/>
    <w:autoRedefine/>
    <w:uiPriority w:val="39"/>
    <w:unhideWhenUsed/>
    <w:rsid w:val="00DE272C"/>
    <w:pPr>
      <w:spacing w:after="0"/>
      <w:ind w:left="1100"/>
    </w:pPr>
    <w:rPr>
      <w:rFonts w:cstheme="minorHAnsi"/>
      <w:sz w:val="18"/>
      <w:szCs w:val="18"/>
    </w:rPr>
  </w:style>
  <w:style w:type="paragraph" w:styleId="TOC7">
    <w:name w:val="toc 7"/>
    <w:basedOn w:val="Normal"/>
    <w:next w:val="Normal"/>
    <w:autoRedefine/>
    <w:uiPriority w:val="39"/>
    <w:unhideWhenUsed/>
    <w:rsid w:val="00DE272C"/>
    <w:pPr>
      <w:spacing w:after="0"/>
      <w:ind w:left="1320"/>
    </w:pPr>
    <w:rPr>
      <w:rFonts w:cstheme="minorHAnsi"/>
      <w:sz w:val="18"/>
      <w:szCs w:val="18"/>
    </w:rPr>
  </w:style>
  <w:style w:type="paragraph" w:styleId="TOC8">
    <w:name w:val="toc 8"/>
    <w:basedOn w:val="Normal"/>
    <w:next w:val="Normal"/>
    <w:autoRedefine/>
    <w:uiPriority w:val="39"/>
    <w:unhideWhenUsed/>
    <w:rsid w:val="00DE272C"/>
    <w:pPr>
      <w:spacing w:after="0"/>
      <w:ind w:left="1540"/>
    </w:pPr>
    <w:rPr>
      <w:rFonts w:cstheme="minorHAnsi"/>
      <w:sz w:val="18"/>
      <w:szCs w:val="18"/>
    </w:rPr>
  </w:style>
  <w:style w:type="paragraph" w:styleId="TOC9">
    <w:name w:val="toc 9"/>
    <w:basedOn w:val="Normal"/>
    <w:next w:val="Normal"/>
    <w:autoRedefine/>
    <w:uiPriority w:val="39"/>
    <w:unhideWhenUsed/>
    <w:rsid w:val="00DE272C"/>
    <w:pPr>
      <w:spacing w:after="0"/>
      <w:ind w:left="1760"/>
    </w:pPr>
    <w:rPr>
      <w:rFonts w:cstheme="minorHAnsi"/>
      <w:sz w:val="18"/>
      <w:szCs w:val="18"/>
    </w:rPr>
  </w:style>
  <w:style w:type="paragraph" w:customStyle="1" w:styleId="Style1">
    <w:name w:val="Style1"/>
    <w:basedOn w:val="TOC1"/>
    <w:link w:val="Style1Char"/>
    <w:rsid w:val="00DE272C"/>
    <w:pPr>
      <w:widowControl w:val="0"/>
      <w:tabs>
        <w:tab w:val="left" w:pos="660"/>
      </w:tabs>
      <w:spacing w:after="0" w:line="360" w:lineRule="auto"/>
    </w:pPr>
    <w:rPr>
      <w:rFonts w:cs="Arial"/>
      <w:b w:val="0"/>
      <w:bCs w:val="0"/>
      <w:noProof/>
      <w:szCs w:val="22"/>
    </w:rPr>
  </w:style>
  <w:style w:type="character" w:customStyle="1" w:styleId="TOC1Char">
    <w:name w:val="TOC 1 Char"/>
    <w:basedOn w:val="DefaultParagraphFont"/>
    <w:link w:val="TOC1"/>
    <w:uiPriority w:val="39"/>
    <w:rsid w:val="00C61E89"/>
    <w:rPr>
      <w:rFonts w:ascii="Arial" w:hAnsi="Arial" w:cstheme="minorHAnsi"/>
      <w:b/>
      <w:bCs/>
      <w:szCs w:val="20"/>
    </w:rPr>
  </w:style>
  <w:style w:type="character" w:customStyle="1" w:styleId="Style1Char">
    <w:name w:val="Style1 Char"/>
    <w:basedOn w:val="TOC1Char"/>
    <w:link w:val="Style1"/>
    <w:rsid w:val="00DE272C"/>
    <w:rPr>
      <w:rFonts w:ascii="Arial" w:hAnsi="Arial" w:cs="Arial"/>
      <w:b w:val="0"/>
      <w:bCs w:val="0"/>
      <w:noProof/>
      <w:sz w:val="20"/>
      <w:szCs w:val="20"/>
    </w:rPr>
  </w:style>
  <w:style w:type="character" w:customStyle="1" w:styleId="UnresolvedMention1">
    <w:name w:val="Unresolved Mention1"/>
    <w:basedOn w:val="DefaultParagraphFont"/>
    <w:uiPriority w:val="99"/>
    <w:semiHidden/>
    <w:unhideWhenUsed/>
    <w:rsid w:val="00053199"/>
    <w:rPr>
      <w:color w:val="605E5C"/>
      <w:shd w:val="clear" w:color="auto" w:fill="E1DFDD"/>
    </w:rPr>
  </w:style>
  <w:style w:type="paragraph" w:customStyle="1" w:styleId="SPRU111">
    <w:name w:val="SPRU 11.1"/>
    <w:basedOn w:val="SPRU11Paragraphs"/>
    <w:link w:val="SPRU111Char"/>
    <w:qFormat/>
    <w:rsid w:val="00095202"/>
    <w:pPr>
      <w:numPr>
        <w:numId w:val="18"/>
      </w:numPr>
      <w:ind w:left="737" w:hanging="737"/>
    </w:pPr>
  </w:style>
  <w:style w:type="paragraph" w:customStyle="1" w:styleId="SPRU121">
    <w:name w:val="SPRU 12.1"/>
    <w:basedOn w:val="SPRU111"/>
    <w:link w:val="SPRU121Char"/>
    <w:qFormat/>
    <w:rsid w:val="00095202"/>
    <w:pPr>
      <w:numPr>
        <w:numId w:val="19"/>
      </w:numPr>
      <w:ind w:left="737" w:hanging="737"/>
    </w:pPr>
  </w:style>
  <w:style w:type="character" w:customStyle="1" w:styleId="SPRU111Char">
    <w:name w:val="SPRU 11.1 Char"/>
    <w:basedOn w:val="SPRU11ParagraphsChar"/>
    <w:link w:val="SPRU111"/>
    <w:rsid w:val="00095202"/>
    <w:rPr>
      <w:rFonts w:ascii="Arial" w:hAnsi="Arial" w:cs="Arial"/>
    </w:rPr>
  </w:style>
  <w:style w:type="paragraph" w:customStyle="1" w:styleId="SPRU131">
    <w:name w:val="SPRU 13.1"/>
    <w:basedOn w:val="SPRU121"/>
    <w:link w:val="SPRU131Char"/>
    <w:qFormat/>
    <w:rsid w:val="00095202"/>
    <w:pPr>
      <w:numPr>
        <w:numId w:val="20"/>
      </w:numPr>
      <w:ind w:left="737" w:hanging="737"/>
    </w:pPr>
  </w:style>
  <w:style w:type="character" w:customStyle="1" w:styleId="SPRU121Char">
    <w:name w:val="SPRU 12.1 Char"/>
    <w:basedOn w:val="SPRU111Char"/>
    <w:link w:val="SPRU121"/>
    <w:rsid w:val="00095202"/>
    <w:rPr>
      <w:rFonts w:ascii="Arial" w:hAnsi="Arial" w:cs="Arial"/>
    </w:rPr>
  </w:style>
  <w:style w:type="paragraph" w:customStyle="1" w:styleId="SPRU141">
    <w:name w:val="SPRU 14.1"/>
    <w:basedOn w:val="SPRU131"/>
    <w:link w:val="SPRU141Char"/>
    <w:qFormat/>
    <w:rsid w:val="00853906"/>
    <w:pPr>
      <w:numPr>
        <w:numId w:val="21"/>
      </w:numPr>
    </w:pPr>
  </w:style>
  <w:style w:type="character" w:customStyle="1" w:styleId="SPRU131Char">
    <w:name w:val="SPRU 13.1 Char"/>
    <w:basedOn w:val="SPRU121Char"/>
    <w:link w:val="SPRU131"/>
    <w:rsid w:val="00095202"/>
    <w:rPr>
      <w:rFonts w:ascii="Arial" w:hAnsi="Arial" w:cs="Arial"/>
    </w:rPr>
  </w:style>
  <w:style w:type="paragraph" w:customStyle="1" w:styleId="SPRU151">
    <w:name w:val="SPRU 15.1"/>
    <w:basedOn w:val="SPRU141"/>
    <w:link w:val="SPRU151Char"/>
    <w:qFormat/>
    <w:rsid w:val="007F1C7A"/>
    <w:pPr>
      <w:numPr>
        <w:numId w:val="22"/>
      </w:numPr>
    </w:pPr>
  </w:style>
  <w:style w:type="character" w:customStyle="1" w:styleId="SPRU141Char">
    <w:name w:val="SPRU 14.1 Char"/>
    <w:basedOn w:val="SPRU131Char"/>
    <w:link w:val="SPRU141"/>
    <w:rsid w:val="00095202"/>
    <w:rPr>
      <w:rFonts w:ascii="Arial" w:hAnsi="Arial" w:cs="Arial"/>
    </w:rPr>
  </w:style>
  <w:style w:type="character" w:customStyle="1" w:styleId="SPRU151Char">
    <w:name w:val="SPRU 15.1 Char"/>
    <w:basedOn w:val="SPRU141Char"/>
    <w:link w:val="SPRU151"/>
    <w:rsid w:val="006055F6"/>
    <w:rPr>
      <w:rFonts w:ascii="Arial" w:hAnsi="Arial" w:cs="Arial"/>
    </w:rPr>
  </w:style>
  <w:style w:type="paragraph" w:customStyle="1" w:styleId="SPRUAppPara1">
    <w:name w:val="SPRU App Para 1"/>
    <w:basedOn w:val="SPRU11Paragraphs"/>
    <w:link w:val="SPRUAppPara1Char"/>
    <w:qFormat/>
    <w:rsid w:val="00D97E7F"/>
    <w:pPr>
      <w:numPr>
        <w:numId w:val="23"/>
      </w:numPr>
      <w:ind w:left="737" w:hanging="737"/>
    </w:pPr>
  </w:style>
  <w:style w:type="paragraph" w:customStyle="1" w:styleId="SPRUApppara2">
    <w:name w:val="SPRU App para 2"/>
    <w:basedOn w:val="SPRUAppPara1"/>
    <w:link w:val="SPRUApppara2Char"/>
    <w:qFormat/>
    <w:rsid w:val="00D97E7F"/>
    <w:pPr>
      <w:numPr>
        <w:numId w:val="24"/>
      </w:numPr>
      <w:ind w:left="737" w:hanging="737"/>
    </w:pPr>
  </w:style>
  <w:style w:type="character" w:customStyle="1" w:styleId="SPRUAppPara1Char">
    <w:name w:val="SPRU App Para 1 Char"/>
    <w:basedOn w:val="SPRU11ParagraphsChar"/>
    <w:link w:val="SPRUAppPara1"/>
    <w:rsid w:val="00D97E7F"/>
    <w:rPr>
      <w:rFonts w:ascii="Arial" w:hAnsi="Arial" w:cs="Arial"/>
    </w:rPr>
  </w:style>
  <w:style w:type="paragraph" w:customStyle="1" w:styleId="SPRUAppPara3">
    <w:name w:val="SPRU App Para 3"/>
    <w:basedOn w:val="SPRUApppara2"/>
    <w:link w:val="SPRUAppPara3Char"/>
    <w:qFormat/>
    <w:rsid w:val="00D97E7F"/>
    <w:pPr>
      <w:numPr>
        <w:numId w:val="25"/>
      </w:numPr>
      <w:ind w:left="737" w:hanging="737"/>
    </w:pPr>
  </w:style>
  <w:style w:type="character" w:customStyle="1" w:styleId="SPRUApppara2Char">
    <w:name w:val="SPRU App para 2 Char"/>
    <w:basedOn w:val="SPRUAppPara1Char"/>
    <w:link w:val="SPRUApppara2"/>
    <w:rsid w:val="00D97E7F"/>
    <w:rPr>
      <w:rFonts w:ascii="Arial" w:hAnsi="Arial" w:cs="Arial"/>
    </w:rPr>
  </w:style>
  <w:style w:type="paragraph" w:customStyle="1" w:styleId="SPRUApppara4">
    <w:name w:val="SPRU App para 4"/>
    <w:basedOn w:val="SPRUAppPara3"/>
    <w:link w:val="SPRUApppara4Char"/>
    <w:qFormat/>
    <w:rsid w:val="00D97E7F"/>
    <w:pPr>
      <w:numPr>
        <w:numId w:val="26"/>
      </w:numPr>
      <w:ind w:left="737" w:hanging="737"/>
    </w:pPr>
  </w:style>
  <w:style w:type="character" w:customStyle="1" w:styleId="SPRUAppPara3Char">
    <w:name w:val="SPRU App Para 3 Char"/>
    <w:basedOn w:val="SPRUApppara2Char"/>
    <w:link w:val="SPRUAppPara3"/>
    <w:rsid w:val="00D97E7F"/>
    <w:rPr>
      <w:rFonts w:ascii="Arial" w:hAnsi="Arial" w:cs="Arial"/>
    </w:rPr>
  </w:style>
  <w:style w:type="paragraph" w:customStyle="1" w:styleId="SPRUApppara5">
    <w:name w:val="SPRU App para 5"/>
    <w:basedOn w:val="SPRUApppara4"/>
    <w:link w:val="SPRUApppara5Char"/>
    <w:qFormat/>
    <w:rsid w:val="00D97E7F"/>
    <w:pPr>
      <w:numPr>
        <w:numId w:val="27"/>
      </w:numPr>
      <w:ind w:left="737" w:hanging="737"/>
    </w:pPr>
  </w:style>
  <w:style w:type="character" w:customStyle="1" w:styleId="SPRUApppara4Char">
    <w:name w:val="SPRU App para 4 Char"/>
    <w:basedOn w:val="SPRUAppPara3Char"/>
    <w:link w:val="SPRUApppara4"/>
    <w:rsid w:val="00D97E7F"/>
    <w:rPr>
      <w:rFonts w:ascii="Arial" w:hAnsi="Arial" w:cs="Arial"/>
    </w:rPr>
  </w:style>
  <w:style w:type="character" w:customStyle="1" w:styleId="SPRUApppara5Char">
    <w:name w:val="SPRU App para 5 Char"/>
    <w:basedOn w:val="SPRUApppara4Char"/>
    <w:link w:val="SPRUApppara5"/>
    <w:rsid w:val="00D97E7F"/>
    <w:rPr>
      <w:rFonts w:ascii="Arial" w:hAnsi="Arial" w:cs="Arial"/>
    </w:rPr>
  </w:style>
  <w:style w:type="paragraph" w:customStyle="1" w:styleId="Style6">
    <w:name w:val="Style6"/>
    <w:basedOn w:val="Normal"/>
    <w:rsid w:val="003B18AD"/>
    <w:pPr>
      <w:numPr>
        <w:numId w:val="29"/>
      </w:numPr>
      <w:spacing w:after="0" w:line="240" w:lineRule="auto"/>
      <w:jc w:val="both"/>
    </w:pPr>
    <w:rPr>
      <w:rFonts w:ascii="Arial" w:eastAsia="Times New Roman" w:hAnsi="Arial" w:cs="Arial"/>
      <w:color w:val="000000"/>
      <w:lang w:eastAsia="en-GB"/>
    </w:rPr>
  </w:style>
  <w:style w:type="character" w:customStyle="1" w:styleId="Heading3Char">
    <w:name w:val="Heading 3 Char"/>
    <w:aliases w:val="Heading 3 SPRU Char"/>
    <w:basedOn w:val="DefaultParagraphFont"/>
    <w:link w:val="Heading3"/>
    <w:uiPriority w:val="9"/>
    <w:rsid w:val="001B380F"/>
    <w:rPr>
      <w:rFonts w:ascii="Arial" w:eastAsiaTheme="majorEastAsia" w:hAnsi="Arial" w:cstheme="majorBidi"/>
      <w:i/>
      <w:szCs w:val="24"/>
    </w:rPr>
  </w:style>
  <w:style w:type="paragraph" w:customStyle="1" w:styleId="SPRUSubHeading">
    <w:name w:val="SPRU Sub Heading"/>
    <w:basedOn w:val="Heading2"/>
    <w:link w:val="SPRUSubHeadingChar"/>
    <w:rsid w:val="00835BE6"/>
    <w:pPr>
      <w:numPr>
        <w:numId w:val="31"/>
      </w:numPr>
      <w:ind w:left="737" w:hanging="737"/>
    </w:pPr>
    <w:rPr>
      <w:lang w:val="en-US"/>
    </w:rPr>
  </w:style>
  <w:style w:type="paragraph" w:customStyle="1" w:styleId="aSPRUSubHeadings">
    <w:name w:val="a) SPRU Sub Headings"/>
    <w:basedOn w:val="Heading2"/>
    <w:next w:val="Normal"/>
    <w:link w:val="aSPRUSubHeadingsChar"/>
    <w:qFormat/>
    <w:rsid w:val="00707C69"/>
    <w:pPr>
      <w:numPr>
        <w:numId w:val="44"/>
      </w:numPr>
    </w:pPr>
  </w:style>
  <w:style w:type="character" w:customStyle="1" w:styleId="SPRUSubHeadingChar">
    <w:name w:val="SPRU Sub Heading Char"/>
    <w:basedOn w:val="Heading1Char"/>
    <w:link w:val="SPRUSubHeading"/>
    <w:rsid w:val="00835BE6"/>
    <w:rPr>
      <w:rFonts w:ascii="Arial Bold" w:eastAsiaTheme="majorEastAsia" w:hAnsi="Arial Bold" w:cstheme="majorBidi"/>
      <w:b/>
      <w:szCs w:val="26"/>
      <w:lang w:val="en-US"/>
    </w:rPr>
  </w:style>
  <w:style w:type="paragraph" w:customStyle="1" w:styleId="2D71D25067E142ABA7A91F1D7DEA5D26">
    <w:name w:val="2D71D25067E142ABA7A91F1D7DEA5D26"/>
    <w:rsid w:val="00B31E03"/>
    <w:rPr>
      <w:rFonts w:eastAsiaTheme="minorEastAsia"/>
      <w:lang w:eastAsia="en-GB"/>
    </w:rPr>
  </w:style>
  <w:style w:type="character" w:customStyle="1" w:styleId="aSPRUSubHeadingsChar">
    <w:name w:val="a) SPRU Sub Headings Char"/>
    <w:basedOn w:val="Heading2Char"/>
    <w:link w:val="aSPRUSubHeadings"/>
    <w:rsid w:val="00707C69"/>
    <w:rPr>
      <w:rFonts w:ascii="Arial Bold" w:eastAsiaTheme="majorEastAsia" w:hAnsi="Arial Bold" w:cstheme="majorBidi"/>
      <w:b/>
      <w:szCs w:val="26"/>
    </w:rPr>
  </w:style>
  <w:style w:type="paragraph" w:customStyle="1" w:styleId="MatrixStandard">
    <w:name w:val="Matrix Standard"/>
    <w:basedOn w:val="Normal"/>
    <w:link w:val="MatrixStandardChar"/>
    <w:rsid w:val="00714CDF"/>
    <w:pPr>
      <w:widowControl w:val="0"/>
      <w:spacing w:after="0" w:line="240" w:lineRule="auto"/>
      <w:jc w:val="both"/>
    </w:pPr>
    <w:rPr>
      <w:rFonts w:ascii="Calibri" w:hAnsi="Calibri" w:cs="Arial"/>
    </w:rPr>
  </w:style>
  <w:style w:type="character" w:customStyle="1" w:styleId="MatrixStandardChar">
    <w:name w:val="Matrix Standard Char"/>
    <w:basedOn w:val="DefaultParagraphFont"/>
    <w:link w:val="MatrixStandard"/>
    <w:rsid w:val="00714CDF"/>
    <w:rPr>
      <w:rFonts w:ascii="Calibri" w:hAnsi="Calibri" w:cs="Arial"/>
    </w:rPr>
  </w:style>
  <w:style w:type="paragraph" w:customStyle="1" w:styleId="SPRU121paragraph">
    <w:name w:val="SPRU 12.1 paragraph"/>
    <w:basedOn w:val="Normal"/>
    <w:link w:val="SPRU121paragraphChar"/>
    <w:qFormat/>
    <w:rsid w:val="002135FA"/>
    <w:pPr>
      <w:widowControl w:val="0"/>
      <w:spacing w:after="120" w:line="240" w:lineRule="auto"/>
      <w:ind w:left="737" w:hanging="737"/>
      <w:jc w:val="both"/>
    </w:pPr>
    <w:rPr>
      <w:rFonts w:ascii="Arial" w:hAnsi="Arial" w:cs="Arial"/>
    </w:rPr>
  </w:style>
  <w:style w:type="character" w:customStyle="1" w:styleId="SPRU121paragraphChar">
    <w:name w:val="SPRU 12.1 paragraph Char"/>
    <w:basedOn w:val="DefaultParagraphFont"/>
    <w:link w:val="SPRU121paragraph"/>
    <w:rsid w:val="002135FA"/>
    <w:rPr>
      <w:rFonts w:ascii="Arial" w:hAnsi="Arial" w:cs="Arial"/>
    </w:rPr>
  </w:style>
  <w:style w:type="paragraph" w:customStyle="1" w:styleId="Style8">
    <w:name w:val="Style8"/>
    <w:basedOn w:val="Normal"/>
    <w:uiPriority w:val="99"/>
    <w:rsid w:val="0070197E"/>
    <w:pPr>
      <w:numPr>
        <w:numId w:val="34"/>
      </w:numPr>
      <w:tabs>
        <w:tab w:val="num" w:pos="720"/>
        <w:tab w:val="num" w:pos="8224"/>
      </w:tabs>
      <w:spacing w:after="120" w:line="360" w:lineRule="auto"/>
      <w:ind w:left="720"/>
      <w:jc w:val="both"/>
    </w:pPr>
    <w:rPr>
      <w:rFonts w:ascii="Arial" w:eastAsia="Times New Roman" w:hAnsi="Arial" w:cs="Times New Roman"/>
      <w:color w:val="000000"/>
    </w:rPr>
  </w:style>
  <w:style w:type="paragraph" w:customStyle="1" w:styleId="Style2">
    <w:name w:val="Style2"/>
    <w:basedOn w:val="Style1"/>
    <w:qFormat/>
    <w:rsid w:val="00197EF0"/>
    <w:pPr>
      <w:widowControl/>
      <w:numPr>
        <w:numId w:val="35"/>
      </w:numPr>
      <w:tabs>
        <w:tab w:val="clear" w:pos="567"/>
        <w:tab w:val="clear" w:pos="660"/>
        <w:tab w:val="clear" w:pos="9204"/>
      </w:tabs>
      <w:spacing w:after="120"/>
      <w:ind w:right="0"/>
      <w:jc w:val="both"/>
    </w:pPr>
    <w:rPr>
      <w:rFonts w:eastAsia="Times New Roman" w:cs="Times New Roman"/>
      <w:noProof w:val="0"/>
      <w:color w:val="000000"/>
    </w:rPr>
  </w:style>
  <w:style w:type="paragraph" w:customStyle="1" w:styleId="Quotes">
    <w:name w:val="Quotes"/>
    <w:basedOn w:val="Normal"/>
    <w:rsid w:val="00197EF0"/>
    <w:pPr>
      <w:spacing w:after="120" w:line="240" w:lineRule="auto"/>
      <w:ind w:left="1440"/>
      <w:jc w:val="both"/>
    </w:pPr>
    <w:rPr>
      <w:rFonts w:ascii="Arial" w:eastAsia="Times New Roman" w:hAnsi="Arial" w:cs="Arial"/>
      <w:i/>
      <w:szCs w:val="24"/>
      <w:lang w:eastAsia="en-GB"/>
    </w:rPr>
  </w:style>
  <w:style w:type="character" w:styleId="CommentReference">
    <w:name w:val="annotation reference"/>
    <w:basedOn w:val="DefaultParagraphFont"/>
    <w:uiPriority w:val="99"/>
    <w:semiHidden/>
    <w:unhideWhenUsed/>
    <w:rsid w:val="00E15E27"/>
    <w:rPr>
      <w:sz w:val="16"/>
      <w:szCs w:val="16"/>
    </w:rPr>
  </w:style>
  <w:style w:type="paragraph" w:styleId="CommentText">
    <w:name w:val="annotation text"/>
    <w:basedOn w:val="Normal"/>
    <w:link w:val="CommentTextChar"/>
    <w:uiPriority w:val="99"/>
    <w:unhideWhenUsed/>
    <w:rsid w:val="00E15E27"/>
    <w:pPr>
      <w:spacing w:line="240" w:lineRule="auto"/>
    </w:pPr>
    <w:rPr>
      <w:sz w:val="20"/>
      <w:szCs w:val="20"/>
    </w:rPr>
  </w:style>
  <w:style w:type="character" w:customStyle="1" w:styleId="CommentTextChar">
    <w:name w:val="Comment Text Char"/>
    <w:basedOn w:val="DefaultParagraphFont"/>
    <w:link w:val="CommentText"/>
    <w:uiPriority w:val="99"/>
    <w:rsid w:val="00E15E27"/>
    <w:rPr>
      <w:sz w:val="20"/>
      <w:szCs w:val="20"/>
    </w:rPr>
  </w:style>
  <w:style w:type="paragraph" w:styleId="CommentSubject">
    <w:name w:val="annotation subject"/>
    <w:basedOn w:val="CommentText"/>
    <w:next w:val="CommentText"/>
    <w:link w:val="CommentSubjectChar"/>
    <w:uiPriority w:val="99"/>
    <w:semiHidden/>
    <w:unhideWhenUsed/>
    <w:rsid w:val="00E15E27"/>
    <w:rPr>
      <w:b/>
      <w:bCs/>
    </w:rPr>
  </w:style>
  <w:style w:type="character" w:customStyle="1" w:styleId="CommentSubjectChar">
    <w:name w:val="Comment Subject Char"/>
    <w:basedOn w:val="CommentTextChar"/>
    <w:link w:val="CommentSubject"/>
    <w:uiPriority w:val="99"/>
    <w:semiHidden/>
    <w:rsid w:val="00E15E27"/>
    <w:rPr>
      <w:b/>
      <w:bCs/>
      <w:sz w:val="20"/>
      <w:szCs w:val="20"/>
    </w:rPr>
  </w:style>
  <w:style w:type="paragraph" w:styleId="BalloonText">
    <w:name w:val="Balloon Text"/>
    <w:basedOn w:val="Normal"/>
    <w:link w:val="BalloonTextChar"/>
    <w:uiPriority w:val="99"/>
    <w:semiHidden/>
    <w:unhideWhenUsed/>
    <w:rsid w:val="00E15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5E27"/>
    <w:rPr>
      <w:rFonts w:ascii="Segoe UI" w:hAnsi="Segoe UI" w:cs="Segoe UI"/>
      <w:sz w:val="18"/>
      <w:szCs w:val="18"/>
    </w:rPr>
  </w:style>
  <w:style w:type="paragraph" w:customStyle="1" w:styleId="DLPStandard">
    <w:name w:val="DLP Standard"/>
    <w:basedOn w:val="Normal"/>
    <w:link w:val="DLPStandardChar"/>
    <w:qFormat/>
    <w:rsid w:val="00BE59DE"/>
    <w:pPr>
      <w:widowControl w:val="0"/>
      <w:spacing w:after="0" w:line="240" w:lineRule="auto"/>
      <w:jc w:val="both"/>
    </w:pPr>
    <w:rPr>
      <w:rFonts w:ascii="Arial" w:hAnsi="Arial" w:cs="Arial"/>
    </w:rPr>
  </w:style>
  <w:style w:type="character" w:customStyle="1" w:styleId="DLPStandardChar">
    <w:name w:val="DLP Standard Char"/>
    <w:basedOn w:val="DefaultParagraphFont"/>
    <w:link w:val="DLPStandard"/>
    <w:rsid w:val="00BE59DE"/>
    <w:rPr>
      <w:rFonts w:ascii="Arial" w:hAnsi="Arial" w:cs="Arial"/>
    </w:rPr>
  </w:style>
  <w:style w:type="paragraph" w:styleId="NormalWeb">
    <w:name w:val="Normal (Web)"/>
    <w:basedOn w:val="Normal"/>
    <w:uiPriority w:val="99"/>
    <w:semiHidden/>
    <w:unhideWhenUsed/>
    <w:rsid w:val="001B6C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E3526D"/>
    <w:pPr>
      <w:ind w:left="720"/>
      <w:contextualSpacing/>
    </w:pPr>
  </w:style>
  <w:style w:type="character" w:styleId="FollowedHyperlink">
    <w:name w:val="FollowedHyperlink"/>
    <w:basedOn w:val="DefaultParagraphFont"/>
    <w:uiPriority w:val="99"/>
    <w:semiHidden/>
    <w:unhideWhenUsed/>
    <w:rsid w:val="00E3526D"/>
    <w:rPr>
      <w:color w:val="954F72" w:themeColor="followedHyperlink"/>
      <w:u w:val="single"/>
    </w:rPr>
  </w:style>
  <w:style w:type="paragraph" w:customStyle="1" w:styleId="Default">
    <w:name w:val="Default"/>
    <w:rsid w:val="005F65E1"/>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8F3E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3EC6"/>
    <w:rPr>
      <w:sz w:val="20"/>
      <w:szCs w:val="20"/>
    </w:rPr>
  </w:style>
  <w:style w:type="character" w:styleId="FootnoteReference">
    <w:name w:val="footnote reference"/>
    <w:basedOn w:val="DefaultParagraphFont"/>
    <w:uiPriority w:val="99"/>
    <w:semiHidden/>
    <w:unhideWhenUsed/>
    <w:rsid w:val="008F3EC6"/>
    <w:rPr>
      <w:vertAlign w:val="superscript"/>
    </w:rPr>
  </w:style>
  <w:style w:type="character" w:customStyle="1" w:styleId="ListParagraphChar">
    <w:name w:val="List Paragraph Char"/>
    <w:link w:val="ListParagraph"/>
    <w:uiPriority w:val="34"/>
    <w:locked/>
    <w:rsid w:val="00160824"/>
  </w:style>
  <w:style w:type="paragraph" w:customStyle="1" w:styleId="SPRU10ChapterHeadings">
    <w:name w:val="SPRU 1.0 Chapter Headings"/>
    <w:basedOn w:val="Heading1"/>
    <w:link w:val="SPRU10ChapterHeadingsChar"/>
    <w:qFormat/>
    <w:rsid w:val="00955EA5"/>
    <w:pPr>
      <w:numPr>
        <w:numId w:val="0"/>
      </w:numPr>
      <w:tabs>
        <w:tab w:val="num" w:pos="360"/>
      </w:tabs>
      <w:spacing w:after="200" w:line="240" w:lineRule="auto"/>
    </w:pPr>
    <w:rPr>
      <w:caps/>
    </w:rPr>
  </w:style>
  <w:style w:type="paragraph" w:customStyle="1" w:styleId="SPRUAppx1Chapters">
    <w:name w:val="SPRU Appx 1 Chapters"/>
    <w:basedOn w:val="Normal"/>
    <w:link w:val="SPRUAppx1ChaptersChar"/>
    <w:qFormat/>
    <w:rsid w:val="00955EA5"/>
    <w:pPr>
      <w:widowControl w:val="0"/>
      <w:spacing w:after="120" w:line="240" w:lineRule="auto"/>
      <w:ind w:left="1588" w:hanging="1588"/>
      <w:jc w:val="both"/>
    </w:pPr>
    <w:rPr>
      <w:rFonts w:ascii="Arial Bold" w:hAnsi="Arial Bold" w:cs="Arial"/>
      <w:b/>
      <w:caps/>
    </w:rPr>
  </w:style>
  <w:style w:type="paragraph" w:customStyle="1" w:styleId="SPRUaSubHeadings">
    <w:name w:val="SPRU a) Sub Headings"/>
    <w:basedOn w:val="Heading2"/>
    <w:next w:val="Normal"/>
    <w:link w:val="SPRUaSubHeadingsChar"/>
    <w:qFormat/>
    <w:rsid w:val="006F7115"/>
    <w:pPr>
      <w:numPr>
        <w:numId w:val="0"/>
      </w:numPr>
      <w:ind w:left="360" w:hanging="360"/>
      <w:jc w:val="both"/>
    </w:pPr>
    <w:rPr>
      <w:rFonts w:eastAsiaTheme="minorHAnsi" w:cstheme="minorBidi"/>
    </w:rPr>
  </w:style>
  <w:style w:type="character" w:customStyle="1" w:styleId="SPRU10ChapterHeadingsChar">
    <w:name w:val="SPRU 1.0 Chapter Headings Char"/>
    <w:basedOn w:val="SPRU00HEADINGChar"/>
    <w:link w:val="SPRU10ChapterHeadings"/>
    <w:rsid w:val="006F7115"/>
    <w:rPr>
      <w:rFonts w:ascii="Arial Bold" w:eastAsiaTheme="majorEastAsia" w:hAnsi="Arial Bold" w:cstheme="majorBidi"/>
      <w:b/>
      <w:caps/>
      <w:sz w:val="24"/>
      <w:szCs w:val="32"/>
    </w:rPr>
  </w:style>
  <w:style w:type="character" w:customStyle="1" w:styleId="SPRUaSubHeadingsChar">
    <w:name w:val="SPRU a) Sub Headings Char"/>
    <w:basedOn w:val="Heading2Char"/>
    <w:link w:val="SPRUaSubHeadings"/>
    <w:rsid w:val="006F7115"/>
    <w:rPr>
      <w:rFonts w:ascii="Arial Bold" w:eastAsiaTheme="majorEastAsia" w:hAnsi="Arial Bold" w:cstheme="majorBidi"/>
      <w:b/>
      <w:szCs w:val="26"/>
    </w:rPr>
  </w:style>
  <w:style w:type="character" w:customStyle="1" w:styleId="SPRUAppx1ChaptersChar">
    <w:name w:val="SPRU Appx 1 Chapters Char"/>
    <w:basedOn w:val="SPRUStandardChar"/>
    <w:link w:val="SPRUAppx1Chapters"/>
    <w:rsid w:val="006F7115"/>
    <w:rPr>
      <w:rFonts w:ascii="Arial Bold" w:hAnsi="Arial Bold" w:cs="Arial"/>
      <w:b/>
      <w:caps/>
    </w:rPr>
  </w:style>
  <w:style w:type="paragraph" w:customStyle="1" w:styleId="SPRUQuestion">
    <w:name w:val="SPRU Question"/>
    <w:basedOn w:val="SPRUaSubHeadings"/>
    <w:qFormat/>
    <w:rsid w:val="006F7115"/>
    <w:pPr>
      <w:numPr>
        <w:numId w:val="38"/>
      </w:numPr>
      <w:ind w:left="737" w:hanging="737"/>
      <w:outlineLvl w:val="9"/>
    </w:pPr>
  </w:style>
  <w:style w:type="paragraph" w:styleId="Revision">
    <w:name w:val="Revision"/>
    <w:hidden/>
    <w:uiPriority w:val="99"/>
    <w:semiHidden/>
    <w:rsid w:val="006F7115"/>
    <w:pPr>
      <w:spacing w:after="0" w:line="240" w:lineRule="auto"/>
    </w:pPr>
  </w:style>
  <w:style w:type="paragraph" w:styleId="BodyText">
    <w:name w:val="Body Text"/>
    <w:basedOn w:val="Normal"/>
    <w:link w:val="BodyTextChar"/>
    <w:uiPriority w:val="1"/>
    <w:qFormat/>
    <w:rsid w:val="006F7115"/>
    <w:pPr>
      <w:autoSpaceDE w:val="0"/>
      <w:autoSpaceDN w:val="0"/>
      <w:adjustRightInd w:val="0"/>
      <w:spacing w:after="0" w:line="240" w:lineRule="auto"/>
      <w:ind w:left="549" w:hanging="510"/>
    </w:pPr>
    <w:rPr>
      <w:rFonts w:ascii="Verdana" w:hAnsi="Verdana" w:cs="Verdana"/>
    </w:rPr>
  </w:style>
  <w:style w:type="character" w:customStyle="1" w:styleId="BodyTextChar">
    <w:name w:val="Body Text Char"/>
    <w:basedOn w:val="DefaultParagraphFont"/>
    <w:link w:val="BodyText"/>
    <w:uiPriority w:val="1"/>
    <w:rsid w:val="006F7115"/>
    <w:rPr>
      <w:rFonts w:ascii="Verdana" w:hAnsi="Verdana" w:cs="Verdana"/>
    </w:rPr>
  </w:style>
  <w:style w:type="paragraph" w:customStyle="1" w:styleId="SPRUx141">
    <w:name w:val="SPRUx 14.1"/>
    <w:basedOn w:val="SPRU121"/>
    <w:link w:val="SPRUx141Char"/>
    <w:qFormat/>
    <w:rsid w:val="006D4007"/>
    <w:pPr>
      <w:numPr>
        <w:numId w:val="39"/>
      </w:numPr>
    </w:pPr>
  </w:style>
  <w:style w:type="character" w:customStyle="1" w:styleId="SPRUx141Char">
    <w:name w:val="SPRUx 14.1 Char"/>
    <w:basedOn w:val="SPRU121paragraphChar"/>
    <w:link w:val="SPRUx141"/>
    <w:rsid w:val="006D4007"/>
    <w:rPr>
      <w:rFonts w:ascii="Arial" w:hAnsi="Arial" w:cs="Arial"/>
    </w:rPr>
  </w:style>
  <w:style w:type="paragraph" w:styleId="ListBullet">
    <w:name w:val="List Bullet"/>
    <w:basedOn w:val="Normal"/>
    <w:uiPriority w:val="1"/>
    <w:qFormat/>
    <w:rsid w:val="00A742C6"/>
    <w:pPr>
      <w:numPr>
        <w:numId w:val="42"/>
      </w:numPr>
      <w:spacing w:after="240" w:line="360" w:lineRule="auto"/>
      <w:ind w:left="357" w:hanging="357"/>
      <w:jc w:val="both"/>
    </w:pPr>
    <w:rPr>
      <w:rFonts w:eastAsia="Times New Roman" w:cs="Times New Roman"/>
      <w:sz w:val="20"/>
      <w:szCs w:val="20"/>
      <w:lang w:eastAsia="en-GB"/>
    </w:rPr>
  </w:style>
  <w:style w:type="paragraph" w:customStyle="1" w:styleId="Tabletext">
    <w:name w:val="Table text"/>
    <w:basedOn w:val="Normal"/>
    <w:rsid w:val="00201446"/>
    <w:pPr>
      <w:spacing w:before="120" w:after="120" w:line="264" w:lineRule="auto"/>
      <w:ind w:left="113" w:right="113"/>
    </w:pPr>
    <w:rPr>
      <w:rFonts w:ascii="Calibri Light" w:hAnsi="Calibri Light" w:cs="Calibri Light"/>
      <w:sz w:val="20"/>
      <w:szCs w:val="20"/>
      <w:lang w:eastAsia="en-GB"/>
    </w:rPr>
  </w:style>
  <w:style w:type="paragraph" w:customStyle="1" w:styleId="Tableorfiguretitle">
    <w:name w:val="Table or figure title"/>
    <w:basedOn w:val="Normal"/>
    <w:rsid w:val="00201446"/>
    <w:pPr>
      <w:spacing w:before="120" w:after="120" w:line="264" w:lineRule="auto"/>
      <w:ind w:left="113" w:right="113"/>
    </w:pPr>
    <w:rPr>
      <w:rFonts w:ascii="Calibri" w:hAnsi="Calibri" w:cs="Calibri"/>
      <w:color w:val="FFFFF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3992">
      <w:bodyDiv w:val="1"/>
      <w:marLeft w:val="0"/>
      <w:marRight w:val="0"/>
      <w:marTop w:val="0"/>
      <w:marBottom w:val="0"/>
      <w:divBdr>
        <w:top w:val="none" w:sz="0" w:space="0" w:color="auto"/>
        <w:left w:val="none" w:sz="0" w:space="0" w:color="auto"/>
        <w:bottom w:val="none" w:sz="0" w:space="0" w:color="auto"/>
        <w:right w:val="none" w:sz="0" w:space="0" w:color="auto"/>
      </w:divBdr>
    </w:div>
    <w:div w:id="91902083">
      <w:bodyDiv w:val="1"/>
      <w:marLeft w:val="0"/>
      <w:marRight w:val="0"/>
      <w:marTop w:val="0"/>
      <w:marBottom w:val="0"/>
      <w:divBdr>
        <w:top w:val="none" w:sz="0" w:space="0" w:color="auto"/>
        <w:left w:val="none" w:sz="0" w:space="0" w:color="auto"/>
        <w:bottom w:val="none" w:sz="0" w:space="0" w:color="auto"/>
        <w:right w:val="none" w:sz="0" w:space="0" w:color="auto"/>
      </w:divBdr>
    </w:div>
    <w:div w:id="153227833">
      <w:bodyDiv w:val="1"/>
      <w:marLeft w:val="0"/>
      <w:marRight w:val="0"/>
      <w:marTop w:val="0"/>
      <w:marBottom w:val="0"/>
      <w:divBdr>
        <w:top w:val="none" w:sz="0" w:space="0" w:color="auto"/>
        <w:left w:val="none" w:sz="0" w:space="0" w:color="auto"/>
        <w:bottom w:val="none" w:sz="0" w:space="0" w:color="auto"/>
        <w:right w:val="none" w:sz="0" w:space="0" w:color="auto"/>
      </w:divBdr>
    </w:div>
    <w:div w:id="155386377">
      <w:bodyDiv w:val="1"/>
      <w:marLeft w:val="0"/>
      <w:marRight w:val="0"/>
      <w:marTop w:val="0"/>
      <w:marBottom w:val="0"/>
      <w:divBdr>
        <w:top w:val="none" w:sz="0" w:space="0" w:color="auto"/>
        <w:left w:val="none" w:sz="0" w:space="0" w:color="auto"/>
        <w:bottom w:val="none" w:sz="0" w:space="0" w:color="auto"/>
        <w:right w:val="none" w:sz="0" w:space="0" w:color="auto"/>
      </w:divBdr>
    </w:div>
    <w:div w:id="175191816">
      <w:bodyDiv w:val="1"/>
      <w:marLeft w:val="0"/>
      <w:marRight w:val="0"/>
      <w:marTop w:val="0"/>
      <w:marBottom w:val="0"/>
      <w:divBdr>
        <w:top w:val="none" w:sz="0" w:space="0" w:color="auto"/>
        <w:left w:val="none" w:sz="0" w:space="0" w:color="auto"/>
        <w:bottom w:val="none" w:sz="0" w:space="0" w:color="auto"/>
        <w:right w:val="none" w:sz="0" w:space="0" w:color="auto"/>
      </w:divBdr>
    </w:div>
    <w:div w:id="193887144">
      <w:bodyDiv w:val="1"/>
      <w:marLeft w:val="0"/>
      <w:marRight w:val="0"/>
      <w:marTop w:val="0"/>
      <w:marBottom w:val="0"/>
      <w:divBdr>
        <w:top w:val="none" w:sz="0" w:space="0" w:color="auto"/>
        <w:left w:val="none" w:sz="0" w:space="0" w:color="auto"/>
        <w:bottom w:val="none" w:sz="0" w:space="0" w:color="auto"/>
        <w:right w:val="none" w:sz="0" w:space="0" w:color="auto"/>
      </w:divBdr>
    </w:div>
    <w:div w:id="222912989">
      <w:bodyDiv w:val="1"/>
      <w:marLeft w:val="0"/>
      <w:marRight w:val="0"/>
      <w:marTop w:val="0"/>
      <w:marBottom w:val="0"/>
      <w:divBdr>
        <w:top w:val="none" w:sz="0" w:space="0" w:color="auto"/>
        <w:left w:val="none" w:sz="0" w:space="0" w:color="auto"/>
        <w:bottom w:val="none" w:sz="0" w:space="0" w:color="auto"/>
        <w:right w:val="none" w:sz="0" w:space="0" w:color="auto"/>
      </w:divBdr>
    </w:div>
    <w:div w:id="259071247">
      <w:bodyDiv w:val="1"/>
      <w:marLeft w:val="0"/>
      <w:marRight w:val="0"/>
      <w:marTop w:val="0"/>
      <w:marBottom w:val="0"/>
      <w:divBdr>
        <w:top w:val="none" w:sz="0" w:space="0" w:color="auto"/>
        <w:left w:val="none" w:sz="0" w:space="0" w:color="auto"/>
        <w:bottom w:val="none" w:sz="0" w:space="0" w:color="auto"/>
        <w:right w:val="none" w:sz="0" w:space="0" w:color="auto"/>
      </w:divBdr>
    </w:div>
    <w:div w:id="278336612">
      <w:bodyDiv w:val="1"/>
      <w:marLeft w:val="0"/>
      <w:marRight w:val="0"/>
      <w:marTop w:val="0"/>
      <w:marBottom w:val="0"/>
      <w:divBdr>
        <w:top w:val="none" w:sz="0" w:space="0" w:color="auto"/>
        <w:left w:val="none" w:sz="0" w:space="0" w:color="auto"/>
        <w:bottom w:val="none" w:sz="0" w:space="0" w:color="auto"/>
        <w:right w:val="none" w:sz="0" w:space="0" w:color="auto"/>
      </w:divBdr>
    </w:div>
    <w:div w:id="303656599">
      <w:bodyDiv w:val="1"/>
      <w:marLeft w:val="0"/>
      <w:marRight w:val="0"/>
      <w:marTop w:val="0"/>
      <w:marBottom w:val="0"/>
      <w:divBdr>
        <w:top w:val="none" w:sz="0" w:space="0" w:color="auto"/>
        <w:left w:val="none" w:sz="0" w:space="0" w:color="auto"/>
        <w:bottom w:val="none" w:sz="0" w:space="0" w:color="auto"/>
        <w:right w:val="none" w:sz="0" w:space="0" w:color="auto"/>
      </w:divBdr>
    </w:div>
    <w:div w:id="372265639">
      <w:bodyDiv w:val="1"/>
      <w:marLeft w:val="0"/>
      <w:marRight w:val="0"/>
      <w:marTop w:val="0"/>
      <w:marBottom w:val="0"/>
      <w:divBdr>
        <w:top w:val="none" w:sz="0" w:space="0" w:color="auto"/>
        <w:left w:val="none" w:sz="0" w:space="0" w:color="auto"/>
        <w:bottom w:val="none" w:sz="0" w:space="0" w:color="auto"/>
        <w:right w:val="none" w:sz="0" w:space="0" w:color="auto"/>
      </w:divBdr>
    </w:div>
    <w:div w:id="466240921">
      <w:bodyDiv w:val="1"/>
      <w:marLeft w:val="0"/>
      <w:marRight w:val="0"/>
      <w:marTop w:val="0"/>
      <w:marBottom w:val="0"/>
      <w:divBdr>
        <w:top w:val="none" w:sz="0" w:space="0" w:color="auto"/>
        <w:left w:val="none" w:sz="0" w:space="0" w:color="auto"/>
        <w:bottom w:val="none" w:sz="0" w:space="0" w:color="auto"/>
        <w:right w:val="none" w:sz="0" w:space="0" w:color="auto"/>
      </w:divBdr>
    </w:div>
    <w:div w:id="489909231">
      <w:bodyDiv w:val="1"/>
      <w:marLeft w:val="0"/>
      <w:marRight w:val="0"/>
      <w:marTop w:val="0"/>
      <w:marBottom w:val="0"/>
      <w:divBdr>
        <w:top w:val="none" w:sz="0" w:space="0" w:color="auto"/>
        <w:left w:val="none" w:sz="0" w:space="0" w:color="auto"/>
        <w:bottom w:val="none" w:sz="0" w:space="0" w:color="auto"/>
        <w:right w:val="none" w:sz="0" w:space="0" w:color="auto"/>
      </w:divBdr>
    </w:div>
    <w:div w:id="501051329">
      <w:bodyDiv w:val="1"/>
      <w:marLeft w:val="0"/>
      <w:marRight w:val="0"/>
      <w:marTop w:val="0"/>
      <w:marBottom w:val="0"/>
      <w:divBdr>
        <w:top w:val="none" w:sz="0" w:space="0" w:color="auto"/>
        <w:left w:val="none" w:sz="0" w:space="0" w:color="auto"/>
        <w:bottom w:val="none" w:sz="0" w:space="0" w:color="auto"/>
        <w:right w:val="none" w:sz="0" w:space="0" w:color="auto"/>
      </w:divBdr>
    </w:div>
    <w:div w:id="526678546">
      <w:bodyDiv w:val="1"/>
      <w:marLeft w:val="0"/>
      <w:marRight w:val="0"/>
      <w:marTop w:val="0"/>
      <w:marBottom w:val="0"/>
      <w:divBdr>
        <w:top w:val="none" w:sz="0" w:space="0" w:color="auto"/>
        <w:left w:val="none" w:sz="0" w:space="0" w:color="auto"/>
        <w:bottom w:val="none" w:sz="0" w:space="0" w:color="auto"/>
        <w:right w:val="none" w:sz="0" w:space="0" w:color="auto"/>
      </w:divBdr>
    </w:div>
    <w:div w:id="543517934">
      <w:bodyDiv w:val="1"/>
      <w:marLeft w:val="0"/>
      <w:marRight w:val="0"/>
      <w:marTop w:val="0"/>
      <w:marBottom w:val="0"/>
      <w:divBdr>
        <w:top w:val="none" w:sz="0" w:space="0" w:color="auto"/>
        <w:left w:val="none" w:sz="0" w:space="0" w:color="auto"/>
        <w:bottom w:val="none" w:sz="0" w:space="0" w:color="auto"/>
        <w:right w:val="none" w:sz="0" w:space="0" w:color="auto"/>
      </w:divBdr>
    </w:div>
    <w:div w:id="588929477">
      <w:bodyDiv w:val="1"/>
      <w:marLeft w:val="0"/>
      <w:marRight w:val="0"/>
      <w:marTop w:val="0"/>
      <w:marBottom w:val="0"/>
      <w:divBdr>
        <w:top w:val="none" w:sz="0" w:space="0" w:color="auto"/>
        <w:left w:val="none" w:sz="0" w:space="0" w:color="auto"/>
        <w:bottom w:val="none" w:sz="0" w:space="0" w:color="auto"/>
        <w:right w:val="none" w:sz="0" w:space="0" w:color="auto"/>
      </w:divBdr>
    </w:div>
    <w:div w:id="593443580">
      <w:bodyDiv w:val="1"/>
      <w:marLeft w:val="0"/>
      <w:marRight w:val="0"/>
      <w:marTop w:val="0"/>
      <w:marBottom w:val="0"/>
      <w:divBdr>
        <w:top w:val="none" w:sz="0" w:space="0" w:color="auto"/>
        <w:left w:val="none" w:sz="0" w:space="0" w:color="auto"/>
        <w:bottom w:val="none" w:sz="0" w:space="0" w:color="auto"/>
        <w:right w:val="none" w:sz="0" w:space="0" w:color="auto"/>
      </w:divBdr>
    </w:div>
    <w:div w:id="604314384">
      <w:bodyDiv w:val="1"/>
      <w:marLeft w:val="0"/>
      <w:marRight w:val="0"/>
      <w:marTop w:val="0"/>
      <w:marBottom w:val="0"/>
      <w:divBdr>
        <w:top w:val="none" w:sz="0" w:space="0" w:color="auto"/>
        <w:left w:val="none" w:sz="0" w:space="0" w:color="auto"/>
        <w:bottom w:val="none" w:sz="0" w:space="0" w:color="auto"/>
        <w:right w:val="none" w:sz="0" w:space="0" w:color="auto"/>
      </w:divBdr>
    </w:div>
    <w:div w:id="607739625">
      <w:bodyDiv w:val="1"/>
      <w:marLeft w:val="0"/>
      <w:marRight w:val="0"/>
      <w:marTop w:val="0"/>
      <w:marBottom w:val="0"/>
      <w:divBdr>
        <w:top w:val="none" w:sz="0" w:space="0" w:color="auto"/>
        <w:left w:val="none" w:sz="0" w:space="0" w:color="auto"/>
        <w:bottom w:val="none" w:sz="0" w:space="0" w:color="auto"/>
        <w:right w:val="none" w:sz="0" w:space="0" w:color="auto"/>
      </w:divBdr>
    </w:div>
    <w:div w:id="624434495">
      <w:bodyDiv w:val="1"/>
      <w:marLeft w:val="0"/>
      <w:marRight w:val="0"/>
      <w:marTop w:val="0"/>
      <w:marBottom w:val="0"/>
      <w:divBdr>
        <w:top w:val="none" w:sz="0" w:space="0" w:color="auto"/>
        <w:left w:val="none" w:sz="0" w:space="0" w:color="auto"/>
        <w:bottom w:val="none" w:sz="0" w:space="0" w:color="auto"/>
        <w:right w:val="none" w:sz="0" w:space="0" w:color="auto"/>
      </w:divBdr>
    </w:div>
    <w:div w:id="674456372">
      <w:bodyDiv w:val="1"/>
      <w:marLeft w:val="0"/>
      <w:marRight w:val="0"/>
      <w:marTop w:val="0"/>
      <w:marBottom w:val="0"/>
      <w:divBdr>
        <w:top w:val="none" w:sz="0" w:space="0" w:color="auto"/>
        <w:left w:val="none" w:sz="0" w:space="0" w:color="auto"/>
        <w:bottom w:val="none" w:sz="0" w:space="0" w:color="auto"/>
        <w:right w:val="none" w:sz="0" w:space="0" w:color="auto"/>
      </w:divBdr>
    </w:div>
    <w:div w:id="775907839">
      <w:bodyDiv w:val="1"/>
      <w:marLeft w:val="0"/>
      <w:marRight w:val="0"/>
      <w:marTop w:val="0"/>
      <w:marBottom w:val="0"/>
      <w:divBdr>
        <w:top w:val="none" w:sz="0" w:space="0" w:color="auto"/>
        <w:left w:val="none" w:sz="0" w:space="0" w:color="auto"/>
        <w:bottom w:val="none" w:sz="0" w:space="0" w:color="auto"/>
        <w:right w:val="none" w:sz="0" w:space="0" w:color="auto"/>
      </w:divBdr>
    </w:div>
    <w:div w:id="866794548">
      <w:bodyDiv w:val="1"/>
      <w:marLeft w:val="0"/>
      <w:marRight w:val="0"/>
      <w:marTop w:val="0"/>
      <w:marBottom w:val="0"/>
      <w:divBdr>
        <w:top w:val="none" w:sz="0" w:space="0" w:color="auto"/>
        <w:left w:val="none" w:sz="0" w:space="0" w:color="auto"/>
        <w:bottom w:val="none" w:sz="0" w:space="0" w:color="auto"/>
        <w:right w:val="none" w:sz="0" w:space="0" w:color="auto"/>
      </w:divBdr>
    </w:div>
    <w:div w:id="951480081">
      <w:bodyDiv w:val="1"/>
      <w:marLeft w:val="0"/>
      <w:marRight w:val="0"/>
      <w:marTop w:val="0"/>
      <w:marBottom w:val="0"/>
      <w:divBdr>
        <w:top w:val="none" w:sz="0" w:space="0" w:color="auto"/>
        <w:left w:val="none" w:sz="0" w:space="0" w:color="auto"/>
        <w:bottom w:val="none" w:sz="0" w:space="0" w:color="auto"/>
        <w:right w:val="none" w:sz="0" w:space="0" w:color="auto"/>
      </w:divBdr>
    </w:div>
    <w:div w:id="983044464">
      <w:bodyDiv w:val="1"/>
      <w:marLeft w:val="0"/>
      <w:marRight w:val="0"/>
      <w:marTop w:val="0"/>
      <w:marBottom w:val="0"/>
      <w:divBdr>
        <w:top w:val="none" w:sz="0" w:space="0" w:color="auto"/>
        <w:left w:val="none" w:sz="0" w:space="0" w:color="auto"/>
        <w:bottom w:val="none" w:sz="0" w:space="0" w:color="auto"/>
        <w:right w:val="none" w:sz="0" w:space="0" w:color="auto"/>
      </w:divBdr>
    </w:div>
    <w:div w:id="1008023804">
      <w:bodyDiv w:val="1"/>
      <w:marLeft w:val="0"/>
      <w:marRight w:val="0"/>
      <w:marTop w:val="0"/>
      <w:marBottom w:val="0"/>
      <w:divBdr>
        <w:top w:val="none" w:sz="0" w:space="0" w:color="auto"/>
        <w:left w:val="none" w:sz="0" w:space="0" w:color="auto"/>
        <w:bottom w:val="none" w:sz="0" w:space="0" w:color="auto"/>
        <w:right w:val="none" w:sz="0" w:space="0" w:color="auto"/>
      </w:divBdr>
    </w:div>
    <w:div w:id="1075201903">
      <w:bodyDiv w:val="1"/>
      <w:marLeft w:val="0"/>
      <w:marRight w:val="0"/>
      <w:marTop w:val="0"/>
      <w:marBottom w:val="0"/>
      <w:divBdr>
        <w:top w:val="none" w:sz="0" w:space="0" w:color="auto"/>
        <w:left w:val="none" w:sz="0" w:space="0" w:color="auto"/>
        <w:bottom w:val="none" w:sz="0" w:space="0" w:color="auto"/>
        <w:right w:val="none" w:sz="0" w:space="0" w:color="auto"/>
      </w:divBdr>
    </w:div>
    <w:div w:id="1132796523">
      <w:bodyDiv w:val="1"/>
      <w:marLeft w:val="0"/>
      <w:marRight w:val="0"/>
      <w:marTop w:val="0"/>
      <w:marBottom w:val="0"/>
      <w:divBdr>
        <w:top w:val="none" w:sz="0" w:space="0" w:color="auto"/>
        <w:left w:val="none" w:sz="0" w:space="0" w:color="auto"/>
        <w:bottom w:val="none" w:sz="0" w:space="0" w:color="auto"/>
        <w:right w:val="none" w:sz="0" w:space="0" w:color="auto"/>
      </w:divBdr>
    </w:div>
    <w:div w:id="1195075468">
      <w:bodyDiv w:val="1"/>
      <w:marLeft w:val="0"/>
      <w:marRight w:val="0"/>
      <w:marTop w:val="0"/>
      <w:marBottom w:val="0"/>
      <w:divBdr>
        <w:top w:val="none" w:sz="0" w:space="0" w:color="auto"/>
        <w:left w:val="none" w:sz="0" w:space="0" w:color="auto"/>
        <w:bottom w:val="none" w:sz="0" w:space="0" w:color="auto"/>
        <w:right w:val="none" w:sz="0" w:space="0" w:color="auto"/>
      </w:divBdr>
    </w:div>
    <w:div w:id="1204559299">
      <w:bodyDiv w:val="1"/>
      <w:marLeft w:val="0"/>
      <w:marRight w:val="0"/>
      <w:marTop w:val="0"/>
      <w:marBottom w:val="0"/>
      <w:divBdr>
        <w:top w:val="none" w:sz="0" w:space="0" w:color="auto"/>
        <w:left w:val="none" w:sz="0" w:space="0" w:color="auto"/>
        <w:bottom w:val="none" w:sz="0" w:space="0" w:color="auto"/>
        <w:right w:val="none" w:sz="0" w:space="0" w:color="auto"/>
      </w:divBdr>
    </w:div>
    <w:div w:id="1220360316">
      <w:bodyDiv w:val="1"/>
      <w:marLeft w:val="0"/>
      <w:marRight w:val="0"/>
      <w:marTop w:val="0"/>
      <w:marBottom w:val="0"/>
      <w:divBdr>
        <w:top w:val="none" w:sz="0" w:space="0" w:color="auto"/>
        <w:left w:val="none" w:sz="0" w:space="0" w:color="auto"/>
        <w:bottom w:val="none" w:sz="0" w:space="0" w:color="auto"/>
        <w:right w:val="none" w:sz="0" w:space="0" w:color="auto"/>
      </w:divBdr>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315792393">
      <w:bodyDiv w:val="1"/>
      <w:marLeft w:val="0"/>
      <w:marRight w:val="0"/>
      <w:marTop w:val="0"/>
      <w:marBottom w:val="0"/>
      <w:divBdr>
        <w:top w:val="none" w:sz="0" w:space="0" w:color="auto"/>
        <w:left w:val="none" w:sz="0" w:space="0" w:color="auto"/>
        <w:bottom w:val="none" w:sz="0" w:space="0" w:color="auto"/>
        <w:right w:val="none" w:sz="0" w:space="0" w:color="auto"/>
      </w:divBdr>
    </w:div>
    <w:div w:id="1323434624">
      <w:bodyDiv w:val="1"/>
      <w:marLeft w:val="0"/>
      <w:marRight w:val="0"/>
      <w:marTop w:val="0"/>
      <w:marBottom w:val="0"/>
      <w:divBdr>
        <w:top w:val="none" w:sz="0" w:space="0" w:color="auto"/>
        <w:left w:val="none" w:sz="0" w:space="0" w:color="auto"/>
        <w:bottom w:val="none" w:sz="0" w:space="0" w:color="auto"/>
        <w:right w:val="none" w:sz="0" w:space="0" w:color="auto"/>
      </w:divBdr>
    </w:div>
    <w:div w:id="1332290251">
      <w:bodyDiv w:val="1"/>
      <w:marLeft w:val="0"/>
      <w:marRight w:val="0"/>
      <w:marTop w:val="0"/>
      <w:marBottom w:val="0"/>
      <w:divBdr>
        <w:top w:val="none" w:sz="0" w:space="0" w:color="auto"/>
        <w:left w:val="none" w:sz="0" w:space="0" w:color="auto"/>
        <w:bottom w:val="none" w:sz="0" w:space="0" w:color="auto"/>
        <w:right w:val="none" w:sz="0" w:space="0" w:color="auto"/>
      </w:divBdr>
    </w:div>
    <w:div w:id="1359742840">
      <w:bodyDiv w:val="1"/>
      <w:marLeft w:val="0"/>
      <w:marRight w:val="0"/>
      <w:marTop w:val="0"/>
      <w:marBottom w:val="0"/>
      <w:divBdr>
        <w:top w:val="none" w:sz="0" w:space="0" w:color="auto"/>
        <w:left w:val="none" w:sz="0" w:space="0" w:color="auto"/>
        <w:bottom w:val="none" w:sz="0" w:space="0" w:color="auto"/>
        <w:right w:val="none" w:sz="0" w:space="0" w:color="auto"/>
      </w:divBdr>
    </w:div>
    <w:div w:id="1410956244">
      <w:bodyDiv w:val="1"/>
      <w:marLeft w:val="0"/>
      <w:marRight w:val="0"/>
      <w:marTop w:val="0"/>
      <w:marBottom w:val="0"/>
      <w:divBdr>
        <w:top w:val="none" w:sz="0" w:space="0" w:color="auto"/>
        <w:left w:val="none" w:sz="0" w:space="0" w:color="auto"/>
        <w:bottom w:val="none" w:sz="0" w:space="0" w:color="auto"/>
        <w:right w:val="none" w:sz="0" w:space="0" w:color="auto"/>
      </w:divBdr>
    </w:div>
    <w:div w:id="1446728772">
      <w:bodyDiv w:val="1"/>
      <w:marLeft w:val="0"/>
      <w:marRight w:val="0"/>
      <w:marTop w:val="0"/>
      <w:marBottom w:val="0"/>
      <w:divBdr>
        <w:top w:val="none" w:sz="0" w:space="0" w:color="auto"/>
        <w:left w:val="none" w:sz="0" w:space="0" w:color="auto"/>
        <w:bottom w:val="none" w:sz="0" w:space="0" w:color="auto"/>
        <w:right w:val="none" w:sz="0" w:space="0" w:color="auto"/>
      </w:divBdr>
    </w:div>
    <w:div w:id="1455783400">
      <w:bodyDiv w:val="1"/>
      <w:marLeft w:val="0"/>
      <w:marRight w:val="0"/>
      <w:marTop w:val="0"/>
      <w:marBottom w:val="0"/>
      <w:divBdr>
        <w:top w:val="none" w:sz="0" w:space="0" w:color="auto"/>
        <w:left w:val="none" w:sz="0" w:space="0" w:color="auto"/>
        <w:bottom w:val="none" w:sz="0" w:space="0" w:color="auto"/>
        <w:right w:val="none" w:sz="0" w:space="0" w:color="auto"/>
      </w:divBdr>
    </w:div>
    <w:div w:id="1488787009">
      <w:bodyDiv w:val="1"/>
      <w:marLeft w:val="0"/>
      <w:marRight w:val="0"/>
      <w:marTop w:val="0"/>
      <w:marBottom w:val="0"/>
      <w:divBdr>
        <w:top w:val="none" w:sz="0" w:space="0" w:color="auto"/>
        <w:left w:val="none" w:sz="0" w:space="0" w:color="auto"/>
        <w:bottom w:val="none" w:sz="0" w:space="0" w:color="auto"/>
        <w:right w:val="none" w:sz="0" w:space="0" w:color="auto"/>
      </w:divBdr>
    </w:div>
    <w:div w:id="1502429717">
      <w:bodyDiv w:val="1"/>
      <w:marLeft w:val="0"/>
      <w:marRight w:val="0"/>
      <w:marTop w:val="0"/>
      <w:marBottom w:val="0"/>
      <w:divBdr>
        <w:top w:val="none" w:sz="0" w:space="0" w:color="auto"/>
        <w:left w:val="none" w:sz="0" w:space="0" w:color="auto"/>
        <w:bottom w:val="none" w:sz="0" w:space="0" w:color="auto"/>
        <w:right w:val="none" w:sz="0" w:space="0" w:color="auto"/>
      </w:divBdr>
    </w:div>
    <w:div w:id="1517385972">
      <w:bodyDiv w:val="1"/>
      <w:marLeft w:val="0"/>
      <w:marRight w:val="0"/>
      <w:marTop w:val="0"/>
      <w:marBottom w:val="0"/>
      <w:divBdr>
        <w:top w:val="none" w:sz="0" w:space="0" w:color="auto"/>
        <w:left w:val="none" w:sz="0" w:space="0" w:color="auto"/>
        <w:bottom w:val="none" w:sz="0" w:space="0" w:color="auto"/>
        <w:right w:val="none" w:sz="0" w:space="0" w:color="auto"/>
      </w:divBdr>
    </w:div>
    <w:div w:id="1546259255">
      <w:bodyDiv w:val="1"/>
      <w:marLeft w:val="0"/>
      <w:marRight w:val="0"/>
      <w:marTop w:val="0"/>
      <w:marBottom w:val="0"/>
      <w:divBdr>
        <w:top w:val="none" w:sz="0" w:space="0" w:color="auto"/>
        <w:left w:val="none" w:sz="0" w:space="0" w:color="auto"/>
        <w:bottom w:val="none" w:sz="0" w:space="0" w:color="auto"/>
        <w:right w:val="none" w:sz="0" w:space="0" w:color="auto"/>
      </w:divBdr>
    </w:div>
    <w:div w:id="1626811942">
      <w:bodyDiv w:val="1"/>
      <w:marLeft w:val="0"/>
      <w:marRight w:val="0"/>
      <w:marTop w:val="0"/>
      <w:marBottom w:val="0"/>
      <w:divBdr>
        <w:top w:val="none" w:sz="0" w:space="0" w:color="auto"/>
        <w:left w:val="none" w:sz="0" w:space="0" w:color="auto"/>
        <w:bottom w:val="none" w:sz="0" w:space="0" w:color="auto"/>
        <w:right w:val="none" w:sz="0" w:space="0" w:color="auto"/>
      </w:divBdr>
    </w:div>
    <w:div w:id="1692142580">
      <w:bodyDiv w:val="1"/>
      <w:marLeft w:val="0"/>
      <w:marRight w:val="0"/>
      <w:marTop w:val="0"/>
      <w:marBottom w:val="0"/>
      <w:divBdr>
        <w:top w:val="none" w:sz="0" w:space="0" w:color="auto"/>
        <w:left w:val="none" w:sz="0" w:space="0" w:color="auto"/>
        <w:bottom w:val="none" w:sz="0" w:space="0" w:color="auto"/>
        <w:right w:val="none" w:sz="0" w:space="0" w:color="auto"/>
      </w:divBdr>
    </w:div>
    <w:div w:id="1707565620">
      <w:bodyDiv w:val="1"/>
      <w:marLeft w:val="0"/>
      <w:marRight w:val="0"/>
      <w:marTop w:val="0"/>
      <w:marBottom w:val="0"/>
      <w:divBdr>
        <w:top w:val="none" w:sz="0" w:space="0" w:color="auto"/>
        <w:left w:val="none" w:sz="0" w:space="0" w:color="auto"/>
        <w:bottom w:val="none" w:sz="0" w:space="0" w:color="auto"/>
        <w:right w:val="none" w:sz="0" w:space="0" w:color="auto"/>
      </w:divBdr>
    </w:div>
    <w:div w:id="1739598484">
      <w:bodyDiv w:val="1"/>
      <w:marLeft w:val="0"/>
      <w:marRight w:val="0"/>
      <w:marTop w:val="0"/>
      <w:marBottom w:val="0"/>
      <w:divBdr>
        <w:top w:val="none" w:sz="0" w:space="0" w:color="auto"/>
        <w:left w:val="none" w:sz="0" w:space="0" w:color="auto"/>
        <w:bottom w:val="none" w:sz="0" w:space="0" w:color="auto"/>
        <w:right w:val="none" w:sz="0" w:space="0" w:color="auto"/>
      </w:divBdr>
    </w:div>
    <w:div w:id="1786122441">
      <w:bodyDiv w:val="1"/>
      <w:marLeft w:val="0"/>
      <w:marRight w:val="0"/>
      <w:marTop w:val="0"/>
      <w:marBottom w:val="0"/>
      <w:divBdr>
        <w:top w:val="none" w:sz="0" w:space="0" w:color="auto"/>
        <w:left w:val="none" w:sz="0" w:space="0" w:color="auto"/>
        <w:bottom w:val="none" w:sz="0" w:space="0" w:color="auto"/>
        <w:right w:val="none" w:sz="0" w:space="0" w:color="auto"/>
      </w:divBdr>
    </w:div>
    <w:div w:id="1791509951">
      <w:bodyDiv w:val="1"/>
      <w:marLeft w:val="0"/>
      <w:marRight w:val="0"/>
      <w:marTop w:val="0"/>
      <w:marBottom w:val="0"/>
      <w:divBdr>
        <w:top w:val="none" w:sz="0" w:space="0" w:color="auto"/>
        <w:left w:val="none" w:sz="0" w:space="0" w:color="auto"/>
        <w:bottom w:val="none" w:sz="0" w:space="0" w:color="auto"/>
        <w:right w:val="none" w:sz="0" w:space="0" w:color="auto"/>
      </w:divBdr>
    </w:div>
    <w:div w:id="1797866565">
      <w:bodyDiv w:val="1"/>
      <w:marLeft w:val="0"/>
      <w:marRight w:val="0"/>
      <w:marTop w:val="0"/>
      <w:marBottom w:val="0"/>
      <w:divBdr>
        <w:top w:val="none" w:sz="0" w:space="0" w:color="auto"/>
        <w:left w:val="none" w:sz="0" w:space="0" w:color="auto"/>
        <w:bottom w:val="none" w:sz="0" w:space="0" w:color="auto"/>
        <w:right w:val="none" w:sz="0" w:space="0" w:color="auto"/>
      </w:divBdr>
    </w:div>
    <w:div w:id="1807888150">
      <w:bodyDiv w:val="1"/>
      <w:marLeft w:val="0"/>
      <w:marRight w:val="0"/>
      <w:marTop w:val="0"/>
      <w:marBottom w:val="0"/>
      <w:divBdr>
        <w:top w:val="none" w:sz="0" w:space="0" w:color="auto"/>
        <w:left w:val="none" w:sz="0" w:space="0" w:color="auto"/>
        <w:bottom w:val="none" w:sz="0" w:space="0" w:color="auto"/>
        <w:right w:val="none" w:sz="0" w:space="0" w:color="auto"/>
      </w:divBdr>
    </w:div>
    <w:div w:id="1838105879">
      <w:bodyDiv w:val="1"/>
      <w:marLeft w:val="0"/>
      <w:marRight w:val="0"/>
      <w:marTop w:val="0"/>
      <w:marBottom w:val="0"/>
      <w:divBdr>
        <w:top w:val="none" w:sz="0" w:space="0" w:color="auto"/>
        <w:left w:val="none" w:sz="0" w:space="0" w:color="auto"/>
        <w:bottom w:val="none" w:sz="0" w:space="0" w:color="auto"/>
        <w:right w:val="none" w:sz="0" w:space="0" w:color="auto"/>
      </w:divBdr>
    </w:div>
    <w:div w:id="1840004107">
      <w:bodyDiv w:val="1"/>
      <w:marLeft w:val="0"/>
      <w:marRight w:val="0"/>
      <w:marTop w:val="0"/>
      <w:marBottom w:val="0"/>
      <w:divBdr>
        <w:top w:val="none" w:sz="0" w:space="0" w:color="auto"/>
        <w:left w:val="none" w:sz="0" w:space="0" w:color="auto"/>
        <w:bottom w:val="none" w:sz="0" w:space="0" w:color="auto"/>
        <w:right w:val="none" w:sz="0" w:space="0" w:color="auto"/>
      </w:divBdr>
    </w:div>
    <w:div w:id="1857959676">
      <w:bodyDiv w:val="1"/>
      <w:marLeft w:val="0"/>
      <w:marRight w:val="0"/>
      <w:marTop w:val="0"/>
      <w:marBottom w:val="0"/>
      <w:divBdr>
        <w:top w:val="none" w:sz="0" w:space="0" w:color="auto"/>
        <w:left w:val="none" w:sz="0" w:space="0" w:color="auto"/>
        <w:bottom w:val="none" w:sz="0" w:space="0" w:color="auto"/>
        <w:right w:val="none" w:sz="0" w:space="0" w:color="auto"/>
      </w:divBdr>
    </w:div>
    <w:div w:id="1934974419">
      <w:bodyDiv w:val="1"/>
      <w:marLeft w:val="0"/>
      <w:marRight w:val="0"/>
      <w:marTop w:val="0"/>
      <w:marBottom w:val="0"/>
      <w:divBdr>
        <w:top w:val="none" w:sz="0" w:space="0" w:color="auto"/>
        <w:left w:val="none" w:sz="0" w:space="0" w:color="auto"/>
        <w:bottom w:val="none" w:sz="0" w:space="0" w:color="auto"/>
        <w:right w:val="none" w:sz="0" w:space="0" w:color="auto"/>
      </w:divBdr>
    </w:div>
    <w:div w:id="1990553847">
      <w:bodyDiv w:val="1"/>
      <w:marLeft w:val="0"/>
      <w:marRight w:val="0"/>
      <w:marTop w:val="0"/>
      <w:marBottom w:val="0"/>
      <w:divBdr>
        <w:top w:val="none" w:sz="0" w:space="0" w:color="auto"/>
        <w:left w:val="none" w:sz="0" w:space="0" w:color="auto"/>
        <w:bottom w:val="none" w:sz="0" w:space="0" w:color="auto"/>
        <w:right w:val="none" w:sz="0" w:space="0" w:color="auto"/>
      </w:divBdr>
    </w:div>
    <w:div w:id="2004580222">
      <w:bodyDiv w:val="1"/>
      <w:marLeft w:val="0"/>
      <w:marRight w:val="0"/>
      <w:marTop w:val="0"/>
      <w:marBottom w:val="0"/>
      <w:divBdr>
        <w:top w:val="none" w:sz="0" w:space="0" w:color="auto"/>
        <w:left w:val="none" w:sz="0" w:space="0" w:color="auto"/>
        <w:bottom w:val="none" w:sz="0" w:space="0" w:color="auto"/>
        <w:right w:val="none" w:sz="0" w:space="0" w:color="auto"/>
      </w:divBdr>
    </w:div>
    <w:div w:id="2009167778">
      <w:bodyDiv w:val="1"/>
      <w:marLeft w:val="0"/>
      <w:marRight w:val="0"/>
      <w:marTop w:val="0"/>
      <w:marBottom w:val="0"/>
      <w:divBdr>
        <w:top w:val="none" w:sz="0" w:space="0" w:color="auto"/>
        <w:left w:val="none" w:sz="0" w:space="0" w:color="auto"/>
        <w:bottom w:val="none" w:sz="0" w:space="0" w:color="auto"/>
        <w:right w:val="none" w:sz="0" w:space="0" w:color="auto"/>
      </w:divBdr>
    </w:div>
    <w:div w:id="2037265172">
      <w:bodyDiv w:val="1"/>
      <w:marLeft w:val="0"/>
      <w:marRight w:val="0"/>
      <w:marTop w:val="0"/>
      <w:marBottom w:val="0"/>
      <w:divBdr>
        <w:top w:val="none" w:sz="0" w:space="0" w:color="auto"/>
        <w:left w:val="none" w:sz="0" w:space="0" w:color="auto"/>
        <w:bottom w:val="none" w:sz="0" w:space="0" w:color="auto"/>
        <w:right w:val="none" w:sz="0" w:space="0" w:color="auto"/>
      </w:divBdr>
    </w:div>
    <w:div w:id="2048945856">
      <w:bodyDiv w:val="1"/>
      <w:marLeft w:val="0"/>
      <w:marRight w:val="0"/>
      <w:marTop w:val="0"/>
      <w:marBottom w:val="0"/>
      <w:divBdr>
        <w:top w:val="none" w:sz="0" w:space="0" w:color="auto"/>
        <w:left w:val="none" w:sz="0" w:space="0" w:color="auto"/>
        <w:bottom w:val="none" w:sz="0" w:space="0" w:color="auto"/>
        <w:right w:val="none" w:sz="0" w:space="0" w:color="auto"/>
      </w:divBdr>
    </w:div>
    <w:div w:id="2084836042">
      <w:bodyDiv w:val="1"/>
      <w:marLeft w:val="0"/>
      <w:marRight w:val="0"/>
      <w:marTop w:val="0"/>
      <w:marBottom w:val="0"/>
      <w:divBdr>
        <w:top w:val="none" w:sz="0" w:space="0" w:color="auto"/>
        <w:left w:val="none" w:sz="0" w:space="0" w:color="auto"/>
        <w:bottom w:val="none" w:sz="0" w:space="0" w:color="auto"/>
        <w:right w:val="none" w:sz="0" w:space="0" w:color="auto"/>
      </w:divBdr>
    </w:div>
    <w:div w:id="2087337440">
      <w:bodyDiv w:val="1"/>
      <w:marLeft w:val="0"/>
      <w:marRight w:val="0"/>
      <w:marTop w:val="0"/>
      <w:marBottom w:val="0"/>
      <w:divBdr>
        <w:top w:val="none" w:sz="0" w:space="0" w:color="auto"/>
        <w:left w:val="none" w:sz="0" w:space="0" w:color="auto"/>
        <w:bottom w:val="none" w:sz="0" w:space="0" w:color="auto"/>
        <w:right w:val="none" w:sz="0" w:space="0" w:color="auto"/>
      </w:divBdr>
    </w:div>
    <w:div w:id="2092963017">
      <w:bodyDiv w:val="1"/>
      <w:marLeft w:val="0"/>
      <w:marRight w:val="0"/>
      <w:marTop w:val="0"/>
      <w:marBottom w:val="0"/>
      <w:divBdr>
        <w:top w:val="none" w:sz="0" w:space="0" w:color="auto"/>
        <w:left w:val="none" w:sz="0" w:space="0" w:color="auto"/>
        <w:bottom w:val="none" w:sz="0" w:space="0" w:color="auto"/>
        <w:right w:val="none" w:sz="0" w:space="0" w:color="auto"/>
      </w:divBdr>
    </w:div>
    <w:div w:id="214153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gif"/><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2aad57e-dbeb-4ff4-85f2-781a0acc4c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854531803C0D41891E6BC3F4F6A0CB" ma:contentTypeVersion="8" ma:contentTypeDescription="Create a new document." ma:contentTypeScope="" ma:versionID="4dbbf75f19ac02efeb54b287e6816a32">
  <xsd:schema xmlns:xsd="http://www.w3.org/2001/XMLSchema" xmlns:xs="http://www.w3.org/2001/XMLSchema" xmlns:p="http://schemas.microsoft.com/office/2006/metadata/properties" xmlns:ns3="b2aad57e-dbeb-4ff4-85f2-781a0acc4c2f" xmlns:ns4="63c2e333-03cb-4a2f-bf19-3f37c7522cdf" targetNamespace="http://schemas.microsoft.com/office/2006/metadata/properties" ma:root="true" ma:fieldsID="702cec91dd7238fad88e35255bb0e39c" ns3:_="" ns4:_="">
    <xsd:import namespace="b2aad57e-dbeb-4ff4-85f2-781a0acc4c2f"/>
    <xsd:import namespace="63c2e333-03cb-4a2f-bf19-3f37c7522c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ad57e-dbeb-4ff4-85f2-781a0acc4c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c2e333-03cb-4a2f-bf19-3f37c7522c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20E2D3-8EBA-4270-BCC4-4D773545BA8B}">
  <ds:schemaRefs>
    <ds:schemaRef ds:uri="http://schemas.openxmlformats.org/officeDocument/2006/bibliography"/>
  </ds:schemaRefs>
</ds:datastoreItem>
</file>

<file path=customXml/itemProps2.xml><?xml version="1.0" encoding="utf-8"?>
<ds:datastoreItem xmlns:ds="http://schemas.openxmlformats.org/officeDocument/2006/customXml" ds:itemID="{D87B6226-182C-47FE-8886-1C808E468DA3}">
  <ds:schemaRef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terms/"/>
    <ds:schemaRef ds:uri="63c2e333-03cb-4a2f-bf19-3f37c7522cdf"/>
    <ds:schemaRef ds:uri="b2aad57e-dbeb-4ff4-85f2-781a0acc4c2f"/>
    <ds:schemaRef ds:uri="http://www.w3.org/XML/1998/namespace"/>
  </ds:schemaRefs>
</ds:datastoreItem>
</file>

<file path=customXml/itemProps3.xml><?xml version="1.0" encoding="utf-8"?>
<ds:datastoreItem xmlns:ds="http://schemas.openxmlformats.org/officeDocument/2006/customXml" ds:itemID="{98973DFC-C0E2-4C9A-98D5-5B4B9A88E1E5}">
  <ds:schemaRefs>
    <ds:schemaRef ds:uri="http://schemas.microsoft.com/sharepoint/v3/contenttype/forms"/>
  </ds:schemaRefs>
</ds:datastoreItem>
</file>

<file path=customXml/itemProps4.xml><?xml version="1.0" encoding="utf-8"?>
<ds:datastoreItem xmlns:ds="http://schemas.openxmlformats.org/officeDocument/2006/customXml" ds:itemID="{A9C26AF3-CDCE-45DF-A616-17E331082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ad57e-dbeb-4ff4-85f2-781a0acc4c2f"/>
    <ds:schemaRef ds:uri="63c2e333-03cb-4a2f-bf19-3f37c7522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10606</Words>
  <Characters>60460</Characters>
  <Application>Microsoft Office Word</Application>
  <DocSecurity>4</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insert job number and site name</dc:creator>
  <cp:keywords/>
  <dc:description/>
  <cp:lastModifiedBy>Thomas Webster</cp:lastModifiedBy>
  <cp:revision>2</cp:revision>
  <cp:lastPrinted>2021-06-08T17:26:00Z</cp:lastPrinted>
  <dcterms:created xsi:type="dcterms:W3CDTF">2023-05-09T17:02:00Z</dcterms:created>
  <dcterms:modified xsi:type="dcterms:W3CDTF">2023-05-09T17:02:00Z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0x01010030854531803C0D41891E6BC3F4F6A0CB</vt:lpwstr>
  </property>
</Properties>
</file>