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7" w:rsidRDefault="00683AA7" w:rsidP="00683AA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February 2016 14:43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– Transfer of Land at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Upper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</w:p>
    <w:p w:rsidR="00683AA7" w:rsidRDefault="00683AA7" w:rsidP="00683AA7"/>
    <w:p w:rsidR="00683AA7" w:rsidRDefault="00683AA7" w:rsidP="00683AA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 DM/BF/47289</w:t>
      </w: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83AA7" w:rsidRDefault="00683AA7" w:rsidP="00683AA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Mytton</w:t>
      </w:r>
      <w:proofErr w:type="spellEnd"/>
      <w:r>
        <w:rPr>
          <w:rFonts w:ascii="Arial" w:hAnsi="Arial" w:cs="Arial"/>
          <w:sz w:val="24"/>
          <w:szCs w:val="24"/>
        </w:rPr>
        <w:t xml:space="preserve"> has asked me to send you this email.  Please reply to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Sirs,</w:t>
      </w: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83AA7" w:rsidRDefault="00683AA7" w:rsidP="00683AA7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Deed of Covenant in respect of Routeing Agreement – Transfer of Land at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Park,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 Developments Limited</w:t>
      </w: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Developments Limited on 29 September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has been completed as a result of a transfer of various areas of land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Developments Limited.</w:t>
      </w: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683AA7" w:rsidRDefault="00683AA7" w:rsidP="00683AA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683AA7" w:rsidRDefault="00683AA7" w:rsidP="00683AA7">
      <w:pPr>
        <w:rPr>
          <w:rFonts w:ascii="Arial" w:hAnsi="Arial" w:cs="Arial"/>
          <w:sz w:val="24"/>
          <w:szCs w:val="24"/>
        </w:rPr>
      </w:pPr>
    </w:p>
    <w:p w:rsidR="00683AA7" w:rsidRDefault="00683AA7" w:rsidP="00683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</w:p>
    <w:p w:rsidR="00683AA7" w:rsidRDefault="00683AA7" w:rsidP="00683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</w:t>
      </w:r>
    </w:p>
    <w:p w:rsidR="00683AA7" w:rsidRDefault="00683AA7" w:rsidP="00683AA7">
      <w:pPr>
        <w:rPr>
          <w:rFonts w:ascii="Arial" w:hAnsi="Arial" w:cs="Arial"/>
          <w:sz w:val="24"/>
          <w:szCs w:val="24"/>
        </w:rPr>
      </w:pP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(sent on behalf of David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)</w:t>
      </w: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683AA7" w:rsidRDefault="00683AA7" w:rsidP="00683AA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683AA7" w:rsidRDefault="00683AA7" w:rsidP="00683AA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683AA7" w:rsidRDefault="00683AA7" w:rsidP="00683A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A7"/>
    <w:rsid w:val="00683AA7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2016-02-11T12:32:00Z</dcterms:created>
  <dcterms:modified xsi:type="dcterms:W3CDTF">2016-02-11T12:32:00Z</dcterms:modified>
</cp:coreProperties>
</file>