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8CEC" w14:textId="77777777" w:rsidR="00D12126" w:rsidRPr="00FE6ABC" w:rsidRDefault="00D12126" w:rsidP="00D12126">
      <w:pPr>
        <w:jc w:val="left"/>
        <w:rPr>
          <w:b/>
          <w:color w:val="FF0000"/>
          <w:sz w:val="24"/>
          <w:szCs w:val="24"/>
        </w:rPr>
      </w:pPr>
      <w:r w:rsidRPr="00FE6ABC">
        <w:rPr>
          <w:noProof/>
          <w:color w:val="FF0000"/>
        </w:rPr>
        <w:drawing>
          <wp:inline distT="0" distB="0" distL="0" distR="0" wp14:anchorId="7DFCD4FB" wp14:editId="67839FE3">
            <wp:extent cx="3345815" cy="3543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15" cy="354330"/>
                    </a:xfrm>
                    <a:prstGeom prst="rect">
                      <a:avLst/>
                    </a:prstGeom>
                    <a:noFill/>
                    <a:ln>
                      <a:noFill/>
                    </a:ln>
                  </pic:spPr>
                </pic:pic>
              </a:graphicData>
            </a:graphic>
          </wp:inline>
        </w:drawing>
      </w:r>
    </w:p>
    <w:p w14:paraId="63C1173E" w14:textId="77777777" w:rsidR="00E52DBB" w:rsidRDefault="00E52DBB"/>
    <w:p w14:paraId="0E438B91" w14:textId="55534182" w:rsidR="00E615A7" w:rsidRPr="004628AD" w:rsidRDefault="00D23578" w:rsidP="0056719D">
      <w:pPr>
        <w:jc w:val="center"/>
        <w:rPr>
          <w:rFonts w:cs="Arial"/>
          <w:b/>
          <w:sz w:val="24"/>
          <w:szCs w:val="24"/>
        </w:rPr>
      </w:pPr>
      <w:r>
        <w:rPr>
          <w:rFonts w:cs="Arial"/>
          <w:b/>
          <w:sz w:val="24"/>
          <w:szCs w:val="24"/>
        </w:rPr>
        <w:t xml:space="preserve">Notes of </w:t>
      </w:r>
      <w:r w:rsidR="0056719D" w:rsidRPr="004628AD">
        <w:rPr>
          <w:rFonts w:cs="Arial"/>
          <w:b/>
          <w:sz w:val="24"/>
          <w:szCs w:val="24"/>
        </w:rPr>
        <w:t>Case Management Conference</w:t>
      </w:r>
    </w:p>
    <w:p w14:paraId="648415A8" w14:textId="0222B2C6" w:rsidR="0056719D" w:rsidRPr="004628AD" w:rsidRDefault="00C15A96" w:rsidP="0056719D">
      <w:pPr>
        <w:jc w:val="center"/>
        <w:rPr>
          <w:rFonts w:cs="Arial"/>
          <w:b/>
          <w:sz w:val="24"/>
          <w:szCs w:val="24"/>
        </w:rPr>
      </w:pPr>
      <w:r w:rsidRPr="004628AD">
        <w:rPr>
          <w:rFonts w:cs="Arial"/>
          <w:b/>
          <w:sz w:val="24"/>
          <w:szCs w:val="24"/>
        </w:rPr>
        <w:t xml:space="preserve">10.30 a.m. </w:t>
      </w:r>
      <w:r w:rsidR="00F11F8A" w:rsidRPr="004628AD">
        <w:rPr>
          <w:rFonts w:cs="Arial"/>
          <w:b/>
          <w:sz w:val="24"/>
          <w:szCs w:val="24"/>
        </w:rPr>
        <w:t xml:space="preserve">Monday </w:t>
      </w:r>
      <w:r w:rsidR="006857F1">
        <w:rPr>
          <w:rFonts w:cs="Arial"/>
          <w:b/>
          <w:sz w:val="24"/>
          <w:szCs w:val="24"/>
        </w:rPr>
        <w:t>14</w:t>
      </w:r>
      <w:r w:rsidR="00F11F8A" w:rsidRPr="004628AD">
        <w:rPr>
          <w:rFonts w:cs="Arial"/>
          <w:b/>
          <w:sz w:val="24"/>
          <w:szCs w:val="24"/>
        </w:rPr>
        <w:t xml:space="preserve"> December</w:t>
      </w:r>
      <w:r w:rsidR="0056719D" w:rsidRPr="004628AD">
        <w:rPr>
          <w:rFonts w:cs="Arial"/>
          <w:b/>
          <w:sz w:val="24"/>
          <w:szCs w:val="24"/>
        </w:rPr>
        <w:t xml:space="preserve"> 2020</w:t>
      </w:r>
    </w:p>
    <w:p w14:paraId="16A6BDA4" w14:textId="77777777" w:rsidR="0056719D" w:rsidRPr="004628AD" w:rsidRDefault="0056719D" w:rsidP="00D12126">
      <w:pPr>
        <w:jc w:val="left"/>
        <w:rPr>
          <w:b/>
          <w:color w:val="000000"/>
          <w:sz w:val="24"/>
          <w:szCs w:val="24"/>
        </w:rPr>
      </w:pPr>
    </w:p>
    <w:p w14:paraId="4801CF68" w14:textId="1993A36C" w:rsidR="00D12126" w:rsidRPr="004628AD" w:rsidRDefault="00D12126" w:rsidP="0056719D">
      <w:pPr>
        <w:jc w:val="center"/>
        <w:rPr>
          <w:b/>
          <w:color w:val="000000"/>
          <w:sz w:val="24"/>
          <w:szCs w:val="24"/>
        </w:rPr>
      </w:pPr>
      <w:r w:rsidRPr="004628AD">
        <w:rPr>
          <w:b/>
          <w:color w:val="000000"/>
          <w:sz w:val="24"/>
          <w:szCs w:val="24"/>
        </w:rPr>
        <w:t>Appeal Re</w:t>
      </w:r>
      <w:bookmarkStart w:id="0" w:name="_Hlk3386628"/>
      <w:r w:rsidRPr="004628AD">
        <w:rPr>
          <w:b/>
          <w:color w:val="000000"/>
          <w:sz w:val="24"/>
          <w:szCs w:val="24"/>
        </w:rPr>
        <w:t>f: APP/</w:t>
      </w:r>
      <w:r w:rsidR="00F11F8A" w:rsidRPr="004628AD">
        <w:rPr>
          <w:b/>
          <w:color w:val="000000"/>
          <w:sz w:val="24"/>
          <w:szCs w:val="24"/>
        </w:rPr>
        <w:t>C3105/W/20/3259189</w:t>
      </w:r>
    </w:p>
    <w:p w14:paraId="011BD962" w14:textId="77777777" w:rsidR="00655226" w:rsidRPr="004628AD" w:rsidRDefault="00655226" w:rsidP="00C612B9">
      <w:pPr>
        <w:jc w:val="left"/>
        <w:rPr>
          <w:b/>
          <w:color w:val="000000"/>
          <w:sz w:val="24"/>
          <w:szCs w:val="24"/>
        </w:rPr>
      </w:pPr>
    </w:p>
    <w:bookmarkEnd w:id="0"/>
    <w:p w14:paraId="67EE44A8" w14:textId="01351B73" w:rsidR="00DD5E6A" w:rsidRDefault="00D23578" w:rsidP="00D23578">
      <w:pPr>
        <w:pStyle w:val="ListParagraph"/>
        <w:numPr>
          <w:ilvl w:val="0"/>
          <w:numId w:val="18"/>
        </w:numPr>
        <w:ind w:left="567" w:hanging="567"/>
        <w:jc w:val="left"/>
        <w:rPr>
          <w:rFonts w:cs="Arial"/>
          <w:bCs/>
          <w:sz w:val="24"/>
          <w:szCs w:val="24"/>
        </w:rPr>
      </w:pPr>
      <w:r w:rsidRPr="00D23578">
        <w:rPr>
          <w:rFonts w:cs="Arial"/>
          <w:bCs/>
          <w:sz w:val="24"/>
          <w:szCs w:val="24"/>
        </w:rPr>
        <w:t xml:space="preserve">Mr S R G </w:t>
      </w:r>
      <w:r w:rsidR="00DD5E6A" w:rsidRPr="00D23578">
        <w:rPr>
          <w:rFonts w:cs="Arial"/>
          <w:bCs/>
          <w:sz w:val="24"/>
          <w:szCs w:val="24"/>
        </w:rPr>
        <w:t>Baird</w:t>
      </w:r>
      <w:r w:rsidRPr="00D23578">
        <w:rPr>
          <w:rFonts w:cs="Arial"/>
          <w:bCs/>
          <w:sz w:val="24"/>
          <w:szCs w:val="24"/>
        </w:rPr>
        <w:t xml:space="preserve"> BA (Hons) MRTPI is the Inspector appointed to </w:t>
      </w:r>
      <w:r w:rsidR="00DD5E6A" w:rsidRPr="00D23578">
        <w:rPr>
          <w:rFonts w:cs="Arial"/>
          <w:bCs/>
          <w:sz w:val="24"/>
          <w:szCs w:val="24"/>
        </w:rPr>
        <w:t xml:space="preserve">determine </w:t>
      </w:r>
      <w:r w:rsidRPr="00D23578">
        <w:rPr>
          <w:rFonts w:cs="Arial"/>
          <w:bCs/>
          <w:sz w:val="24"/>
          <w:szCs w:val="24"/>
        </w:rPr>
        <w:t>the</w:t>
      </w:r>
      <w:r w:rsidR="00DD5E6A" w:rsidRPr="00D23578">
        <w:rPr>
          <w:rFonts w:cs="Arial"/>
          <w:bCs/>
          <w:sz w:val="24"/>
          <w:szCs w:val="24"/>
        </w:rPr>
        <w:t xml:space="preserve"> appeal by Great Lakes UK Limited against the refusal of planning permission by Cherwell District Council for the redevelopment of part of a golf course to provide a new leisure resort incorporating a waterpark, family entertainment centre, hotel, conferencing facilities and restaurants with associated access, parking and landscaping on land to the east of the M40 and south of the A4095, Chesterton, Bicester.</w:t>
      </w:r>
    </w:p>
    <w:p w14:paraId="21197DFE" w14:textId="340EF432" w:rsidR="00D23578" w:rsidRDefault="00D23578" w:rsidP="00D23578">
      <w:pPr>
        <w:pStyle w:val="ListParagraph"/>
        <w:ind w:left="567"/>
        <w:jc w:val="left"/>
        <w:rPr>
          <w:rFonts w:cs="Arial"/>
          <w:bCs/>
          <w:sz w:val="24"/>
          <w:szCs w:val="24"/>
        </w:rPr>
      </w:pPr>
    </w:p>
    <w:p w14:paraId="4186F03A" w14:textId="1B3CEFBC" w:rsidR="00AF7432" w:rsidRDefault="00AF7432" w:rsidP="00D23578">
      <w:pPr>
        <w:pStyle w:val="ListParagraph"/>
        <w:numPr>
          <w:ilvl w:val="0"/>
          <w:numId w:val="18"/>
        </w:numPr>
        <w:ind w:left="567" w:hanging="567"/>
        <w:jc w:val="left"/>
        <w:rPr>
          <w:rFonts w:cs="Arial"/>
          <w:bCs/>
          <w:sz w:val="24"/>
          <w:szCs w:val="24"/>
        </w:rPr>
      </w:pPr>
      <w:r>
        <w:rPr>
          <w:rFonts w:cs="Arial"/>
          <w:bCs/>
          <w:sz w:val="24"/>
          <w:szCs w:val="24"/>
        </w:rPr>
        <w:t>James Strachan QC will appear for the appellant and will call 7 witnesses</w:t>
      </w:r>
      <w:r w:rsidR="00D549F5">
        <w:rPr>
          <w:rFonts w:cs="Arial"/>
          <w:bCs/>
          <w:sz w:val="24"/>
          <w:szCs w:val="24"/>
        </w:rPr>
        <w:t>,</w:t>
      </w:r>
      <w:r>
        <w:rPr>
          <w:rFonts w:cs="Arial"/>
          <w:bCs/>
          <w:sz w:val="24"/>
          <w:szCs w:val="24"/>
        </w:rPr>
        <w:t xml:space="preserve"> who will give evidence on:</w:t>
      </w:r>
    </w:p>
    <w:p w14:paraId="53B1AD99" w14:textId="77777777" w:rsidR="00AF7432" w:rsidRPr="00AF7432" w:rsidRDefault="00AF7432" w:rsidP="00AF7432">
      <w:pPr>
        <w:pStyle w:val="ListParagraph"/>
        <w:rPr>
          <w:rFonts w:cs="Arial"/>
          <w:bCs/>
          <w:sz w:val="24"/>
          <w:szCs w:val="24"/>
        </w:rPr>
      </w:pPr>
    </w:p>
    <w:p w14:paraId="6825A7B2" w14:textId="6D6AB3FC" w:rsidR="00AF7432" w:rsidRPr="00AF7432" w:rsidRDefault="00AF7432" w:rsidP="00AF7432">
      <w:pPr>
        <w:pStyle w:val="ListParagraph"/>
        <w:ind w:left="567"/>
        <w:rPr>
          <w:rFonts w:cs="Arial"/>
          <w:bCs/>
          <w:sz w:val="24"/>
          <w:szCs w:val="24"/>
        </w:rPr>
      </w:pPr>
      <w:r w:rsidRPr="00AF7432">
        <w:rPr>
          <w:rFonts w:cs="Arial"/>
          <w:bCs/>
          <w:sz w:val="24"/>
          <w:szCs w:val="24"/>
        </w:rPr>
        <w:t xml:space="preserve">Planning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sidRPr="00AF7432">
        <w:rPr>
          <w:rFonts w:cs="Arial"/>
          <w:bCs/>
          <w:sz w:val="24"/>
          <w:szCs w:val="24"/>
        </w:rPr>
        <w:t>Chris Goddard</w:t>
      </w:r>
      <w:r>
        <w:rPr>
          <w:rFonts w:cs="Arial"/>
          <w:bCs/>
          <w:sz w:val="24"/>
          <w:szCs w:val="24"/>
        </w:rPr>
        <w:t>;</w:t>
      </w:r>
      <w:r w:rsidRPr="00AF7432">
        <w:rPr>
          <w:rFonts w:cs="Arial"/>
          <w:bCs/>
          <w:sz w:val="24"/>
          <w:szCs w:val="24"/>
        </w:rPr>
        <w:t xml:space="preserve"> </w:t>
      </w:r>
    </w:p>
    <w:p w14:paraId="079F516D" w14:textId="3187C701" w:rsidR="00AF7432" w:rsidRPr="00AF7432" w:rsidRDefault="00AF7432" w:rsidP="00AF7432">
      <w:pPr>
        <w:pStyle w:val="ListParagraph"/>
        <w:ind w:left="567"/>
        <w:rPr>
          <w:rFonts w:cs="Arial"/>
          <w:bCs/>
          <w:sz w:val="24"/>
          <w:szCs w:val="24"/>
        </w:rPr>
      </w:pPr>
      <w:r w:rsidRPr="00AF7432">
        <w:rPr>
          <w:rFonts w:cs="Arial"/>
          <w:bCs/>
          <w:sz w:val="24"/>
          <w:szCs w:val="24"/>
        </w:rPr>
        <w:t>Design/</w:t>
      </w:r>
      <w:r>
        <w:rPr>
          <w:rFonts w:cs="Arial"/>
          <w:bCs/>
          <w:sz w:val="24"/>
          <w:szCs w:val="24"/>
        </w:rPr>
        <w:t>A</w:t>
      </w:r>
      <w:r w:rsidRPr="00AF7432">
        <w:rPr>
          <w:rFonts w:cs="Arial"/>
          <w:bCs/>
          <w:sz w:val="24"/>
          <w:szCs w:val="24"/>
        </w:rPr>
        <w:t>rchitecture</w:t>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sidRPr="00AF7432">
        <w:rPr>
          <w:rFonts w:cs="Arial"/>
          <w:bCs/>
          <w:sz w:val="24"/>
          <w:szCs w:val="24"/>
        </w:rPr>
        <w:t>Nick Rayner</w:t>
      </w:r>
      <w:r>
        <w:rPr>
          <w:rFonts w:cs="Arial"/>
          <w:bCs/>
          <w:sz w:val="24"/>
          <w:szCs w:val="24"/>
        </w:rPr>
        <w:t>;</w:t>
      </w:r>
      <w:r w:rsidRPr="00AF7432">
        <w:rPr>
          <w:rFonts w:cs="Arial"/>
          <w:bCs/>
          <w:sz w:val="24"/>
          <w:szCs w:val="24"/>
        </w:rPr>
        <w:t xml:space="preserve"> </w:t>
      </w:r>
    </w:p>
    <w:p w14:paraId="06037C72" w14:textId="40EA4B81" w:rsidR="00AF7432" w:rsidRPr="00AF7432" w:rsidRDefault="00AF7432" w:rsidP="00AF7432">
      <w:pPr>
        <w:pStyle w:val="ListParagraph"/>
        <w:ind w:left="567"/>
        <w:rPr>
          <w:rFonts w:cs="Arial"/>
          <w:bCs/>
          <w:sz w:val="24"/>
          <w:szCs w:val="24"/>
        </w:rPr>
      </w:pPr>
      <w:r w:rsidRPr="00AF7432">
        <w:rPr>
          <w:rFonts w:cs="Arial"/>
          <w:bCs/>
          <w:sz w:val="24"/>
          <w:szCs w:val="24"/>
        </w:rPr>
        <w:t xml:space="preserve">Transport and </w:t>
      </w:r>
      <w:r>
        <w:rPr>
          <w:rFonts w:cs="Arial"/>
          <w:bCs/>
          <w:sz w:val="24"/>
          <w:szCs w:val="24"/>
        </w:rPr>
        <w:t>H</w:t>
      </w:r>
      <w:r w:rsidRPr="00AF7432">
        <w:rPr>
          <w:rFonts w:cs="Arial"/>
          <w:bCs/>
          <w:sz w:val="24"/>
          <w:szCs w:val="24"/>
        </w:rPr>
        <w:t>ighways</w:t>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sidRPr="00AF7432">
        <w:rPr>
          <w:rFonts w:cs="Arial"/>
          <w:bCs/>
          <w:sz w:val="24"/>
          <w:szCs w:val="24"/>
        </w:rPr>
        <w:t>Philip Bell</w:t>
      </w:r>
      <w:r>
        <w:rPr>
          <w:rFonts w:cs="Arial"/>
          <w:bCs/>
          <w:sz w:val="24"/>
          <w:szCs w:val="24"/>
        </w:rPr>
        <w:t>;</w:t>
      </w:r>
      <w:r w:rsidRPr="00AF7432">
        <w:rPr>
          <w:rFonts w:cs="Arial"/>
          <w:bCs/>
          <w:sz w:val="24"/>
          <w:szCs w:val="24"/>
        </w:rPr>
        <w:t xml:space="preserve"> </w:t>
      </w:r>
    </w:p>
    <w:p w14:paraId="4EC9DD95" w14:textId="775F5B0B" w:rsidR="00AF7432" w:rsidRPr="00AF7432" w:rsidRDefault="00AF7432" w:rsidP="00AF7432">
      <w:pPr>
        <w:pStyle w:val="ListParagraph"/>
        <w:ind w:left="567"/>
        <w:rPr>
          <w:rFonts w:cs="Arial"/>
          <w:bCs/>
          <w:sz w:val="24"/>
          <w:szCs w:val="24"/>
        </w:rPr>
      </w:pPr>
      <w:r w:rsidRPr="00AF7432">
        <w:rPr>
          <w:rFonts w:cs="Arial"/>
          <w:bCs/>
          <w:sz w:val="24"/>
          <w:szCs w:val="24"/>
        </w:rPr>
        <w:t xml:space="preserve">Drainage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sidRPr="00AF7432">
        <w:rPr>
          <w:rFonts w:cs="Arial"/>
          <w:bCs/>
          <w:sz w:val="24"/>
          <w:szCs w:val="24"/>
        </w:rPr>
        <w:t xml:space="preserve">Richard </w:t>
      </w:r>
      <w:proofErr w:type="spellStart"/>
      <w:r w:rsidRPr="00AF7432">
        <w:rPr>
          <w:rFonts w:cs="Arial"/>
          <w:bCs/>
          <w:sz w:val="24"/>
          <w:szCs w:val="24"/>
        </w:rPr>
        <w:t>Bettridge</w:t>
      </w:r>
      <w:proofErr w:type="spellEnd"/>
      <w:r>
        <w:rPr>
          <w:rFonts w:cs="Arial"/>
          <w:bCs/>
          <w:sz w:val="24"/>
          <w:szCs w:val="24"/>
        </w:rPr>
        <w:t>;</w:t>
      </w:r>
      <w:r w:rsidRPr="00AF7432">
        <w:rPr>
          <w:rFonts w:cs="Arial"/>
          <w:bCs/>
          <w:sz w:val="24"/>
          <w:szCs w:val="24"/>
        </w:rPr>
        <w:t xml:space="preserve"> </w:t>
      </w:r>
    </w:p>
    <w:p w14:paraId="31467180" w14:textId="2034A444" w:rsidR="00AF7432" w:rsidRPr="00AF7432" w:rsidRDefault="00AF7432" w:rsidP="00AF7432">
      <w:pPr>
        <w:pStyle w:val="ListParagraph"/>
        <w:ind w:left="567"/>
        <w:rPr>
          <w:rFonts w:cs="Arial"/>
          <w:bCs/>
          <w:sz w:val="24"/>
          <w:szCs w:val="24"/>
        </w:rPr>
      </w:pPr>
      <w:r w:rsidRPr="00AF7432">
        <w:rPr>
          <w:rFonts w:cs="Arial"/>
          <w:bCs/>
          <w:sz w:val="24"/>
          <w:szCs w:val="24"/>
        </w:rPr>
        <w:t>Landscape/</w:t>
      </w:r>
      <w:r>
        <w:rPr>
          <w:rFonts w:cs="Arial"/>
          <w:bCs/>
          <w:sz w:val="24"/>
          <w:szCs w:val="24"/>
        </w:rPr>
        <w:t>V</w:t>
      </w:r>
      <w:r w:rsidRPr="00AF7432">
        <w:rPr>
          <w:rFonts w:cs="Arial"/>
          <w:bCs/>
          <w:sz w:val="24"/>
          <w:szCs w:val="24"/>
        </w:rPr>
        <w:t>isual impact</w:t>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sidRPr="00AF7432">
        <w:rPr>
          <w:rFonts w:cs="Arial"/>
          <w:bCs/>
          <w:sz w:val="24"/>
          <w:szCs w:val="24"/>
        </w:rPr>
        <w:t>Richard Waddell</w:t>
      </w:r>
      <w:r>
        <w:rPr>
          <w:rFonts w:cs="Arial"/>
          <w:bCs/>
          <w:sz w:val="24"/>
          <w:szCs w:val="24"/>
        </w:rPr>
        <w:t>;</w:t>
      </w:r>
    </w:p>
    <w:p w14:paraId="767D0334" w14:textId="1E8E9481" w:rsidR="00AF7432" w:rsidRDefault="00AF7432" w:rsidP="00AF7432">
      <w:pPr>
        <w:pStyle w:val="ListParagraph"/>
        <w:ind w:left="567"/>
        <w:rPr>
          <w:rFonts w:cs="Arial"/>
          <w:bCs/>
          <w:sz w:val="24"/>
          <w:szCs w:val="24"/>
        </w:rPr>
      </w:pPr>
      <w:r w:rsidRPr="00AF7432">
        <w:rPr>
          <w:rFonts w:cs="Arial"/>
          <w:bCs/>
          <w:sz w:val="24"/>
          <w:szCs w:val="24"/>
        </w:rPr>
        <w:t xml:space="preserve">Golf </w:t>
      </w:r>
      <w:r>
        <w:rPr>
          <w:rFonts w:cs="Arial"/>
          <w:bCs/>
          <w:sz w:val="24"/>
          <w:szCs w:val="24"/>
        </w:rPr>
        <w:t>P</w:t>
      </w:r>
      <w:r w:rsidRPr="00AF7432">
        <w:rPr>
          <w:rFonts w:cs="Arial"/>
          <w:bCs/>
          <w:sz w:val="24"/>
          <w:szCs w:val="24"/>
        </w:rPr>
        <w:t>rovision</w:t>
      </w:r>
      <w:r>
        <w:rPr>
          <w:rFonts w:cs="Arial"/>
          <w:bCs/>
          <w:sz w:val="24"/>
          <w:szCs w:val="24"/>
        </w:rPr>
        <w:tab/>
      </w:r>
      <w:r>
        <w:rPr>
          <w:rFonts w:cs="Arial"/>
          <w:bCs/>
          <w:sz w:val="24"/>
          <w:szCs w:val="24"/>
        </w:rPr>
        <w:tab/>
      </w:r>
      <w:r>
        <w:rPr>
          <w:rFonts w:cs="Arial"/>
          <w:bCs/>
          <w:sz w:val="24"/>
          <w:szCs w:val="24"/>
        </w:rPr>
        <w:tab/>
      </w:r>
      <w:r w:rsidRPr="00AF7432">
        <w:rPr>
          <w:rFonts w:cs="Arial"/>
          <w:bCs/>
          <w:sz w:val="24"/>
          <w:szCs w:val="24"/>
        </w:rPr>
        <w:t xml:space="preserve">– </w:t>
      </w:r>
      <w:r w:rsidR="00D549F5">
        <w:rPr>
          <w:rFonts w:cs="Arial"/>
          <w:bCs/>
          <w:sz w:val="24"/>
          <w:szCs w:val="24"/>
        </w:rPr>
        <w:tab/>
      </w:r>
      <w:r>
        <w:rPr>
          <w:rFonts w:cs="Arial"/>
          <w:bCs/>
          <w:sz w:val="24"/>
          <w:szCs w:val="24"/>
        </w:rPr>
        <w:t>Mr Ashworth;</w:t>
      </w:r>
    </w:p>
    <w:p w14:paraId="4D882F77" w14:textId="5171F125" w:rsidR="00AF7432" w:rsidRPr="00AF7432" w:rsidRDefault="00AF7432" w:rsidP="00AF7432">
      <w:pPr>
        <w:pStyle w:val="ListParagraph"/>
        <w:ind w:left="567"/>
        <w:rPr>
          <w:rFonts w:cs="Arial"/>
          <w:bCs/>
          <w:sz w:val="24"/>
          <w:szCs w:val="24"/>
        </w:rPr>
      </w:pPr>
      <w:r>
        <w:rPr>
          <w:rFonts w:cs="Arial"/>
          <w:bCs/>
          <w:sz w:val="24"/>
          <w:szCs w:val="24"/>
        </w:rPr>
        <w:t>Biodiversity</w:t>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Pr>
          <w:rFonts w:cs="Arial"/>
          <w:bCs/>
          <w:sz w:val="24"/>
          <w:szCs w:val="24"/>
        </w:rPr>
        <w:t>to be advised.</w:t>
      </w:r>
    </w:p>
    <w:p w14:paraId="70BAB895" w14:textId="77777777" w:rsidR="00AF7432" w:rsidRPr="00AF7432" w:rsidRDefault="00AF7432" w:rsidP="00AF7432">
      <w:pPr>
        <w:rPr>
          <w:rFonts w:cs="Arial"/>
          <w:bCs/>
          <w:sz w:val="24"/>
          <w:szCs w:val="24"/>
        </w:rPr>
      </w:pPr>
    </w:p>
    <w:p w14:paraId="01A4ACF5" w14:textId="0BC5CA3B" w:rsidR="00105A53" w:rsidRDefault="00AF7432" w:rsidP="00D23578">
      <w:pPr>
        <w:pStyle w:val="ListParagraph"/>
        <w:numPr>
          <w:ilvl w:val="0"/>
          <w:numId w:val="18"/>
        </w:numPr>
        <w:ind w:left="567" w:hanging="567"/>
        <w:jc w:val="left"/>
        <w:rPr>
          <w:rFonts w:cs="Arial"/>
          <w:bCs/>
          <w:sz w:val="24"/>
          <w:szCs w:val="24"/>
        </w:rPr>
      </w:pPr>
      <w:r>
        <w:rPr>
          <w:rFonts w:cs="Arial"/>
          <w:bCs/>
          <w:sz w:val="24"/>
          <w:szCs w:val="24"/>
        </w:rPr>
        <w:t>Douglas Edwards QC will appear for the local planning authority</w:t>
      </w:r>
      <w:r w:rsidR="00F97F35">
        <w:rPr>
          <w:rFonts w:cs="Arial"/>
          <w:bCs/>
          <w:sz w:val="24"/>
          <w:szCs w:val="24"/>
        </w:rPr>
        <w:t xml:space="preserve"> (lpa)</w:t>
      </w:r>
      <w:r>
        <w:rPr>
          <w:rFonts w:cs="Arial"/>
          <w:bCs/>
          <w:sz w:val="24"/>
          <w:szCs w:val="24"/>
        </w:rPr>
        <w:t xml:space="preserve"> and will call 6 witnesses</w:t>
      </w:r>
      <w:r w:rsidR="00D549F5">
        <w:rPr>
          <w:rFonts w:cs="Arial"/>
          <w:bCs/>
          <w:sz w:val="24"/>
          <w:szCs w:val="24"/>
        </w:rPr>
        <w:t>,</w:t>
      </w:r>
      <w:r>
        <w:rPr>
          <w:rFonts w:cs="Arial"/>
          <w:bCs/>
          <w:sz w:val="24"/>
          <w:szCs w:val="24"/>
        </w:rPr>
        <w:t xml:space="preserve"> </w:t>
      </w:r>
      <w:r w:rsidR="00105A53">
        <w:rPr>
          <w:rFonts w:cs="Arial"/>
          <w:bCs/>
          <w:sz w:val="24"/>
          <w:szCs w:val="24"/>
        </w:rPr>
        <w:t>who will give evidence on:</w:t>
      </w:r>
    </w:p>
    <w:p w14:paraId="02B41E41" w14:textId="77777777" w:rsidR="00105A53" w:rsidRDefault="00105A53" w:rsidP="00105A53">
      <w:pPr>
        <w:pStyle w:val="ListParagraph"/>
        <w:ind w:left="567"/>
        <w:jc w:val="left"/>
        <w:rPr>
          <w:rFonts w:cs="Arial"/>
          <w:bCs/>
          <w:sz w:val="24"/>
          <w:szCs w:val="24"/>
        </w:rPr>
      </w:pPr>
    </w:p>
    <w:p w14:paraId="46CEAA71" w14:textId="3DEBDF1F" w:rsidR="00105A53" w:rsidRPr="00105A53" w:rsidRDefault="00105A53" w:rsidP="00105A53">
      <w:pPr>
        <w:pStyle w:val="ListParagraph"/>
        <w:ind w:left="567"/>
        <w:rPr>
          <w:rFonts w:cs="Arial"/>
          <w:bCs/>
          <w:sz w:val="24"/>
          <w:szCs w:val="24"/>
        </w:rPr>
      </w:pPr>
      <w:r>
        <w:rPr>
          <w:rFonts w:cs="Arial"/>
          <w:bCs/>
          <w:sz w:val="24"/>
          <w:szCs w:val="24"/>
        </w:rPr>
        <w:t>Planning &amp; Sustainability</w:t>
      </w:r>
      <w:r w:rsidR="0060375F">
        <w:rPr>
          <w:rFonts w:cs="Arial"/>
          <w:bCs/>
          <w:sz w:val="24"/>
          <w:szCs w:val="24"/>
        </w:rPr>
        <w:tab/>
      </w:r>
      <w:r w:rsidR="0060375F">
        <w:rPr>
          <w:rFonts w:cs="Arial"/>
          <w:bCs/>
          <w:sz w:val="24"/>
          <w:szCs w:val="24"/>
        </w:rPr>
        <w:tab/>
      </w:r>
      <w:r w:rsidR="0060375F">
        <w:rPr>
          <w:rFonts w:cs="Arial"/>
          <w:bCs/>
          <w:sz w:val="24"/>
          <w:szCs w:val="24"/>
        </w:rPr>
        <w:tab/>
      </w:r>
      <w:r>
        <w:rPr>
          <w:rFonts w:cs="Arial"/>
          <w:bCs/>
          <w:sz w:val="24"/>
          <w:szCs w:val="24"/>
        </w:rPr>
        <w:t xml:space="preserve">- </w:t>
      </w:r>
      <w:r w:rsidR="00D549F5">
        <w:rPr>
          <w:rFonts w:cs="Arial"/>
          <w:bCs/>
          <w:sz w:val="24"/>
          <w:szCs w:val="24"/>
        </w:rPr>
        <w:tab/>
      </w:r>
      <w:r w:rsidRPr="00105A53">
        <w:rPr>
          <w:rFonts w:cs="Arial"/>
          <w:bCs/>
          <w:sz w:val="24"/>
          <w:szCs w:val="24"/>
        </w:rPr>
        <w:t>Andrew Bateson</w:t>
      </w:r>
      <w:r w:rsidR="0060375F">
        <w:rPr>
          <w:rFonts w:cs="Arial"/>
          <w:bCs/>
          <w:sz w:val="24"/>
          <w:szCs w:val="24"/>
        </w:rPr>
        <w:t>;</w:t>
      </w:r>
    </w:p>
    <w:p w14:paraId="016D9DED" w14:textId="1CDB901D" w:rsidR="00105A53" w:rsidRPr="00105A53" w:rsidRDefault="0060375F" w:rsidP="00105A53">
      <w:pPr>
        <w:pStyle w:val="ListParagraph"/>
        <w:ind w:left="567"/>
        <w:rPr>
          <w:rFonts w:cs="Arial"/>
          <w:bCs/>
          <w:sz w:val="24"/>
          <w:szCs w:val="24"/>
        </w:rPr>
      </w:pPr>
      <w:r>
        <w:rPr>
          <w:rFonts w:cs="Arial"/>
          <w:bCs/>
          <w:sz w:val="24"/>
          <w:szCs w:val="24"/>
        </w:rPr>
        <w:t>Golf Provision (Need)</w:t>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sidR="00105A53" w:rsidRPr="00105A53">
        <w:rPr>
          <w:rFonts w:cs="Arial"/>
          <w:bCs/>
          <w:sz w:val="24"/>
          <w:szCs w:val="24"/>
        </w:rPr>
        <w:t>Thomas Darlington</w:t>
      </w:r>
      <w:r>
        <w:rPr>
          <w:rFonts w:cs="Arial"/>
          <w:bCs/>
          <w:sz w:val="24"/>
          <w:szCs w:val="24"/>
        </w:rPr>
        <w:t>;</w:t>
      </w:r>
    </w:p>
    <w:p w14:paraId="130AF69B" w14:textId="2E3478EF" w:rsidR="0060375F" w:rsidRDefault="0060375F" w:rsidP="00105A53">
      <w:pPr>
        <w:pStyle w:val="ListParagraph"/>
        <w:ind w:left="567"/>
        <w:rPr>
          <w:rFonts w:cs="Arial"/>
          <w:bCs/>
          <w:sz w:val="24"/>
          <w:szCs w:val="24"/>
        </w:rPr>
      </w:pPr>
      <w:r>
        <w:rPr>
          <w:rFonts w:cs="Arial"/>
          <w:bCs/>
          <w:sz w:val="24"/>
          <w:szCs w:val="24"/>
        </w:rPr>
        <w:t>Golf Provision (Appellant’s Scheme)</w:t>
      </w:r>
      <w:r>
        <w:rPr>
          <w:rFonts w:cs="Arial"/>
          <w:bCs/>
          <w:sz w:val="24"/>
          <w:szCs w:val="24"/>
        </w:rPr>
        <w:tab/>
        <w:t xml:space="preserve">- </w:t>
      </w:r>
      <w:r w:rsidR="00D549F5">
        <w:rPr>
          <w:rFonts w:cs="Arial"/>
          <w:bCs/>
          <w:sz w:val="24"/>
          <w:szCs w:val="24"/>
        </w:rPr>
        <w:tab/>
      </w:r>
      <w:r w:rsidR="00105A53" w:rsidRPr="00105A53">
        <w:rPr>
          <w:rFonts w:cs="Arial"/>
          <w:bCs/>
          <w:sz w:val="24"/>
          <w:szCs w:val="24"/>
        </w:rPr>
        <w:t>Paul Almond</w:t>
      </w:r>
      <w:r>
        <w:rPr>
          <w:rFonts w:cs="Arial"/>
          <w:bCs/>
          <w:sz w:val="24"/>
          <w:szCs w:val="24"/>
        </w:rPr>
        <w:t>;</w:t>
      </w:r>
    </w:p>
    <w:p w14:paraId="5259FE1E" w14:textId="4047AC07" w:rsidR="00105A53" w:rsidRPr="00105A53" w:rsidRDefault="0060375F" w:rsidP="00105A53">
      <w:pPr>
        <w:pStyle w:val="ListParagraph"/>
        <w:ind w:left="567"/>
        <w:rPr>
          <w:rFonts w:cs="Arial"/>
          <w:bCs/>
          <w:sz w:val="24"/>
          <w:szCs w:val="24"/>
        </w:rPr>
      </w:pPr>
      <w:r>
        <w:rPr>
          <w:rFonts w:cs="Arial"/>
          <w:bCs/>
          <w:sz w:val="24"/>
          <w:szCs w:val="24"/>
        </w:rPr>
        <w:t>Highways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sidR="00105A53" w:rsidRPr="00105A53">
        <w:rPr>
          <w:rFonts w:cs="Arial"/>
          <w:bCs/>
          <w:sz w:val="24"/>
          <w:szCs w:val="24"/>
        </w:rPr>
        <w:t>Alan DeVenny</w:t>
      </w:r>
      <w:r w:rsidR="00F97F35">
        <w:rPr>
          <w:rFonts w:cs="Arial"/>
          <w:bCs/>
          <w:sz w:val="24"/>
          <w:szCs w:val="24"/>
        </w:rPr>
        <w:t>;</w:t>
      </w:r>
      <w:r w:rsidR="00105A53">
        <w:rPr>
          <w:rFonts w:cs="Arial"/>
          <w:bCs/>
          <w:sz w:val="24"/>
          <w:szCs w:val="24"/>
        </w:rPr>
        <w:tab/>
      </w:r>
      <w:r w:rsidR="00105A53">
        <w:rPr>
          <w:rFonts w:cs="Arial"/>
          <w:bCs/>
          <w:sz w:val="24"/>
          <w:szCs w:val="24"/>
        </w:rPr>
        <w:tab/>
      </w:r>
      <w:r w:rsidR="00105A53" w:rsidRPr="00105A53">
        <w:rPr>
          <w:rFonts w:cs="Arial"/>
          <w:bCs/>
          <w:sz w:val="24"/>
          <w:szCs w:val="24"/>
        </w:rPr>
        <w:t xml:space="preserve"> </w:t>
      </w:r>
    </w:p>
    <w:p w14:paraId="6176B105" w14:textId="189F4DEE" w:rsidR="00105A53" w:rsidRPr="00105A53" w:rsidRDefault="0060375F" w:rsidP="00105A53">
      <w:pPr>
        <w:pStyle w:val="ListParagraph"/>
        <w:ind w:left="567"/>
        <w:rPr>
          <w:rFonts w:cs="Arial"/>
          <w:bCs/>
          <w:sz w:val="24"/>
          <w:szCs w:val="24"/>
        </w:rPr>
      </w:pPr>
      <w:r>
        <w:rPr>
          <w:rFonts w:cs="Arial"/>
          <w:bCs/>
          <w:sz w:val="24"/>
          <w:szCs w:val="24"/>
        </w:rPr>
        <w:t>Character &amp; Appearance</w:t>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sidR="00105A53" w:rsidRPr="00105A53">
        <w:rPr>
          <w:rFonts w:cs="Arial"/>
          <w:bCs/>
          <w:sz w:val="24"/>
          <w:szCs w:val="24"/>
        </w:rPr>
        <w:t>David Huskisso</w:t>
      </w:r>
      <w:r>
        <w:rPr>
          <w:rFonts w:cs="Arial"/>
          <w:bCs/>
          <w:sz w:val="24"/>
          <w:szCs w:val="24"/>
        </w:rPr>
        <w:t>n;</w:t>
      </w:r>
    </w:p>
    <w:p w14:paraId="60B666B5" w14:textId="008B302A" w:rsidR="00F97F35" w:rsidRDefault="0060375F" w:rsidP="00105A53">
      <w:pPr>
        <w:pStyle w:val="ListParagraph"/>
        <w:ind w:left="567"/>
        <w:rPr>
          <w:rFonts w:cs="Arial"/>
          <w:bCs/>
          <w:sz w:val="24"/>
          <w:szCs w:val="24"/>
        </w:rPr>
      </w:pPr>
      <w:r>
        <w:rPr>
          <w:rFonts w:cs="Arial"/>
          <w:bCs/>
          <w:sz w:val="24"/>
          <w:szCs w:val="24"/>
        </w:rPr>
        <w:t>Drainage</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sidR="00105A53" w:rsidRPr="00105A53">
        <w:rPr>
          <w:rFonts w:cs="Arial"/>
          <w:bCs/>
          <w:sz w:val="24"/>
          <w:szCs w:val="24"/>
        </w:rPr>
        <w:t>Richard B</w:t>
      </w:r>
      <w:r w:rsidR="00D549F5">
        <w:rPr>
          <w:rFonts w:cs="Arial"/>
          <w:bCs/>
          <w:sz w:val="24"/>
          <w:szCs w:val="24"/>
        </w:rPr>
        <w:t>e</w:t>
      </w:r>
      <w:r w:rsidR="00F97F35">
        <w:rPr>
          <w:rFonts w:cs="Arial"/>
          <w:bCs/>
          <w:sz w:val="24"/>
          <w:szCs w:val="24"/>
        </w:rPr>
        <w:t>nn</w:t>
      </w:r>
      <w:r w:rsidR="00105A53" w:rsidRPr="00105A53">
        <w:rPr>
          <w:rFonts w:cs="Arial"/>
          <w:bCs/>
          <w:sz w:val="24"/>
          <w:szCs w:val="24"/>
        </w:rPr>
        <w:t>ett</w:t>
      </w:r>
      <w:r>
        <w:rPr>
          <w:rFonts w:cs="Arial"/>
          <w:bCs/>
          <w:sz w:val="24"/>
          <w:szCs w:val="24"/>
        </w:rPr>
        <w:t>.</w:t>
      </w:r>
    </w:p>
    <w:p w14:paraId="1B5995ED" w14:textId="77777777" w:rsidR="00F97F35" w:rsidRDefault="00F97F35" w:rsidP="00105A53">
      <w:pPr>
        <w:pStyle w:val="ListParagraph"/>
        <w:ind w:left="567"/>
        <w:rPr>
          <w:rFonts w:cs="Arial"/>
          <w:bCs/>
          <w:sz w:val="24"/>
          <w:szCs w:val="24"/>
        </w:rPr>
      </w:pPr>
    </w:p>
    <w:p w14:paraId="2171EAC7" w14:textId="76C362F7" w:rsidR="00105A53" w:rsidRPr="00105A53" w:rsidRDefault="00F97F35" w:rsidP="00105A53">
      <w:pPr>
        <w:pStyle w:val="ListParagraph"/>
        <w:ind w:left="567"/>
        <w:rPr>
          <w:rFonts w:cs="Arial"/>
          <w:bCs/>
          <w:sz w:val="24"/>
          <w:szCs w:val="24"/>
        </w:rPr>
      </w:pPr>
      <w:r>
        <w:rPr>
          <w:rFonts w:cs="Arial"/>
          <w:bCs/>
          <w:sz w:val="24"/>
          <w:szCs w:val="24"/>
        </w:rPr>
        <w:t xml:space="preserve">The lpa provided a note, Annex 1, setting out details of principal contacts. </w:t>
      </w:r>
    </w:p>
    <w:p w14:paraId="129EADD1" w14:textId="7B04A73A" w:rsidR="00865A3F" w:rsidRDefault="00AF7432" w:rsidP="00865A3F">
      <w:pPr>
        <w:pStyle w:val="ListParagraph"/>
        <w:ind w:left="567"/>
        <w:jc w:val="left"/>
        <w:rPr>
          <w:rFonts w:cs="Arial"/>
          <w:bCs/>
          <w:sz w:val="24"/>
          <w:szCs w:val="24"/>
        </w:rPr>
      </w:pPr>
      <w:r>
        <w:rPr>
          <w:rFonts w:cs="Arial"/>
          <w:bCs/>
          <w:sz w:val="24"/>
          <w:szCs w:val="24"/>
        </w:rPr>
        <w:t xml:space="preserve"> </w:t>
      </w:r>
      <w:r w:rsidR="00865A3F">
        <w:rPr>
          <w:rFonts w:cs="Arial"/>
          <w:bCs/>
          <w:sz w:val="24"/>
          <w:szCs w:val="24"/>
        </w:rPr>
        <w:br w:type="page"/>
      </w:r>
    </w:p>
    <w:p w14:paraId="7C9055D3" w14:textId="77777777" w:rsidR="00F97F35" w:rsidRPr="00865A3F" w:rsidRDefault="00F97F35" w:rsidP="00865A3F">
      <w:pPr>
        <w:pStyle w:val="ListParagraph"/>
        <w:ind w:left="567"/>
        <w:jc w:val="left"/>
        <w:rPr>
          <w:rFonts w:cs="Arial"/>
          <w:bCs/>
          <w:sz w:val="24"/>
          <w:szCs w:val="24"/>
        </w:rPr>
      </w:pPr>
      <w:bookmarkStart w:id="1" w:name="_GoBack"/>
      <w:bookmarkEnd w:id="1"/>
    </w:p>
    <w:p w14:paraId="065E0621" w14:textId="691B79E1" w:rsidR="0060375F" w:rsidRDefault="00F97F35" w:rsidP="00F97F35">
      <w:pPr>
        <w:pStyle w:val="ListParagraph"/>
        <w:ind w:left="567" w:hanging="567"/>
        <w:jc w:val="left"/>
        <w:rPr>
          <w:rFonts w:cs="Arial"/>
          <w:bCs/>
          <w:sz w:val="24"/>
          <w:szCs w:val="24"/>
        </w:rPr>
      </w:pPr>
      <w:r>
        <w:rPr>
          <w:rFonts w:cs="Arial"/>
          <w:bCs/>
          <w:sz w:val="24"/>
          <w:szCs w:val="24"/>
        </w:rPr>
        <w:t>4.</w:t>
      </w:r>
      <w:r>
        <w:rPr>
          <w:rFonts w:cs="Arial"/>
          <w:bCs/>
          <w:sz w:val="24"/>
          <w:szCs w:val="24"/>
        </w:rPr>
        <w:tab/>
      </w:r>
      <w:r w:rsidR="0060375F">
        <w:rPr>
          <w:rFonts w:cs="Arial"/>
          <w:bCs/>
          <w:sz w:val="24"/>
          <w:szCs w:val="24"/>
        </w:rPr>
        <w:t xml:space="preserve">Sasha White QC will appear for </w:t>
      </w:r>
      <w:r>
        <w:rPr>
          <w:rFonts w:cs="Arial"/>
          <w:bCs/>
          <w:sz w:val="24"/>
          <w:szCs w:val="24"/>
        </w:rPr>
        <w:t xml:space="preserve">a consortium of Parish </w:t>
      </w:r>
      <w:r w:rsidR="00865A3F">
        <w:rPr>
          <w:rFonts w:cs="Arial"/>
          <w:bCs/>
          <w:sz w:val="24"/>
          <w:szCs w:val="24"/>
        </w:rPr>
        <w:t>Councils [</w:t>
      </w:r>
      <w:r w:rsidR="0060375F">
        <w:rPr>
          <w:rFonts w:cs="Arial"/>
          <w:bCs/>
          <w:sz w:val="24"/>
          <w:szCs w:val="24"/>
        </w:rPr>
        <w:t xml:space="preserve">Parishes Against Wolf </w:t>
      </w:r>
      <w:r w:rsidR="00CB0524">
        <w:rPr>
          <w:rFonts w:cs="Arial"/>
          <w:bCs/>
          <w:sz w:val="24"/>
          <w:szCs w:val="24"/>
        </w:rPr>
        <w:t>(PAW)</w:t>
      </w:r>
      <w:r>
        <w:rPr>
          <w:rFonts w:cs="Arial"/>
          <w:bCs/>
          <w:sz w:val="24"/>
          <w:szCs w:val="24"/>
        </w:rPr>
        <w:t>]</w:t>
      </w:r>
      <w:r w:rsidR="00CB0524">
        <w:rPr>
          <w:rFonts w:cs="Arial"/>
          <w:bCs/>
          <w:sz w:val="24"/>
          <w:szCs w:val="24"/>
        </w:rPr>
        <w:t>, a</w:t>
      </w:r>
      <w:r w:rsidR="0060375F">
        <w:rPr>
          <w:rFonts w:cs="Arial"/>
          <w:bCs/>
          <w:sz w:val="24"/>
          <w:szCs w:val="24"/>
        </w:rPr>
        <w:t xml:space="preserve"> Rule 6 </w:t>
      </w:r>
      <w:r w:rsidR="00CB0524">
        <w:rPr>
          <w:rFonts w:cs="Arial"/>
          <w:bCs/>
          <w:sz w:val="24"/>
          <w:szCs w:val="24"/>
        </w:rPr>
        <w:t>P</w:t>
      </w:r>
      <w:r w:rsidR="0060375F">
        <w:rPr>
          <w:rFonts w:cs="Arial"/>
          <w:bCs/>
          <w:sz w:val="24"/>
          <w:szCs w:val="24"/>
        </w:rPr>
        <w:t>arty</w:t>
      </w:r>
      <w:r w:rsidR="00CB0524">
        <w:rPr>
          <w:rFonts w:cs="Arial"/>
          <w:bCs/>
          <w:sz w:val="24"/>
          <w:szCs w:val="24"/>
        </w:rPr>
        <w:t>,</w:t>
      </w:r>
      <w:r w:rsidR="0060375F">
        <w:rPr>
          <w:rFonts w:cs="Arial"/>
          <w:bCs/>
          <w:sz w:val="24"/>
          <w:szCs w:val="24"/>
        </w:rPr>
        <w:t xml:space="preserve"> and will call </w:t>
      </w:r>
      <w:r w:rsidR="0043022E">
        <w:rPr>
          <w:rFonts w:cs="Arial"/>
          <w:bCs/>
          <w:sz w:val="24"/>
          <w:szCs w:val="24"/>
        </w:rPr>
        <w:t>4 witnesses</w:t>
      </w:r>
      <w:r w:rsidR="00D549F5">
        <w:rPr>
          <w:rFonts w:cs="Arial"/>
          <w:bCs/>
          <w:sz w:val="24"/>
          <w:szCs w:val="24"/>
        </w:rPr>
        <w:t>,</w:t>
      </w:r>
      <w:r w:rsidR="0043022E">
        <w:rPr>
          <w:rFonts w:cs="Arial"/>
          <w:bCs/>
          <w:sz w:val="24"/>
          <w:szCs w:val="24"/>
        </w:rPr>
        <w:t xml:space="preserve"> who will give evidence on:</w:t>
      </w:r>
    </w:p>
    <w:p w14:paraId="3ACD0B47" w14:textId="6736682D" w:rsidR="0043022E" w:rsidRDefault="0043022E" w:rsidP="0043022E">
      <w:pPr>
        <w:pStyle w:val="ListParagraph"/>
        <w:ind w:left="567"/>
        <w:jc w:val="left"/>
        <w:rPr>
          <w:rFonts w:cs="Arial"/>
          <w:bCs/>
          <w:sz w:val="24"/>
          <w:szCs w:val="24"/>
        </w:rPr>
      </w:pPr>
    </w:p>
    <w:p w14:paraId="2D4767D5" w14:textId="26DDDEF9" w:rsidR="0043022E" w:rsidRDefault="0043022E" w:rsidP="0043022E">
      <w:pPr>
        <w:pStyle w:val="ListParagraph"/>
        <w:ind w:left="567"/>
        <w:jc w:val="left"/>
        <w:rPr>
          <w:rFonts w:cs="Arial"/>
          <w:bCs/>
          <w:sz w:val="24"/>
          <w:szCs w:val="24"/>
        </w:rPr>
      </w:pPr>
      <w:r>
        <w:rPr>
          <w:rFonts w:cs="Arial"/>
          <w:bCs/>
          <w:sz w:val="24"/>
          <w:szCs w:val="24"/>
        </w:rPr>
        <w:t>Planning</w:t>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Pr>
          <w:rFonts w:cs="Arial"/>
          <w:bCs/>
          <w:sz w:val="24"/>
          <w:szCs w:val="24"/>
        </w:rPr>
        <w:t xml:space="preserve">Steven </w:t>
      </w:r>
      <w:proofErr w:type="spellStart"/>
      <w:r>
        <w:rPr>
          <w:rFonts w:cs="Arial"/>
          <w:bCs/>
          <w:sz w:val="24"/>
          <w:szCs w:val="24"/>
        </w:rPr>
        <w:t>Sensecall</w:t>
      </w:r>
      <w:proofErr w:type="spellEnd"/>
      <w:r>
        <w:rPr>
          <w:rFonts w:cs="Arial"/>
          <w:bCs/>
          <w:sz w:val="24"/>
          <w:szCs w:val="24"/>
        </w:rPr>
        <w:t>;</w:t>
      </w:r>
    </w:p>
    <w:p w14:paraId="63E776DA" w14:textId="43599CAD" w:rsidR="0043022E" w:rsidRDefault="0043022E" w:rsidP="0043022E">
      <w:pPr>
        <w:pStyle w:val="ListParagraph"/>
        <w:ind w:left="567"/>
        <w:jc w:val="left"/>
        <w:rPr>
          <w:rFonts w:cs="Arial"/>
          <w:bCs/>
          <w:sz w:val="24"/>
          <w:szCs w:val="24"/>
        </w:rPr>
      </w:pPr>
      <w:r>
        <w:rPr>
          <w:rFonts w:cs="Arial"/>
          <w:bCs/>
          <w:sz w:val="24"/>
          <w:szCs w:val="24"/>
        </w:rPr>
        <w:t>Highways</w:t>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00D549F5">
        <w:rPr>
          <w:rFonts w:cs="Arial"/>
          <w:bCs/>
          <w:sz w:val="24"/>
          <w:szCs w:val="24"/>
        </w:rPr>
        <w:tab/>
      </w:r>
      <w:r>
        <w:rPr>
          <w:rFonts w:cs="Arial"/>
          <w:bCs/>
          <w:sz w:val="24"/>
          <w:szCs w:val="24"/>
        </w:rPr>
        <w:t>Rupert Lyons;</w:t>
      </w:r>
    </w:p>
    <w:p w14:paraId="4CEFE06D" w14:textId="2E71BC7A" w:rsidR="0043022E" w:rsidRDefault="0043022E" w:rsidP="0043022E">
      <w:pPr>
        <w:pStyle w:val="ListParagraph"/>
        <w:ind w:left="567"/>
        <w:jc w:val="left"/>
        <w:rPr>
          <w:rFonts w:cs="Arial"/>
          <w:bCs/>
          <w:sz w:val="24"/>
          <w:szCs w:val="24"/>
        </w:rPr>
      </w:pPr>
      <w:r>
        <w:rPr>
          <w:rFonts w:cs="Arial"/>
          <w:bCs/>
          <w:sz w:val="24"/>
          <w:szCs w:val="24"/>
        </w:rPr>
        <w:t xml:space="preserve">Landscape &amp; Visual Impact </w:t>
      </w:r>
      <w:r>
        <w:rPr>
          <w:rFonts w:cs="Arial"/>
          <w:bCs/>
          <w:sz w:val="24"/>
          <w:szCs w:val="24"/>
        </w:rPr>
        <w:tab/>
        <w:t>-</w:t>
      </w:r>
      <w:r w:rsidR="00D549F5">
        <w:rPr>
          <w:rFonts w:cs="Arial"/>
          <w:bCs/>
          <w:sz w:val="24"/>
          <w:szCs w:val="24"/>
        </w:rPr>
        <w:tab/>
      </w:r>
      <w:r>
        <w:rPr>
          <w:rFonts w:cs="Arial"/>
          <w:bCs/>
          <w:sz w:val="24"/>
          <w:szCs w:val="24"/>
        </w:rPr>
        <w:t>A Cook;</w:t>
      </w:r>
    </w:p>
    <w:p w14:paraId="68F2AFFB" w14:textId="6064D3C4" w:rsidR="0060375F" w:rsidRDefault="0043022E" w:rsidP="0043022E">
      <w:pPr>
        <w:pStyle w:val="ListParagraph"/>
        <w:ind w:left="567"/>
        <w:jc w:val="left"/>
        <w:rPr>
          <w:rFonts w:cs="Arial"/>
          <w:bCs/>
          <w:sz w:val="24"/>
          <w:szCs w:val="24"/>
        </w:rPr>
      </w:pPr>
      <w:proofErr w:type="spellStart"/>
      <w:r>
        <w:rPr>
          <w:rFonts w:cs="Arial"/>
          <w:bCs/>
          <w:sz w:val="24"/>
          <w:szCs w:val="24"/>
        </w:rPr>
        <w:t>Biodversity</w:t>
      </w:r>
      <w:proofErr w:type="spellEnd"/>
      <w:r>
        <w:rPr>
          <w:rFonts w:cs="Arial"/>
          <w:bCs/>
          <w:sz w:val="24"/>
          <w:szCs w:val="24"/>
        </w:rPr>
        <w:tab/>
      </w:r>
      <w:r>
        <w:rPr>
          <w:rFonts w:cs="Arial"/>
          <w:bCs/>
          <w:sz w:val="24"/>
          <w:szCs w:val="24"/>
        </w:rPr>
        <w:tab/>
      </w:r>
      <w:r>
        <w:rPr>
          <w:rFonts w:cs="Arial"/>
          <w:bCs/>
          <w:sz w:val="24"/>
          <w:szCs w:val="24"/>
        </w:rPr>
        <w:tab/>
      </w:r>
      <w:r>
        <w:rPr>
          <w:rFonts w:cs="Arial"/>
          <w:bCs/>
          <w:sz w:val="24"/>
          <w:szCs w:val="24"/>
        </w:rPr>
        <w:tab/>
        <w:t>-</w:t>
      </w:r>
      <w:r w:rsidR="00D549F5">
        <w:rPr>
          <w:rFonts w:cs="Arial"/>
          <w:bCs/>
          <w:sz w:val="24"/>
          <w:szCs w:val="24"/>
        </w:rPr>
        <w:tab/>
      </w:r>
      <w:r>
        <w:rPr>
          <w:rFonts w:cs="Arial"/>
          <w:bCs/>
          <w:sz w:val="24"/>
          <w:szCs w:val="24"/>
        </w:rPr>
        <w:t>D Woodfield.</w:t>
      </w:r>
    </w:p>
    <w:p w14:paraId="34BE0DA5" w14:textId="77777777" w:rsidR="00F97F35" w:rsidRPr="0043022E" w:rsidRDefault="00F97F35" w:rsidP="0043022E">
      <w:pPr>
        <w:pStyle w:val="ListParagraph"/>
        <w:ind w:left="567"/>
        <w:jc w:val="left"/>
        <w:rPr>
          <w:rFonts w:cs="Arial"/>
          <w:bCs/>
          <w:sz w:val="24"/>
          <w:szCs w:val="24"/>
        </w:rPr>
      </w:pPr>
    </w:p>
    <w:p w14:paraId="6604D1D9" w14:textId="27C763F4" w:rsidR="0060375F" w:rsidRDefault="0043022E" w:rsidP="00D23578">
      <w:pPr>
        <w:pStyle w:val="ListParagraph"/>
        <w:numPr>
          <w:ilvl w:val="0"/>
          <w:numId w:val="18"/>
        </w:numPr>
        <w:ind w:left="567" w:hanging="567"/>
        <w:jc w:val="left"/>
        <w:rPr>
          <w:rFonts w:cs="Arial"/>
          <w:bCs/>
          <w:sz w:val="24"/>
          <w:szCs w:val="24"/>
        </w:rPr>
      </w:pPr>
      <w:r>
        <w:rPr>
          <w:rFonts w:cs="Arial"/>
          <w:bCs/>
          <w:sz w:val="24"/>
          <w:szCs w:val="24"/>
        </w:rPr>
        <w:t xml:space="preserve">The parties </w:t>
      </w:r>
      <w:r w:rsidR="00F97F35">
        <w:rPr>
          <w:rFonts w:cs="Arial"/>
          <w:bCs/>
          <w:sz w:val="24"/>
          <w:szCs w:val="24"/>
        </w:rPr>
        <w:t xml:space="preserve">agreed to </w:t>
      </w:r>
      <w:r>
        <w:rPr>
          <w:rFonts w:cs="Arial"/>
          <w:bCs/>
          <w:sz w:val="24"/>
          <w:szCs w:val="24"/>
        </w:rPr>
        <w:t>exchange main contact details and contact details of the witnesses</w:t>
      </w:r>
      <w:r w:rsidR="00D549F5">
        <w:rPr>
          <w:rFonts w:cs="Arial"/>
          <w:bCs/>
          <w:sz w:val="24"/>
          <w:szCs w:val="24"/>
        </w:rPr>
        <w:t>.  D</w:t>
      </w:r>
      <w:r>
        <w:rPr>
          <w:rFonts w:cs="Arial"/>
          <w:bCs/>
          <w:sz w:val="24"/>
          <w:szCs w:val="24"/>
        </w:rPr>
        <w:t>etails copied to the Case Officer</w:t>
      </w:r>
      <w:r>
        <w:rPr>
          <w:rStyle w:val="FootnoteReference"/>
          <w:rFonts w:cs="Arial"/>
          <w:bCs/>
          <w:sz w:val="24"/>
          <w:szCs w:val="24"/>
        </w:rPr>
        <w:footnoteReference w:id="1"/>
      </w:r>
      <w:r>
        <w:rPr>
          <w:rFonts w:cs="Arial"/>
          <w:bCs/>
          <w:sz w:val="24"/>
          <w:szCs w:val="24"/>
        </w:rPr>
        <w:t>.</w:t>
      </w:r>
    </w:p>
    <w:p w14:paraId="51D7B988" w14:textId="77777777" w:rsidR="0043022E" w:rsidRDefault="0043022E" w:rsidP="0043022E">
      <w:pPr>
        <w:pStyle w:val="ListParagraph"/>
        <w:ind w:left="567"/>
        <w:jc w:val="left"/>
        <w:rPr>
          <w:rFonts w:cs="Arial"/>
          <w:bCs/>
          <w:sz w:val="24"/>
          <w:szCs w:val="24"/>
        </w:rPr>
      </w:pPr>
    </w:p>
    <w:p w14:paraId="2113A204" w14:textId="00FE1C32" w:rsidR="000B5EB1" w:rsidRDefault="000B5EB1" w:rsidP="00D23578">
      <w:pPr>
        <w:pStyle w:val="ListParagraph"/>
        <w:numPr>
          <w:ilvl w:val="0"/>
          <w:numId w:val="18"/>
        </w:numPr>
        <w:ind w:left="567" w:hanging="567"/>
        <w:jc w:val="left"/>
        <w:rPr>
          <w:rFonts w:cs="Arial"/>
          <w:bCs/>
          <w:sz w:val="24"/>
          <w:szCs w:val="24"/>
        </w:rPr>
      </w:pPr>
      <w:r>
        <w:rPr>
          <w:rFonts w:cs="Arial"/>
          <w:bCs/>
          <w:sz w:val="24"/>
          <w:szCs w:val="24"/>
        </w:rPr>
        <w:t>In the pre-conference note, the Inspector identified 6 issues to be addressed:</w:t>
      </w:r>
    </w:p>
    <w:p w14:paraId="093B462D" w14:textId="77777777" w:rsidR="000B5EB1" w:rsidRPr="000B5EB1" w:rsidRDefault="000B5EB1" w:rsidP="000B5EB1">
      <w:pPr>
        <w:pStyle w:val="ListParagraph"/>
        <w:rPr>
          <w:rFonts w:cs="Arial"/>
          <w:bCs/>
          <w:sz w:val="24"/>
          <w:szCs w:val="24"/>
        </w:rPr>
      </w:pPr>
    </w:p>
    <w:p w14:paraId="5742A730" w14:textId="632D2497" w:rsidR="000B5EB1" w:rsidRDefault="000B5EB1" w:rsidP="000B5EB1">
      <w:pPr>
        <w:pStyle w:val="ListParagraph"/>
        <w:numPr>
          <w:ilvl w:val="0"/>
          <w:numId w:val="20"/>
        </w:numPr>
        <w:jc w:val="left"/>
        <w:rPr>
          <w:rFonts w:cs="Arial"/>
          <w:bCs/>
          <w:sz w:val="24"/>
          <w:szCs w:val="24"/>
        </w:rPr>
      </w:pPr>
      <w:r w:rsidRPr="000B5EB1">
        <w:rPr>
          <w:rFonts w:cs="Arial"/>
          <w:bCs/>
          <w:sz w:val="24"/>
          <w:szCs w:val="24"/>
        </w:rPr>
        <w:t>the implications for sport and recreational facilities in the area</w:t>
      </w:r>
      <w:r>
        <w:rPr>
          <w:rFonts w:cs="Arial"/>
          <w:bCs/>
          <w:sz w:val="24"/>
          <w:szCs w:val="24"/>
        </w:rPr>
        <w:t>,</w:t>
      </w:r>
      <w:r w:rsidRPr="000B5EB1">
        <w:rPr>
          <w:rFonts w:cs="Arial"/>
          <w:bCs/>
          <w:sz w:val="24"/>
          <w:szCs w:val="24"/>
        </w:rPr>
        <w:t xml:space="preserve"> </w:t>
      </w:r>
      <w:proofErr w:type="gramStart"/>
      <w:r w:rsidRPr="000B5EB1">
        <w:rPr>
          <w:rFonts w:cs="Arial"/>
          <w:bCs/>
          <w:sz w:val="24"/>
          <w:szCs w:val="24"/>
        </w:rPr>
        <w:t>in particular golf</w:t>
      </w:r>
      <w:proofErr w:type="gramEnd"/>
      <w:r w:rsidRPr="000B5EB1">
        <w:rPr>
          <w:rFonts w:cs="Arial"/>
          <w:bCs/>
          <w:sz w:val="24"/>
          <w:szCs w:val="24"/>
        </w:rPr>
        <w:t>;</w:t>
      </w:r>
    </w:p>
    <w:p w14:paraId="55E1A300" w14:textId="50CA5393" w:rsidR="000B5EB1" w:rsidRDefault="000B5EB1" w:rsidP="000B5EB1">
      <w:pPr>
        <w:pStyle w:val="ListParagraph"/>
        <w:ind w:left="927"/>
        <w:jc w:val="left"/>
        <w:rPr>
          <w:rFonts w:cs="Arial"/>
          <w:bCs/>
          <w:sz w:val="24"/>
          <w:szCs w:val="24"/>
        </w:rPr>
      </w:pPr>
    </w:p>
    <w:p w14:paraId="40E8C231" w14:textId="7CF51E44" w:rsidR="000B5EB1" w:rsidRDefault="000B5EB1" w:rsidP="000B5EB1">
      <w:pPr>
        <w:pStyle w:val="ListParagraph"/>
        <w:numPr>
          <w:ilvl w:val="0"/>
          <w:numId w:val="20"/>
        </w:numPr>
        <w:jc w:val="left"/>
        <w:rPr>
          <w:rFonts w:cs="Arial"/>
          <w:bCs/>
          <w:sz w:val="24"/>
          <w:szCs w:val="24"/>
        </w:rPr>
      </w:pPr>
      <w:r w:rsidRPr="000B5EB1">
        <w:rPr>
          <w:rFonts w:cs="Arial"/>
          <w:bCs/>
          <w:sz w:val="24"/>
          <w:szCs w:val="24"/>
        </w:rPr>
        <w:t>the effect on the safety and free flow of traffic on the highway network;</w:t>
      </w:r>
    </w:p>
    <w:p w14:paraId="5A6D6768" w14:textId="77777777" w:rsidR="000B5EB1" w:rsidRPr="000B5EB1" w:rsidRDefault="000B5EB1" w:rsidP="000B5EB1">
      <w:pPr>
        <w:pStyle w:val="ListParagraph"/>
        <w:rPr>
          <w:rFonts w:cs="Arial"/>
          <w:bCs/>
          <w:sz w:val="24"/>
          <w:szCs w:val="24"/>
        </w:rPr>
      </w:pPr>
    </w:p>
    <w:p w14:paraId="7D14A03D" w14:textId="67E53EB0" w:rsidR="000B5EB1" w:rsidRDefault="000B5EB1" w:rsidP="000B5EB1">
      <w:pPr>
        <w:pStyle w:val="ListParagraph"/>
        <w:numPr>
          <w:ilvl w:val="0"/>
          <w:numId w:val="20"/>
        </w:numPr>
        <w:jc w:val="left"/>
        <w:rPr>
          <w:rFonts w:cs="Arial"/>
          <w:bCs/>
          <w:sz w:val="24"/>
          <w:szCs w:val="24"/>
        </w:rPr>
      </w:pPr>
      <w:r w:rsidRPr="000B5EB1">
        <w:rPr>
          <w:rFonts w:cs="Arial"/>
          <w:bCs/>
          <w:sz w:val="24"/>
          <w:szCs w:val="24"/>
        </w:rPr>
        <w:t>the effect on the character and appearance of the area;</w:t>
      </w:r>
    </w:p>
    <w:p w14:paraId="60EE6C95" w14:textId="77777777" w:rsidR="000B5EB1" w:rsidRPr="000B5EB1" w:rsidRDefault="000B5EB1" w:rsidP="000B5EB1">
      <w:pPr>
        <w:pStyle w:val="ListParagraph"/>
        <w:rPr>
          <w:rFonts w:cs="Arial"/>
          <w:bCs/>
          <w:sz w:val="24"/>
          <w:szCs w:val="24"/>
        </w:rPr>
      </w:pPr>
    </w:p>
    <w:p w14:paraId="08D86C18" w14:textId="2D4F3FA9" w:rsidR="000B5EB1" w:rsidRDefault="000B5EB1" w:rsidP="000B5EB1">
      <w:pPr>
        <w:pStyle w:val="ListParagraph"/>
        <w:numPr>
          <w:ilvl w:val="0"/>
          <w:numId w:val="20"/>
        </w:numPr>
        <w:jc w:val="left"/>
        <w:rPr>
          <w:rFonts w:cs="Arial"/>
          <w:bCs/>
          <w:sz w:val="24"/>
          <w:szCs w:val="24"/>
        </w:rPr>
      </w:pPr>
      <w:r w:rsidRPr="000B5EB1">
        <w:rPr>
          <w:rFonts w:cs="Arial"/>
          <w:bCs/>
          <w:sz w:val="24"/>
          <w:szCs w:val="24"/>
        </w:rPr>
        <w:t>the implications for drainage and flooding;</w:t>
      </w:r>
    </w:p>
    <w:p w14:paraId="37274471" w14:textId="77777777" w:rsidR="000B5EB1" w:rsidRPr="000B5EB1" w:rsidRDefault="000B5EB1" w:rsidP="000B5EB1">
      <w:pPr>
        <w:pStyle w:val="ListParagraph"/>
        <w:rPr>
          <w:rFonts w:cs="Arial"/>
          <w:bCs/>
          <w:sz w:val="24"/>
          <w:szCs w:val="24"/>
        </w:rPr>
      </w:pPr>
    </w:p>
    <w:p w14:paraId="27B765EF" w14:textId="73415405" w:rsidR="000B5EB1" w:rsidRDefault="000B5EB1" w:rsidP="000B5EB1">
      <w:pPr>
        <w:pStyle w:val="ListParagraph"/>
        <w:numPr>
          <w:ilvl w:val="0"/>
          <w:numId w:val="20"/>
        </w:numPr>
        <w:jc w:val="left"/>
        <w:rPr>
          <w:rFonts w:cs="Arial"/>
          <w:bCs/>
          <w:sz w:val="24"/>
          <w:szCs w:val="24"/>
        </w:rPr>
      </w:pPr>
      <w:r w:rsidRPr="000B5EB1">
        <w:rPr>
          <w:rFonts w:cs="Arial"/>
          <w:bCs/>
          <w:sz w:val="24"/>
          <w:szCs w:val="24"/>
        </w:rPr>
        <w:t>whether the proposal makes appropriate provision for the necessary infrastructure to meet the needs of the development;</w:t>
      </w:r>
      <w:r>
        <w:rPr>
          <w:rFonts w:cs="Arial"/>
          <w:bCs/>
          <w:sz w:val="24"/>
          <w:szCs w:val="24"/>
        </w:rPr>
        <w:t xml:space="preserve"> and</w:t>
      </w:r>
    </w:p>
    <w:p w14:paraId="5C37C3E1" w14:textId="77777777" w:rsidR="000B5EB1" w:rsidRPr="000B5EB1" w:rsidRDefault="000B5EB1" w:rsidP="000B5EB1">
      <w:pPr>
        <w:pStyle w:val="ListParagraph"/>
        <w:rPr>
          <w:rFonts w:cs="Arial"/>
          <w:bCs/>
          <w:sz w:val="24"/>
          <w:szCs w:val="24"/>
        </w:rPr>
      </w:pPr>
    </w:p>
    <w:p w14:paraId="22E4AE59" w14:textId="77777777" w:rsidR="000B5EB1" w:rsidRPr="000B5EB1" w:rsidRDefault="000B5EB1" w:rsidP="000B5EB1">
      <w:pPr>
        <w:pStyle w:val="ListParagraph"/>
        <w:numPr>
          <w:ilvl w:val="0"/>
          <w:numId w:val="20"/>
        </w:numPr>
        <w:jc w:val="left"/>
        <w:rPr>
          <w:rFonts w:cs="Arial"/>
          <w:bCs/>
          <w:sz w:val="24"/>
          <w:szCs w:val="24"/>
        </w:rPr>
      </w:pPr>
      <w:r w:rsidRPr="000B5EB1">
        <w:rPr>
          <w:rFonts w:cs="Arial"/>
          <w:bCs/>
          <w:sz w:val="24"/>
          <w:szCs w:val="24"/>
        </w:rPr>
        <w:t>whether the proposal conflicts with the provisions of the development plan, and if so whether there are any material considerations that would outweigh that conflict.</w:t>
      </w:r>
    </w:p>
    <w:p w14:paraId="2519CD6F" w14:textId="77777777" w:rsidR="0043022E" w:rsidRPr="0043022E" w:rsidRDefault="0043022E" w:rsidP="0043022E">
      <w:pPr>
        <w:pStyle w:val="ListParagraph"/>
        <w:rPr>
          <w:rFonts w:cs="Arial"/>
          <w:bCs/>
          <w:sz w:val="24"/>
          <w:szCs w:val="24"/>
        </w:rPr>
      </w:pPr>
    </w:p>
    <w:p w14:paraId="52EC330E" w14:textId="760E8139" w:rsidR="0043022E" w:rsidRDefault="00A73EDA" w:rsidP="000B5EB1">
      <w:pPr>
        <w:pStyle w:val="ListParagraph"/>
        <w:numPr>
          <w:ilvl w:val="0"/>
          <w:numId w:val="20"/>
        </w:numPr>
        <w:ind w:left="567" w:hanging="567"/>
        <w:jc w:val="left"/>
        <w:rPr>
          <w:rFonts w:cs="Arial"/>
          <w:bCs/>
          <w:sz w:val="24"/>
          <w:szCs w:val="24"/>
        </w:rPr>
      </w:pPr>
      <w:r>
        <w:rPr>
          <w:rFonts w:cs="Arial"/>
          <w:bCs/>
          <w:sz w:val="24"/>
          <w:szCs w:val="24"/>
        </w:rPr>
        <w:t>On</w:t>
      </w:r>
      <w:r w:rsidR="000B5EB1">
        <w:rPr>
          <w:rFonts w:cs="Arial"/>
          <w:bCs/>
          <w:sz w:val="24"/>
          <w:szCs w:val="24"/>
        </w:rPr>
        <w:t xml:space="preserve"> Issue 2, the lpa confirmed </w:t>
      </w:r>
      <w:r>
        <w:rPr>
          <w:rFonts w:cs="Arial"/>
          <w:bCs/>
          <w:sz w:val="24"/>
          <w:szCs w:val="24"/>
        </w:rPr>
        <w:t xml:space="preserve">its </w:t>
      </w:r>
      <w:r w:rsidR="000B5EB1">
        <w:rPr>
          <w:rFonts w:cs="Arial"/>
          <w:bCs/>
          <w:sz w:val="24"/>
          <w:szCs w:val="24"/>
        </w:rPr>
        <w:t xml:space="preserve">concern related to the specific impact on the </w:t>
      </w:r>
      <w:r w:rsidR="0039625C">
        <w:rPr>
          <w:rFonts w:cs="Arial"/>
          <w:bCs/>
          <w:sz w:val="24"/>
          <w:szCs w:val="24"/>
        </w:rPr>
        <w:t>Middleton Stoney traffic light-controlled junction.</w:t>
      </w:r>
    </w:p>
    <w:p w14:paraId="4A6F79C6" w14:textId="77777777" w:rsidR="0043022E" w:rsidRPr="0043022E" w:rsidRDefault="0043022E" w:rsidP="0043022E">
      <w:pPr>
        <w:pStyle w:val="ListParagraph"/>
        <w:rPr>
          <w:rFonts w:cs="Arial"/>
          <w:bCs/>
          <w:sz w:val="24"/>
          <w:szCs w:val="24"/>
        </w:rPr>
      </w:pPr>
    </w:p>
    <w:p w14:paraId="7ECFD4EF" w14:textId="49FCA8F1" w:rsidR="0043022E" w:rsidRDefault="00A73EDA" w:rsidP="000B5EB1">
      <w:pPr>
        <w:pStyle w:val="ListParagraph"/>
        <w:numPr>
          <w:ilvl w:val="0"/>
          <w:numId w:val="20"/>
        </w:numPr>
        <w:ind w:left="567" w:hanging="567"/>
        <w:jc w:val="left"/>
        <w:rPr>
          <w:rFonts w:cs="Arial"/>
          <w:bCs/>
          <w:sz w:val="24"/>
          <w:szCs w:val="24"/>
        </w:rPr>
      </w:pPr>
      <w:r>
        <w:rPr>
          <w:rFonts w:cs="Arial"/>
          <w:bCs/>
          <w:sz w:val="24"/>
          <w:szCs w:val="24"/>
        </w:rPr>
        <w:t>T</w:t>
      </w:r>
      <w:r w:rsidR="0039625C">
        <w:rPr>
          <w:rFonts w:cs="Arial"/>
          <w:bCs/>
          <w:sz w:val="24"/>
          <w:szCs w:val="24"/>
        </w:rPr>
        <w:t xml:space="preserve">he Inspector considers that the matter of “locational sustainability” i.e. whether having regard to the contents of paragraph 108 (a) of the National Planning Policy </w:t>
      </w:r>
      <w:proofErr w:type="gramStart"/>
      <w:r w:rsidR="0039625C">
        <w:rPr>
          <w:rFonts w:cs="Arial"/>
          <w:bCs/>
          <w:sz w:val="24"/>
          <w:szCs w:val="24"/>
        </w:rPr>
        <w:t>Framework  appropriate</w:t>
      </w:r>
      <w:proofErr w:type="gramEnd"/>
      <w:r w:rsidR="0039625C">
        <w:rPr>
          <w:rFonts w:cs="Arial"/>
          <w:bCs/>
          <w:sz w:val="24"/>
          <w:szCs w:val="24"/>
        </w:rPr>
        <w:t xml:space="preserve"> opportunities to promote sustainable transport modes can be or have been taken up, given the type of development and its location.</w:t>
      </w:r>
      <w:r w:rsidR="009E4593">
        <w:rPr>
          <w:rFonts w:cs="Arial"/>
          <w:bCs/>
          <w:sz w:val="24"/>
          <w:szCs w:val="24"/>
        </w:rPr>
        <w:t xml:space="preserve">  The Inspector considers that these are matters that could be addressed either as an issue in it own right or as part of the highways or planning evidence.</w:t>
      </w:r>
    </w:p>
    <w:p w14:paraId="255D3A1E" w14:textId="77777777" w:rsidR="00196B89" w:rsidRPr="00196B89" w:rsidRDefault="00196B89" w:rsidP="00196B89">
      <w:pPr>
        <w:pStyle w:val="ListParagraph"/>
        <w:rPr>
          <w:rFonts w:cs="Arial"/>
          <w:bCs/>
          <w:sz w:val="24"/>
          <w:szCs w:val="24"/>
        </w:rPr>
      </w:pPr>
    </w:p>
    <w:p w14:paraId="08F7CC17" w14:textId="6B2231D4" w:rsidR="00196B89" w:rsidRDefault="00CB0524" w:rsidP="000B5EB1">
      <w:pPr>
        <w:pStyle w:val="ListParagraph"/>
        <w:numPr>
          <w:ilvl w:val="0"/>
          <w:numId w:val="20"/>
        </w:numPr>
        <w:ind w:left="567" w:hanging="567"/>
        <w:jc w:val="left"/>
        <w:rPr>
          <w:rFonts w:cs="Arial"/>
          <w:bCs/>
          <w:sz w:val="24"/>
          <w:szCs w:val="24"/>
        </w:rPr>
      </w:pPr>
      <w:r>
        <w:rPr>
          <w:rFonts w:cs="Arial"/>
          <w:bCs/>
          <w:sz w:val="24"/>
          <w:szCs w:val="24"/>
        </w:rPr>
        <w:lastRenderedPageBreak/>
        <w:t xml:space="preserve">PAW suggested that “need for the development” should be included as a main issue.  The Inspector’s view is that normally </w:t>
      </w:r>
      <w:r w:rsidR="00A73EDA">
        <w:rPr>
          <w:rFonts w:cs="Arial"/>
          <w:bCs/>
          <w:sz w:val="24"/>
          <w:szCs w:val="24"/>
        </w:rPr>
        <w:t xml:space="preserve">there is </w:t>
      </w:r>
      <w:r>
        <w:rPr>
          <w:rFonts w:cs="Arial"/>
          <w:bCs/>
          <w:sz w:val="24"/>
          <w:szCs w:val="24"/>
        </w:rPr>
        <w:t xml:space="preserve">no requirement for an applicant or appellant to demonstrate a need for the development and on his reading of the submitted material to date </w:t>
      </w:r>
      <w:r w:rsidR="00A73EDA">
        <w:rPr>
          <w:rFonts w:cs="Arial"/>
          <w:bCs/>
          <w:sz w:val="24"/>
          <w:szCs w:val="24"/>
        </w:rPr>
        <w:t xml:space="preserve">there is </w:t>
      </w:r>
      <w:r>
        <w:rPr>
          <w:rFonts w:cs="Arial"/>
          <w:bCs/>
          <w:sz w:val="24"/>
          <w:szCs w:val="24"/>
        </w:rPr>
        <w:t xml:space="preserve">no indication that the Development Plan </w:t>
      </w:r>
      <w:r w:rsidR="00A73EDA">
        <w:rPr>
          <w:rFonts w:cs="Arial"/>
          <w:bCs/>
          <w:sz w:val="24"/>
          <w:szCs w:val="24"/>
        </w:rPr>
        <w:t>in this case</w:t>
      </w:r>
      <w:r w:rsidR="00F97F35">
        <w:rPr>
          <w:rFonts w:cs="Arial"/>
          <w:bCs/>
          <w:sz w:val="24"/>
          <w:szCs w:val="24"/>
        </w:rPr>
        <w:t xml:space="preserve"> require</w:t>
      </w:r>
      <w:r w:rsidR="00A73EDA">
        <w:rPr>
          <w:rFonts w:cs="Arial"/>
          <w:bCs/>
          <w:sz w:val="24"/>
          <w:szCs w:val="24"/>
        </w:rPr>
        <w:t>s</w:t>
      </w:r>
      <w:r>
        <w:rPr>
          <w:rFonts w:cs="Arial"/>
          <w:bCs/>
          <w:sz w:val="24"/>
          <w:szCs w:val="24"/>
        </w:rPr>
        <w:t xml:space="preserve"> the appellant to demonstrate need.  </w:t>
      </w:r>
      <w:r w:rsidR="00A73EDA">
        <w:rPr>
          <w:rFonts w:cs="Arial"/>
          <w:bCs/>
          <w:sz w:val="24"/>
          <w:szCs w:val="24"/>
        </w:rPr>
        <w:t>Accordingly,</w:t>
      </w:r>
      <w:r>
        <w:rPr>
          <w:rFonts w:cs="Arial"/>
          <w:bCs/>
          <w:sz w:val="24"/>
          <w:szCs w:val="24"/>
        </w:rPr>
        <w:t xml:space="preserve"> the Inspector does not consider “need” would qualify as a main issue.  </w:t>
      </w:r>
      <w:r w:rsidR="008B0957">
        <w:rPr>
          <w:rFonts w:cs="Arial"/>
          <w:bCs/>
          <w:sz w:val="24"/>
          <w:szCs w:val="24"/>
        </w:rPr>
        <w:t>H</w:t>
      </w:r>
      <w:r>
        <w:rPr>
          <w:rFonts w:cs="Arial"/>
          <w:bCs/>
          <w:sz w:val="24"/>
          <w:szCs w:val="24"/>
        </w:rPr>
        <w:t xml:space="preserve">owever, </w:t>
      </w:r>
      <w:r w:rsidR="008B0957">
        <w:rPr>
          <w:rFonts w:cs="Arial"/>
          <w:bCs/>
          <w:sz w:val="24"/>
          <w:szCs w:val="24"/>
        </w:rPr>
        <w:t xml:space="preserve">that </w:t>
      </w:r>
      <w:r>
        <w:rPr>
          <w:rFonts w:cs="Arial"/>
          <w:bCs/>
          <w:sz w:val="24"/>
          <w:szCs w:val="24"/>
        </w:rPr>
        <w:t xml:space="preserve">does not prevent PAW from including need as a consideration as part of its case. </w:t>
      </w:r>
    </w:p>
    <w:p w14:paraId="0628D721" w14:textId="77777777" w:rsidR="0043022E" w:rsidRPr="0043022E" w:rsidRDefault="0043022E" w:rsidP="0043022E">
      <w:pPr>
        <w:pStyle w:val="ListParagraph"/>
        <w:rPr>
          <w:rFonts w:cs="Arial"/>
          <w:bCs/>
          <w:sz w:val="24"/>
          <w:szCs w:val="24"/>
        </w:rPr>
      </w:pPr>
    </w:p>
    <w:p w14:paraId="75EAAB47" w14:textId="1996308C" w:rsidR="009E4593" w:rsidRDefault="004A34D2" w:rsidP="009E4593">
      <w:pPr>
        <w:pStyle w:val="ListParagraph"/>
        <w:numPr>
          <w:ilvl w:val="0"/>
          <w:numId w:val="20"/>
        </w:numPr>
        <w:ind w:left="567" w:hanging="567"/>
        <w:jc w:val="left"/>
        <w:rPr>
          <w:rFonts w:cs="Arial"/>
          <w:bCs/>
          <w:sz w:val="24"/>
          <w:szCs w:val="24"/>
        </w:rPr>
      </w:pPr>
      <w:r w:rsidRPr="009E4593">
        <w:rPr>
          <w:rFonts w:cs="Arial"/>
          <w:bCs/>
          <w:sz w:val="24"/>
          <w:szCs w:val="24"/>
        </w:rPr>
        <w:t xml:space="preserve">The </w:t>
      </w:r>
      <w:r w:rsidR="00CB0524">
        <w:rPr>
          <w:rFonts w:cs="Arial"/>
          <w:bCs/>
          <w:sz w:val="24"/>
          <w:szCs w:val="24"/>
        </w:rPr>
        <w:t xml:space="preserve">appellant’s </w:t>
      </w:r>
      <w:r w:rsidRPr="009E4593">
        <w:rPr>
          <w:rFonts w:cs="Arial"/>
          <w:bCs/>
          <w:sz w:val="24"/>
          <w:szCs w:val="24"/>
        </w:rPr>
        <w:t xml:space="preserve">evidence </w:t>
      </w:r>
      <w:r w:rsidR="00F97F35">
        <w:rPr>
          <w:rFonts w:cs="Arial"/>
          <w:bCs/>
          <w:sz w:val="24"/>
          <w:szCs w:val="24"/>
        </w:rPr>
        <w:t>will</w:t>
      </w:r>
      <w:r w:rsidRPr="009E4593">
        <w:rPr>
          <w:rFonts w:cs="Arial"/>
          <w:bCs/>
          <w:sz w:val="24"/>
          <w:szCs w:val="24"/>
        </w:rPr>
        <w:t xml:space="preserve"> need to address matters </w:t>
      </w:r>
      <w:r w:rsidR="00DB46BD" w:rsidRPr="009E4593">
        <w:rPr>
          <w:rFonts w:cs="Arial"/>
          <w:bCs/>
          <w:sz w:val="24"/>
          <w:szCs w:val="24"/>
        </w:rPr>
        <w:t>raised by residents at the time of the application and following the appeal</w:t>
      </w:r>
      <w:r w:rsidR="00DB46BD" w:rsidRPr="009E4593">
        <w:rPr>
          <w:rFonts w:cs="Arial"/>
          <w:bCs/>
          <w:sz w:val="24"/>
          <w:szCs w:val="24"/>
        </w:rPr>
        <w:t xml:space="preserve"> </w:t>
      </w:r>
      <w:r w:rsidR="00DB46BD">
        <w:rPr>
          <w:rFonts w:cs="Arial"/>
          <w:bCs/>
          <w:sz w:val="24"/>
          <w:szCs w:val="24"/>
        </w:rPr>
        <w:t xml:space="preserve">that is </w:t>
      </w:r>
      <w:r w:rsidRPr="009E4593">
        <w:rPr>
          <w:rFonts w:cs="Arial"/>
          <w:bCs/>
          <w:sz w:val="24"/>
          <w:szCs w:val="24"/>
        </w:rPr>
        <w:t>not covered by the main issues.</w:t>
      </w:r>
    </w:p>
    <w:p w14:paraId="1E17C1FC" w14:textId="77777777" w:rsidR="009505F1" w:rsidRPr="009505F1" w:rsidRDefault="009505F1" w:rsidP="009505F1">
      <w:pPr>
        <w:pStyle w:val="ListParagraph"/>
        <w:rPr>
          <w:rFonts w:cs="Arial"/>
          <w:bCs/>
          <w:sz w:val="24"/>
          <w:szCs w:val="24"/>
        </w:rPr>
      </w:pPr>
    </w:p>
    <w:p w14:paraId="7E025148" w14:textId="785C7D5C" w:rsidR="009505F1" w:rsidRDefault="009E4593" w:rsidP="009505F1">
      <w:pPr>
        <w:pStyle w:val="ListParagraph"/>
        <w:numPr>
          <w:ilvl w:val="0"/>
          <w:numId w:val="20"/>
        </w:numPr>
        <w:ind w:left="567" w:hanging="567"/>
        <w:jc w:val="left"/>
        <w:rPr>
          <w:rFonts w:cs="Arial"/>
          <w:bCs/>
          <w:sz w:val="24"/>
          <w:szCs w:val="24"/>
        </w:rPr>
      </w:pPr>
      <w:r w:rsidRPr="009505F1">
        <w:rPr>
          <w:rFonts w:cs="Arial"/>
          <w:bCs/>
          <w:sz w:val="24"/>
          <w:szCs w:val="24"/>
        </w:rPr>
        <w:t xml:space="preserve">The lpa has only very recently responded to the appellant’s first draft of the Statement of Common Ground (SoCG).  The Inspector’s initial impression is that little if any progress had been made </w:t>
      </w:r>
      <w:r w:rsidR="00A73EDA">
        <w:rPr>
          <w:rFonts w:cs="Arial"/>
          <w:bCs/>
          <w:sz w:val="24"/>
          <w:szCs w:val="24"/>
        </w:rPr>
        <w:t>in</w:t>
      </w:r>
      <w:r w:rsidRPr="009505F1">
        <w:rPr>
          <w:rFonts w:cs="Arial"/>
          <w:bCs/>
          <w:sz w:val="24"/>
          <w:szCs w:val="24"/>
        </w:rPr>
        <w:t xml:space="preserve"> </w:t>
      </w:r>
      <w:r w:rsidR="00DD5E6A" w:rsidRPr="009505F1">
        <w:rPr>
          <w:rFonts w:cs="Arial"/>
          <w:bCs/>
          <w:sz w:val="24"/>
          <w:szCs w:val="24"/>
        </w:rPr>
        <w:t>narrow</w:t>
      </w:r>
      <w:r w:rsidR="00A73EDA">
        <w:rPr>
          <w:rFonts w:cs="Arial"/>
          <w:bCs/>
          <w:sz w:val="24"/>
          <w:szCs w:val="24"/>
        </w:rPr>
        <w:t>ing</w:t>
      </w:r>
      <w:r w:rsidR="00DD5E6A" w:rsidRPr="009505F1">
        <w:rPr>
          <w:rFonts w:cs="Arial"/>
          <w:bCs/>
          <w:sz w:val="24"/>
          <w:szCs w:val="24"/>
        </w:rPr>
        <w:t xml:space="preserve"> the </w:t>
      </w:r>
      <w:r w:rsidRPr="009505F1">
        <w:rPr>
          <w:rFonts w:cs="Arial"/>
          <w:bCs/>
          <w:sz w:val="24"/>
          <w:szCs w:val="24"/>
        </w:rPr>
        <w:t>ma</w:t>
      </w:r>
      <w:r w:rsidR="00A73EDA">
        <w:rPr>
          <w:rFonts w:cs="Arial"/>
          <w:bCs/>
          <w:sz w:val="24"/>
          <w:szCs w:val="24"/>
        </w:rPr>
        <w:t>t</w:t>
      </w:r>
      <w:r w:rsidRPr="009505F1">
        <w:rPr>
          <w:rFonts w:cs="Arial"/>
          <w:bCs/>
          <w:sz w:val="24"/>
          <w:szCs w:val="24"/>
        </w:rPr>
        <w:t xml:space="preserve">ters in dispute.  The Inspector encourages continued active discussions and the appellants undertook to lead on providing a timetable for </w:t>
      </w:r>
      <w:r w:rsidR="002B769C">
        <w:rPr>
          <w:rFonts w:cs="Arial"/>
          <w:bCs/>
          <w:sz w:val="24"/>
          <w:szCs w:val="24"/>
        </w:rPr>
        <w:t xml:space="preserve">the early </w:t>
      </w:r>
      <w:r w:rsidR="002B769C" w:rsidRPr="009505F1">
        <w:rPr>
          <w:rFonts w:cs="Arial"/>
          <w:bCs/>
          <w:sz w:val="24"/>
          <w:szCs w:val="24"/>
        </w:rPr>
        <w:t>provisi</w:t>
      </w:r>
      <w:r w:rsidR="002B769C">
        <w:rPr>
          <w:rFonts w:cs="Arial"/>
          <w:bCs/>
          <w:sz w:val="24"/>
          <w:szCs w:val="24"/>
        </w:rPr>
        <w:t xml:space="preserve">on of </w:t>
      </w:r>
      <w:r w:rsidR="00196B89" w:rsidRPr="009505F1">
        <w:rPr>
          <w:rFonts w:cs="Arial"/>
          <w:bCs/>
          <w:sz w:val="24"/>
          <w:szCs w:val="24"/>
        </w:rPr>
        <w:t xml:space="preserve">topic </w:t>
      </w:r>
      <w:r w:rsidR="002B769C">
        <w:rPr>
          <w:rFonts w:cs="Arial"/>
          <w:bCs/>
          <w:sz w:val="24"/>
          <w:szCs w:val="24"/>
        </w:rPr>
        <w:t xml:space="preserve">based </w:t>
      </w:r>
      <w:r w:rsidR="00196B89" w:rsidRPr="009505F1">
        <w:rPr>
          <w:rFonts w:cs="Arial"/>
          <w:bCs/>
          <w:sz w:val="24"/>
          <w:szCs w:val="24"/>
        </w:rPr>
        <w:t xml:space="preserve">SoCGs on Drainage, </w:t>
      </w:r>
      <w:r w:rsidR="009505F1" w:rsidRPr="009505F1">
        <w:rPr>
          <w:rFonts w:cs="Arial"/>
          <w:bCs/>
          <w:sz w:val="24"/>
          <w:szCs w:val="24"/>
        </w:rPr>
        <w:t>Hi</w:t>
      </w:r>
      <w:r w:rsidR="00196B89" w:rsidRPr="009505F1">
        <w:rPr>
          <w:rFonts w:cs="Arial"/>
          <w:bCs/>
          <w:sz w:val="24"/>
          <w:szCs w:val="24"/>
        </w:rPr>
        <w:t>ghways</w:t>
      </w:r>
      <w:r w:rsidR="002B769C">
        <w:rPr>
          <w:rFonts w:cs="Arial"/>
          <w:bCs/>
          <w:sz w:val="24"/>
          <w:szCs w:val="24"/>
        </w:rPr>
        <w:t>,</w:t>
      </w:r>
      <w:r w:rsidR="00196B89" w:rsidRPr="009505F1">
        <w:rPr>
          <w:rFonts w:cs="Arial"/>
          <w:bCs/>
          <w:sz w:val="24"/>
          <w:szCs w:val="24"/>
        </w:rPr>
        <w:t xml:space="preserve"> </w:t>
      </w:r>
      <w:r w:rsidR="009505F1" w:rsidRPr="009505F1">
        <w:rPr>
          <w:rFonts w:cs="Arial"/>
          <w:bCs/>
          <w:sz w:val="24"/>
          <w:szCs w:val="24"/>
        </w:rPr>
        <w:t>L</w:t>
      </w:r>
      <w:r w:rsidR="00196B89" w:rsidRPr="009505F1">
        <w:rPr>
          <w:rFonts w:cs="Arial"/>
          <w:bCs/>
          <w:sz w:val="24"/>
          <w:szCs w:val="24"/>
        </w:rPr>
        <w:t>andscape</w:t>
      </w:r>
      <w:r w:rsidR="002B769C">
        <w:rPr>
          <w:rFonts w:cs="Arial"/>
          <w:bCs/>
          <w:sz w:val="24"/>
          <w:szCs w:val="24"/>
        </w:rPr>
        <w:t>/</w:t>
      </w:r>
      <w:r w:rsidR="00196B89" w:rsidRPr="009505F1">
        <w:rPr>
          <w:rFonts w:cs="Arial"/>
          <w:bCs/>
          <w:sz w:val="24"/>
          <w:szCs w:val="24"/>
        </w:rPr>
        <w:t>Visual Impacts (character &amp; appearance) and an overarching Planning and Miscellaneous Matters SoCG.</w:t>
      </w:r>
    </w:p>
    <w:p w14:paraId="6F08BF6A" w14:textId="77777777" w:rsidR="009505F1" w:rsidRPr="009505F1" w:rsidRDefault="009505F1" w:rsidP="009505F1">
      <w:pPr>
        <w:pStyle w:val="ListParagraph"/>
        <w:rPr>
          <w:rFonts w:cs="Arial"/>
          <w:bCs/>
          <w:sz w:val="24"/>
          <w:szCs w:val="24"/>
        </w:rPr>
      </w:pPr>
    </w:p>
    <w:p w14:paraId="70E053FF" w14:textId="41E7C9A2" w:rsidR="009505F1" w:rsidRDefault="009505F1" w:rsidP="009505F1">
      <w:pPr>
        <w:pStyle w:val="ListParagraph"/>
        <w:numPr>
          <w:ilvl w:val="0"/>
          <w:numId w:val="20"/>
        </w:numPr>
        <w:ind w:left="567" w:hanging="567"/>
        <w:jc w:val="left"/>
        <w:rPr>
          <w:rFonts w:cs="Arial"/>
          <w:bCs/>
          <w:sz w:val="24"/>
          <w:szCs w:val="24"/>
        </w:rPr>
      </w:pPr>
      <w:r w:rsidRPr="009505F1">
        <w:rPr>
          <w:rFonts w:cs="Arial"/>
          <w:bCs/>
          <w:sz w:val="24"/>
          <w:szCs w:val="24"/>
        </w:rPr>
        <w:t xml:space="preserve">The parties are encouraged to continue discussions throughout the preparation of their cases </w:t>
      </w:r>
      <w:r w:rsidRPr="009505F1">
        <w:rPr>
          <w:rFonts w:cs="Arial"/>
          <w:bCs/>
          <w:sz w:val="24"/>
          <w:szCs w:val="24"/>
        </w:rPr>
        <w:t>to</w:t>
      </w:r>
      <w:r w:rsidRPr="009505F1">
        <w:rPr>
          <w:rFonts w:cs="Arial"/>
          <w:bCs/>
          <w:sz w:val="24"/>
          <w:szCs w:val="24"/>
        </w:rPr>
        <w:t xml:space="preserve"> narrow as far as possible the areas of dispute.</w:t>
      </w:r>
      <w:r w:rsidRPr="009505F1">
        <w:rPr>
          <w:rFonts w:cs="Arial"/>
          <w:bCs/>
          <w:sz w:val="24"/>
          <w:szCs w:val="24"/>
        </w:rPr>
        <w:t xml:space="preserve">  </w:t>
      </w:r>
      <w:r>
        <w:rPr>
          <w:rFonts w:cs="Arial"/>
          <w:bCs/>
          <w:sz w:val="24"/>
          <w:szCs w:val="24"/>
        </w:rPr>
        <w:t xml:space="preserve">The Inspector </w:t>
      </w:r>
      <w:r w:rsidRPr="009505F1">
        <w:rPr>
          <w:rFonts w:cs="Arial"/>
          <w:bCs/>
          <w:sz w:val="24"/>
          <w:szCs w:val="24"/>
        </w:rPr>
        <w:t>expect</w:t>
      </w:r>
      <w:r>
        <w:rPr>
          <w:rFonts w:cs="Arial"/>
          <w:bCs/>
          <w:sz w:val="24"/>
          <w:szCs w:val="24"/>
        </w:rPr>
        <w:t>s</w:t>
      </w:r>
      <w:r w:rsidRPr="009505F1">
        <w:rPr>
          <w:rFonts w:cs="Arial"/>
          <w:bCs/>
          <w:sz w:val="24"/>
          <w:szCs w:val="24"/>
        </w:rPr>
        <w:t xml:space="preserve"> to be informed</w:t>
      </w:r>
      <w:r>
        <w:rPr>
          <w:rFonts w:cs="Arial"/>
          <w:bCs/>
          <w:sz w:val="24"/>
          <w:szCs w:val="24"/>
        </w:rPr>
        <w:t>,</w:t>
      </w:r>
      <w:r w:rsidRPr="009505F1">
        <w:rPr>
          <w:rFonts w:cs="Arial"/>
          <w:bCs/>
          <w:sz w:val="24"/>
          <w:szCs w:val="24"/>
        </w:rPr>
        <w:t xml:space="preserve"> at least weekly</w:t>
      </w:r>
      <w:r>
        <w:rPr>
          <w:rFonts w:cs="Arial"/>
          <w:bCs/>
          <w:sz w:val="24"/>
          <w:szCs w:val="24"/>
        </w:rPr>
        <w:t>,</w:t>
      </w:r>
      <w:r w:rsidRPr="009505F1">
        <w:rPr>
          <w:rFonts w:cs="Arial"/>
          <w:bCs/>
          <w:sz w:val="24"/>
          <w:szCs w:val="24"/>
        </w:rPr>
        <w:t xml:space="preserve"> by way of a Scott Schedule where the parties have reached on the matters in dispute.</w:t>
      </w:r>
    </w:p>
    <w:p w14:paraId="4E3EDA8F" w14:textId="77777777" w:rsidR="00DB46BD" w:rsidRPr="00DB46BD" w:rsidRDefault="00DB46BD" w:rsidP="00DB46BD">
      <w:pPr>
        <w:pStyle w:val="ListParagraph"/>
        <w:rPr>
          <w:rFonts w:cs="Arial"/>
          <w:bCs/>
          <w:sz w:val="24"/>
          <w:szCs w:val="24"/>
        </w:rPr>
      </w:pPr>
    </w:p>
    <w:p w14:paraId="742F1B7F" w14:textId="5B53A959" w:rsidR="00DB46BD" w:rsidRPr="009505F1" w:rsidRDefault="002B769C" w:rsidP="009505F1">
      <w:pPr>
        <w:pStyle w:val="ListParagraph"/>
        <w:numPr>
          <w:ilvl w:val="0"/>
          <w:numId w:val="20"/>
        </w:numPr>
        <w:ind w:left="567" w:hanging="567"/>
        <w:jc w:val="left"/>
        <w:rPr>
          <w:rFonts w:cs="Arial"/>
          <w:bCs/>
          <w:sz w:val="24"/>
          <w:szCs w:val="24"/>
        </w:rPr>
      </w:pPr>
      <w:r>
        <w:rPr>
          <w:rFonts w:cs="Arial"/>
          <w:bCs/>
          <w:sz w:val="24"/>
          <w:szCs w:val="24"/>
        </w:rPr>
        <w:t xml:space="preserve">The inquiry will open at 10 a.m. on Tuesday 9 February 2021.  </w:t>
      </w:r>
      <w:r w:rsidR="00DB46BD">
        <w:rPr>
          <w:rFonts w:cs="Arial"/>
          <w:bCs/>
          <w:sz w:val="24"/>
          <w:szCs w:val="24"/>
        </w:rPr>
        <w:t>The parties may make Opening Statements of not more than 15 minutes duration starting with the appellant, followed by PAW and then the Council.  Closing s</w:t>
      </w:r>
      <w:r>
        <w:rPr>
          <w:rFonts w:cs="Arial"/>
          <w:bCs/>
          <w:sz w:val="24"/>
          <w:szCs w:val="24"/>
        </w:rPr>
        <w:t>tatements</w:t>
      </w:r>
      <w:r w:rsidR="00DB46BD">
        <w:rPr>
          <w:rFonts w:cs="Arial"/>
          <w:bCs/>
          <w:sz w:val="24"/>
          <w:szCs w:val="24"/>
        </w:rPr>
        <w:t xml:space="preserve"> will be heard in reverse order.</w:t>
      </w:r>
    </w:p>
    <w:p w14:paraId="1C51167F" w14:textId="77777777" w:rsidR="00196B89" w:rsidRPr="00196B89" w:rsidRDefault="00196B89" w:rsidP="00196B89">
      <w:pPr>
        <w:pStyle w:val="ListParagraph"/>
        <w:rPr>
          <w:rFonts w:cs="Arial"/>
          <w:bCs/>
          <w:sz w:val="24"/>
          <w:szCs w:val="24"/>
        </w:rPr>
      </w:pPr>
    </w:p>
    <w:p w14:paraId="19F56337" w14:textId="5E5E8C4F" w:rsidR="004A34D2" w:rsidRDefault="002B769C" w:rsidP="00CB0524">
      <w:pPr>
        <w:pStyle w:val="ListParagraph"/>
        <w:numPr>
          <w:ilvl w:val="0"/>
          <w:numId w:val="20"/>
        </w:numPr>
        <w:ind w:left="567" w:hanging="567"/>
        <w:jc w:val="left"/>
        <w:rPr>
          <w:rFonts w:cs="Arial"/>
          <w:bCs/>
          <w:sz w:val="24"/>
          <w:szCs w:val="24"/>
        </w:rPr>
      </w:pPr>
      <w:r>
        <w:rPr>
          <w:rFonts w:cs="Arial"/>
          <w:bCs/>
          <w:sz w:val="24"/>
          <w:szCs w:val="24"/>
        </w:rPr>
        <w:t>C</w:t>
      </w:r>
      <w:r w:rsidR="009505F1">
        <w:rPr>
          <w:rFonts w:cs="Arial"/>
          <w:bCs/>
          <w:sz w:val="24"/>
          <w:szCs w:val="24"/>
        </w:rPr>
        <w:t xml:space="preserve">ases will be heard on a </w:t>
      </w:r>
      <w:r>
        <w:rPr>
          <w:rFonts w:cs="Arial"/>
          <w:b/>
          <w:sz w:val="24"/>
          <w:szCs w:val="24"/>
        </w:rPr>
        <w:t>T</w:t>
      </w:r>
      <w:r w:rsidR="009505F1" w:rsidRPr="00F97F35">
        <w:rPr>
          <w:rFonts w:cs="Arial"/>
          <w:b/>
          <w:sz w:val="24"/>
          <w:szCs w:val="24"/>
        </w:rPr>
        <w:t xml:space="preserve">opic </w:t>
      </w:r>
      <w:r>
        <w:rPr>
          <w:rFonts w:cs="Arial"/>
          <w:b/>
          <w:sz w:val="24"/>
          <w:szCs w:val="24"/>
        </w:rPr>
        <w:t>B</w:t>
      </w:r>
      <w:r w:rsidR="009505F1" w:rsidRPr="00F97F35">
        <w:rPr>
          <w:rFonts w:cs="Arial"/>
          <w:b/>
          <w:sz w:val="24"/>
          <w:szCs w:val="24"/>
        </w:rPr>
        <w:t>asis</w:t>
      </w:r>
      <w:r w:rsidR="009505F1">
        <w:rPr>
          <w:rFonts w:cs="Arial"/>
          <w:bCs/>
          <w:sz w:val="24"/>
          <w:szCs w:val="24"/>
        </w:rPr>
        <w:t>.  Within each topic, the lpa will present first</w:t>
      </w:r>
      <w:r w:rsidR="00F97F35">
        <w:rPr>
          <w:rFonts w:cs="Arial"/>
          <w:bCs/>
          <w:sz w:val="24"/>
          <w:szCs w:val="24"/>
        </w:rPr>
        <w:t xml:space="preserve">, </w:t>
      </w:r>
      <w:r w:rsidR="009505F1">
        <w:rPr>
          <w:rFonts w:cs="Arial"/>
          <w:bCs/>
          <w:sz w:val="24"/>
          <w:szCs w:val="24"/>
        </w:rPr>
        <w:t>followed by PAW and the evidence on that topic completed by the appellant.</w:t>
      </w:r>
    </w:p>
    <w:p w14:paraId="5D9EF14C" w14:textId="77777777" w:rsidR="00D3608D" w:rsidRPr="00D3608D" w:rsidRDefault="00D3608D" w:rsidP="00D3608D">
      <w:pPr>
        <w:pStyle w:val="ListParagraph"/>
        <w:rPr>
          <w:rFonts w:cs="Arial"/>
          <w:bCs/>
          <w:sz w:val="24"/>
          <w:szCs w:val="24"/>
        </w:rPr>
      </w:pPr>
    </w:p>
    <w:p w14:paraId="56F3AF75" w14:textId="5A57CCC8" w:rsidR="00D3608D" w:rsidRDefault="00D3608D" w:rsidP="00CB0524">
      <w:pPr>
        <w:pStyle w:val="ListParagraph"/>
        <w:numPr>
          <w:ilvl w:val="0"/>
          <w:numId w:val="20"/>
        </w:numPr>
        <w:ind w:left="567" w:hanging="567"/>
        <w:jc w:val="left"/>
        <w:rPr>
          <w:rFonts w:cs="Arial"/>
          <w:bCs/>
          <w:sz w:val="24"/>
          <w:szCs w:val="24"/>
        </w:rPr>
      </w:pPr>
      <w:r w:rsidRPr="00D3608D">
        <w:rPr>
          <w:rFonts w:cs="Arial"/>
          <w:bCs/>
          <w:sz w:val="24"/>
          <w:szCs w:val="24"/>
        </w:rPr>
        <w:t xml:space="preserve">There is no provision within the Inquiry Procedure Rules for accepting rebuttal proofs of evidence.  </w:t>
      </w:r>
      <w:r>
        <w:rPr>
          <w:rFonts w:cs="Arial"/>
          <w:bCs/>
          <w:sz w:val="24"/>
          <w:szCs w:val="24"/>
        </w:rPr>
        <w:t xml:space="preserve">The Inspector drew </w:t>
      </w:r>
      <w:r w:rsidRPr="00D3608D">
        <w:rPr>
          <w:rFonts w:cs="Arial"/>
          <w:bCs/>
          <w:sz w:val="24"/>
          <w:szCs w:val="24"/>
        </w:rPr>
        <w:t xml:space="preserve">attention to the guidance contained at Annex F (F.11) of The Planning Inspectorate Procedural Guidance - Planning Appeals – England November 2020.  </w:t>
      </w:r>
      <w:r w:rsidR="002B769C">
        <w:rPr>
          <w:rFonts w:cs="Arial"/>
          <w:bCs/>
          <w:sz w:val="24"/>
          <w:szCs w:val="24"/>
        </w:rPr>
        <w:t>W</w:t>
      </w:r>
      <w:r w:rsidR="00F97F35">
        <w:rPr>
          <w:rFonts w:cs="Arial"/>
          <w:bCs/>
          <w:sz w:val="24"/>
          <w:szCs w:val="24"/>
        </w:rPr>
        <w:t xml:space="preserve">here a party can demonstrate that </w:t>
      </w:r>
      <w:r w:rsidR="002B769C">
        <w:rPr>
          <w:rFonts w:cs="Arial"/>
          <w:bCs/>
          <w:sz w:val="24"/>
          <w:szCs w:val="24"/>
        </w:rPr>
        <w:t>accepting</w:t>
      </w:r>
      <w:r w:rsidR="00F97F35">
        <w:rPr>
          <w:rFonts w:cs="Arial"/>
          <w:bCs/>
          <w:sz w:val="24"/>
          <w:szCs w:val="24"/>
        </w:rPr>
        <w:t xml:space="preserve"> rebuttal evidence would save inquiry time</w:t>
      </w:r>
      <w:r w:rsidR="00D303C2">
        <w:rPr>
          <w:rFonts w:cs="Arial"/>
          <w:bCs/>
          <w:sz w:val="24"/>
          <w:szCs w:val="24"/>
        </w:rPr>
        <w:t>, the Inspector will consider all requests.</w:t>
      </w:r>
    </w:p>
    <w:p w14:paraId="72A01798" w14:textId="77777777" w:rsidR="00DB46BD" w:rsidRPr="00DB46BD" w:rsidRDefault="00DB46BD" w:rsidP="00DB46BD">
      <w:pPr>
        <w:pStyle w:val="ListParagraph"/>
        <w:rPr>
          <w:rFonts w:cs="Arial"/>
          <w:bCs/>
          <w:sz w:val="24"/>
          <w:szCs w:val="24"/>
        </w:rPr>
      </w:pPr>
    </w:p>
    <w:p w14:paraId="307CA444" w14:textId="4394392A" w:rsidR="00DB46BD" w:rsidRDefault="00DB46BD" w:rsidP="00DB46BD">
      <w:pPr>
        <w:pStyle w:val="ListParagraph"/>
        <w:numPr>
          <w:ilvl w:val="0"/>
          <w:numId w:val="20"/>
        </w:numPr>
        <w:ind w:left="567" w:hanging="567"/>
        <w:jc w:val="left"/>
        <w:rPr>
          <w:rFonts w:cs="Arial"/>
          <w:bCs/>
          <w:sz w:val="24"/>
          <w:szCs w:val="24"/>
        </w:rPr>
      </w:pPr>
      <w:r>
        <w:rPr>
          <w:rFonts w:cs="Arial"/>
          <w:bCs/>
          <w:sz w:val="24"/>
          <w:szCs w:val="24"/>
        </w:rPr>
        <w:lastRenderedPageBreak/>
        <w:t>T</w:t>
      </w:r>
      <w:r w:rsidRPr="00366501">
        <w:rPr>
          <w:rFonts w:cs="Arial"/>
          <w:bCs/>
          <w:sz w:val="24"/>
          <w:szCs w:val="24"/>
        </w:rPr>
        <w:t xml:space="preserve">he number of interested persons or </w:t>
      </w:r>
      <w:r w:rsidR="002B769C">
        <w:rPr>
          <w:rFonts w:cs="Arial"/>
          <w:bCs/>
          <w:sz w:val="24"/>
          <w:szCs w:val="24"/>
        </w:rPr>
        <w:t xml:space="preserve">other </w:t>
      </w:r>
      <w:r w:rsidRPr="00366501">
        <w:rPr>
          <w:rFonts w:cs="Arial"/>
          <w:bCs/>
          <w:sz w:val="24"/>
          <w:szCs w:val="24"/>
        </w:rPr>
        <w:t>groups who might wish to speak is not known</w:t>
      </w:r>
      <w:r>
        <w:rPr>
          <w:rStyle w:val="FootnoteReference"/>
          <w:rFonts w:cs="Arial"/>
          <w:bCs/>
          <w:sz w:val="24"/>
          <w:szCs w:val="24"/>
        </w:rPr>
        <w:footnoteReference w:id="2"/>
      </w:r>
      <w:r>
        <w:rPr>
          <w:rFonts w:cs="Arial"/>
          <w:bCs/>
          <w:sz w:val="24"/>
          <w:szCs w:val="24"/>
        </w:rPr>
        <w:t>.  G</w:t>
      </w:r>
      <w:r w:rsidRPr="00366501">
        <w:rPr>
          <w:rFonts w:cs="Arial"/>
          <w:bCs/>
          <w:sz w:val="24"/>
          <w:szCs w:val="24"/>
        </w:rPr>
        <w:t xml:space="preserve">iven the responses to </w:t>
      </w:r>
      <w:r>
        <w:rPr>
          <w:rFonts w:cs="Arial"/>
          <w:bCs/>
          <w:sz w:val="24"/>
          <w:szCs w:val="24"/>
        </w:rPr>
        <w:t>the let</w:t>
      </w:r>
      <w:r w:rsidRPr="00366501">
        <w:rPr>
          <w:rFonts w:cs="Arial"/>
          <w:bCs/>
          <w:sz w:val="24"/>
          <w:szCs w:val="24"/>
        </w:rPr>
        <w:t>t</w:t>
      </w:r>
      <w:r>
        <w:rPr>
          <w:rFonts w:cs="Arial"/>
          <w:bCs/>
          <w:sz w:val="24"/>
          <w:szCs w:val="24"/>
        </w:rPr>
        <w:t xml:space="preserve">er of notification exceeds 700, a specific slot for residents to make submissions will </w:t>
      </w:r>
      <w:r w:rsidR="002B769C">
        <w:rPr>
          <w:rFonts w:cs="Arial"/>
          <w:bCs/>
          <w:sz w:val="24"/>
          <w:szCs w:val="24"/>
        </w:rPr>
        <w:t xml:space="preserve">need to be included in the inquiry </w:t>
      </w:r>
      <w:r>
        <w:rPr>
          <w:rFonts w:cs="Arial"/>
          <w:bCs/>
          <w:sz w:val="24"/>
          <w:szCs w:val="24"/>
        </w:rPr>
        <w:t>programme.  T</w:t>
      </w:r>
      <w:r w:rsidRPr="00366501">
        <w:rPr>
          <w:rFonts w:cs="Arial"/>
          <w:bCs/>
          <w:sz w:val="24"/>
          <w:szCs w:val="24"/>
        </w:rPr>
        <w:t xml:space="preserve">he </w:t>
      </w:r>
      <w:r>
        <w:rPr>
          <w:rFonts w:cs="Arial"/>
          <w:bCs/>
          <w:sz w:val="24"/>
          <w:szCs w:val="24"/>
        </w:rPr>
        <w:t xml:space="preserve">Inspector is not adverse to </w:t>
      </w:r>
      <w:r w:rsidR="002B769C">
        <w:rPr>
          <w:rFonts w:cs="Arial"/>
          <w:bCs/>
          <w:sz w:val="24"/>
          <w:szCs w:val="24"/>
        </w:rPr>
        <w:t>hold</w:t>
      </w:r>
      <w:r>
        <w:rPr>
          <w:rFonts w:cs="Arial"/>
          <w:bCs/>
          <w:sz w:val="24"/>
          <w:szCs w:val="24"/>
        </w:rPr>
        <w:t xml:space="preserve">ing an evening session.  </w:t>
      </w:r>
      <w:r w:rsidR="002B769C">
        <w:rPr>
          <w:rFonts w:cs="Arial"/>
          <w:bCs/>
          <w:sz w:val="24"/>
          <w:szCs w:val="24"/>
        </w:rPr>
        <w:t>G</w:t>
      </w:r>
      <w:r>
        <w:rPr>
          <w:rFonts w:cs="Arial"/>
          <w:bCs/>
          <w:sz w:val="24"/>
          <w:szCs w:val="24"/>
        </w:rPr>
        <w:t>iven the inquiry will be held online, the feasibility of an evening session will be investigated.</w:t>
      </w:r>
    </w:p>
    <w:p w14:paraId="3F85EC6B" w14:textId="77777777" w:rsidR="00DB46BD" w:rsidRPr="00DB46BD" w:rsidRDefault="00DB46BD" w:rsidP="00DB46BD">
      <w:pPr>
        <w:pStyle w:val="ListParagraph"/>
        <w:rPr>
          <w:rFonts w:cs="Arial"/>
          <w:bCs/>
          <w:sz w:val="24"/>
          <w:szCs w:val="24"/>
        </w:rPr>
      </w:pPr>
    </w:p>
    <w:p w14:paraId="2A8B5D45" w14:textId="0C6EEDBE" w:rsidR="00DB46BD" w:rsidRPr="00DB46BD" w:rsidRDefault="00DB46BD" w:rsidP="00DB46BD">
      <w:pPr>
        <w:pStyle w:val="ListParagraph"/>
        <w:numPr>
          <w:ilvl w:val="0"/>
          <w:numId w:val="20"/>
        </w:numPr>
        <w:ind w:left="567" w:hanging="567"/>
        <w:jc w:val="left"/>
        <w:rPr>
          <w:rFonts w:cs="Arial"/>
          <w:bCs/>
          <w:sz w:val="24"/>
          <w:szCs w:val="24"/>
        </w:rPr>
      </w:pPr>
      <w:r w:rsidRPr="00DB46BD">
        <w:rPr>
          <w:rFonts w:cs="Arial"/>
          <w:bCs/>
          <w:sz w:val="24"/>
          <w:szCs w:val="24"/>
        </w:rPr>
        <w:t xml:space="preserve">Given the </w:t>
      </w:r>
      <w:r w:rsidR="002B769C">
        <w:rPr>
          <w:rFonts w:cs="Arial"/>
          <w:bCs/>
          <w:sz w:val="24"/>
          <w:szCs w:val="24"/>
        </w:rPr>
        <w:t xml:space="preserve">level of </w:t>
      </w:r>
      <w:r w:rsidRPr="00DB46BD">
        <w:rPr>
          <w:rFonts w:cs="Arial"/>
          <w:bCs/>
          <w:sz w:val="24"/>
          <w:szCs w:val="24"/>
        </w:rPr>
        <w:t xml:space="preserve">public interest in the inquiry and the limits on Teams to cope with large numbers of participants, it is intended that the </w:t>
      </w:r>
      <w:r w:rsidR="002B769C">
        <w:rPr>
          <w:rFonts w:cs="Arial"/>
          <w:bCs/>
          <w:sz w:val="24"/>
          <w:szCs w:val="24"/>
        </w:rPr>
        <w:t>inquiry</w:t>
      </w:r>
      <w:r w:rsidRPr="00DB46BD">
        <w:rPr>
          <w:rFonts w:cs="Arial"/>
          <w:bCs/>
          <w:sz w:val="24"/>
          <w:szCs w:val="24"/>
        </w:rPr>
        <w:t xml:space="preserve"> will be Livestreamed.  During the inquiry if anyone watching the livestream decides they want to make representations they will have to contact the Case Officer to be able to access Teams.</w:t>
      </w:r>
    </w:p>
    <w:p w14:paraId="04CD9D92" w14:textId="77777777" w:rsidR="00D3608D" w:rsidRPr="00D3608D" w:rsidRDefault="00D3608D" w:rsidP="00D3608D">
      <w:pPr>
        <w:pStyle w:val="ListParagraph"/>
        <w:rPr>
          <w:rFonts w:cs="Arial"/>
          <w:bCs/>
          <w:sz w:val="24"/>
          <w:szCs w:val="24"/>
        </w:rPr>
      </w:pPr>
    </w:p>
    <w:p w14:paraId="67CED4FB" w14:textId="0AA214A9" w:rsidR="00D3608D" w:rsidRDefault="00D3608D" w:rsidP="00CB0524">
      <w:pPr>
        <w:pStyle w:val="ListParagraph"/>
        <w:numPr>
          <w:ilvl w:val="0"/>
          <w:numId w:val="20"/>
        </w:numPr>
        <w:ind w:left="567" w:hanging="567"/>
        <w:jc w:val="left"/>
        <w:rPr>
          <w:rFonts w:cs="Arial"/>
          <w:bCs/>
          <w:sz w:val="24"/>
          <w:szCs w:val="24"/>
        </w:rPr>
      </w:pPr>
      <w:r>
        <w:rPr>
          <w:rFonts w:cs="Arial"/>
          <w:bCs/>
          <w:sz w:val="24"/>
          <w:szCs w:val="24"/>
        </w:rPr>
        <w:t xml:space="preserve">The evidence will be followed by round table sessions on suggested planning conditions and the S106 Agreement.  </w:t>
      </w:r>
    </w:p>
    <w:p w14:paraId="0955B0CB" w14:textId="77777777" w:rsidR="007E578F" w:rsidRPr="007E578F" w:rsidRDefault="007E578F" w:rsidP="007E578F">
      <w:pPr>
        <w:pStyle w:val="ListParagraph"/>
        <w:rPr>
          <w:rFonts w:cs="Arial"/>
          <w:bCs/>
          <w:sz w:val="24"/>
          <w:szCs w:val="24"/>
        </w:rPr>
      </w:pPr>
    </w:p>
    <w:p w14:paraId="6F45C248" w14:textId="0ADB9F6F" w:rsidR="00366501" w:rsidRPr="007E578F" w:rsidRDefault="002B769C" w:rsidP="008F160C">
      <w:pPr>
        <w:pStyle w:val="ListParagraph"/>
        <w:numPr>
          <w:ilvl w:val="0"/>
          <w:numId w:val="20"/>
        </w:numPr>
        <w:ind w:left="567" w:hanging="567"/>
        <w:jc w:val="left"/>
        <w:rPr>
          <w:rFonts w:cs="Arial"/>
          <w:bCs/>
          <w:sz w:val="24"/>
          <w:szCs w:val="24"/>
        </w:rPr>
      </w:pPr>
      <w:r w:rsidRPr="007E578F">
        <w:rPr>
          <w:rFonts w:cs="Arial"/>
          <w:bCs/>
          <w:sz w:val="24"/>
          <w:szCs w:val="24"/>
        </w:rPr>
        <w:t>T</w:t>
      </w:r>
      <w:r w:rsidR="00366501" w:rsidRPr="007E578F">
        <w:rPr>
          <w:rFonts w:cs="Arial"/>
          <w:bCs/>
          <w:sz w:val="24"/>
          <w:szCs w:val="24"/>
        </w:rPr>
        <w:t xml:space="preserve">he current allocation of 7 sitting days </w:t>
      </w:r>
      <w:r w:rsidR="00D303C2" w:rsidRPr="007E578F">
        <w:rPr>
          <w:rFonts w:cs="Arial"/>
          <w:bCs/>
          <w:sz w:val="24"/>
          <w:szCs w:val="24"/>
        </w:rPr>
        <w:t>is likely to be</w:t>
      </w:r>
      <w:r w:rsidR="00366501" w:rsidRPr="007E578F">
        <w:rPr>
          <w:rFonts w:cs="Arial"/>
          <w:bCs/>
          <w:sz w:val="24"/>
          <w:szCs w:val="24"/>
        </w:rPr>
        <w:t xml:space="preserve"> insufficient and that 12 or 13 days would be required.  Based</w:t>
      </w:r>
      <w:r w:rsidR="00366501" w:rsidRPr="007E578F">
        <w:rPr>
          <w:rFonts w:cs="Arial"/>
          <w:bCs/>
          <w:sz w:val="24"/>
          <w:szCs w:val="24"/>
        </w:rPr>
        <w:t xml:space="preserve"> on the availability of the parties </w:t>
      </w:r>
      <w:r w:rsidR="00366501" w:rsidRPr="007E578F">
        <w:rPr>
          <w:rFonts w:cs="Arial"/>
          <w:bCs/>
          <w:sz w:val="24"/>
          <w:szCs w:val="24"/>
        </w:rPr>
        <w:t>the inquiry will sit</w:t>
      </w:r>
      <w:r w:rsidR="007E578F" w:rsidRPr="007E578F">
        <w:rPr>
          <w:rFonts w:cs="Arial"/>
          <w:bCs/>
          <w:sz w:val="24"/>
          <w:szCs w:val="24"/>
        </w:rPr>
        <w:t xml:space="preserve"> on </w:t>
      </w:r>
      <w:r w:rsidR="00D303C2" w:rsidRPr="007E578F">
        <w:rPr>
          <w:rFonts w:cs="Arial"/>
          <w:bCs/>
          <w:sz w:val="24"/>
          <w:szCs w:val="24"/>
        </w:rPr>
        <w:t>9 – 12 February;</w:t>
      </w:r>
      <w:r w:rsidR="007E578F" w:rsidRPr="007E578F">
        <w:rPr>
          <w:rFonts w:cs="Arial"/>
          <w:bCs/>
          <w:sz w:val="24"/>
          <w:szCs w:val="24"/>
        </w:rPr>
        <w:t xml:space="preserve"> </w:t>
      </w:r>
      <w:r w:rsidR="00055ABE" w:rsidRPr="007E578F">
        <w:rPr>
          <w:rFonts w:cs="Arial"/>
          <w:bCs/>
          <w:sz w:val="24"/>
          <w:szCs w:val="24"/>
        </w:rPr>
        <w:t xml:space="preserve">16 </w:t>
      </w:r>
      <w:r w:rsidR="00D303C2" w:rsidRPr="007E578F">
        <w:rPr>
          <w:rFonts w:cs="Arial"/>
          <w:bCs/>
          <w:sz w:val="24"/>
          <w:szCs w:val="24"/>
        </w:rPr>
        <w:t>– 19 February</w:t>
      </w:r>
      <w:r w:rsidR="007E578F" w:rsidRPr="007E578F">
        <w:rPr>
          <w:rFonts w:cs="Arial"/>
          <w:bCs/>
          <w:sz w:val="24"/>
          <w:szCs w:val="24"/>
        </w:rPr>
        <w:t xml:space="preserve"> and </w:t>
      </w:r>
      <w:r w:rsidR="00055ABE" w:rsidRPr="007E578F">
        <w:rPr>
          <w:rFonts w:cs="Arial"/>
          <w:bCs/>
          <w:sz w:val="24"/>
          <w:szCs w:val="24"/>
        </w:rPr>
        <w:t xml:space="preserve">2 </w:t>
      </w:r>
      <w:r w:rsidR="00D303C2" w:rsidRPr="007E578F">
        <w:rPr>
          <w:rFonts w:cs="Arial"/>
          <w:bCs/>
          <w:sz w:val="24"/>
          <w:szCs w:val="24"/>
        </w:rPr>
        <w:t>– 5 March.</w:t>
      </w:r>
      <w:r w:rsidR="007E578F" w:rsidRPr="007E578F">
        <w:rPr>
          <w:rFonts w:cs="Arial"/>
          <w:bCs/>
          <w:sz w:val="24"/>
          <w:szCs w:val="24"/>
        </w:rPr>
        <w:t xml:space="preserve">  </w:t>
      </w:r>
      <w:r w:rsidR="00D303C2" w:rsidRPr="007E578F">
        <w:rPr>
          <w:rFonts w:cs="Arial"/>
          <w:bCs/>
          <w:sz w:val="24"/>
          <w:szCs w:val="24"/>
        </w:rPr>
        <w:t>Depending on progress during the first 2 weeks, there is the option to sit on Monday 1 March.</w:t>
      </w:r>
    </w:p>
    <w:p w14:paraId="4274520D" w14:textId="77777777" w:rsidR="009505F1" w:rsidRPr="009505F1" w:rsidRDefault="009505F1" w:rsidP="009505F1">
      <w:pPr>
        <w:pStyle w:val="ListParagraph"/>
        <w:rPr>
          <w:rFonts w:cs="Arial"/>
          <w:bCs/>
          <w:sz w:val="24"/>
          <w:szCs w:val="24"/>
        </w:rPr>
      </w:pPr>
    </w:p>
    <w:p w14:paraId="701721B0" w14:textId="7E0CB663" w:rsidR="009505F1" w:rsidRPr="00D303C2" w:rsidRDefault="009505F1" w:rsidP="00D303C2">
      <w:pPr>
        <w:pStyle w:val="ListParagraph"/>
        <w:numPr>
          <w:ilvl w:val="0"/>
          <w:numId w:val="20"/>
        </w:numPr>
        <w:ind w:left="567" w:hanging="567"/>
        <w:jc w:val="left"/>
        <w:rPr>
          <w:rFonts w:cs="Arial"/>
          <w:bCs/>
          <w:sz w:val="24"/>
          <w:szCs w:val="24"/>
        </w:rPr>
      </w:pPr>
      <w:r w:rsidRPr="00D303C2">
        <w:rPr>
          <w:rFonts w:cs="Arial"/>
          <w:bCs/>
          <w:sz w:val="24"/>
          <w:szCs w:val="24"/>
        </w:rPr>
        <w:t xml:space="preserve">Following the </w:t>
      </w:r>
      <w:r w:rsidR="00D3608D" w:rsidRPr="00D303C2">
        <w:rPr>
          <w:rFonts w:cs="Arial"/>
          <w:bCs/>
          <w:sz w:val="24"/>
          <w:szCs w:val="24"/>
        </w:rPr>
        <w:t>receipt</w:t>
      </w:r>
      <w:r w:rsidRPr="00D303C2">
        <w:rPr>
          <w:rFonts w:cs="Arial"/>
          <w:bCs/>
          <w:sz w:val="24"/>
          <w:szCs w:val="24"/>
        </w:rPr>
        <w:t xml:space="preserve"> of time estimates </w:t>
      </w:r>
      <w:r w:rsidR="00D3608D" w:rsidRPr="00D303C2">
        <w:rPr>
          <w:rFonts w:cs="Arial"/>
          <w:bCs/>
          <w:sz w:val="24"/>
          <w:szCs w:val="24"/>
        </w:rPr>
        <w:t>from each of the parties</w:t>
      </w:r>
      <w:r w:rsidR="00D3608D">
        <w:rPr>
          <w:rStyle w:val="FootnoteReference"/>
          <w:rFonts w:cs="Arial"/>
          <w:bCs/>
          <w:sz w:val="24"/>
          <w:szCs w:val="24"/>
        </w:rPr>
        <w:footnoteReference w:id="3"/>
      </w:r>
      <w:r w:rsidR="00D3608D" w:rsidRPr="00D303C2">
        <w:rPr>
          <w:rFonts w:cs="Arial"/>
          <w:bCs/>
          <w:sz w:val="24"/>
          <w:szCs w:val="24"/>
        </w:rPr>
        <w:t>, the Inspector will issue an inquiry timetable.  The appellant undertook to prepare a first draft following receipt of time estimates and witness availability from the other parties.</w:t>
      </w:r>
    </w:p>
    <w:p w14:paraId="1B9F04E2" w14:textId="77777777" w:rsidR="00D3608D" w:rsidRPr="00DB46BD" w:rsidRDefault="00D3608D" w:rsidP="00DB46BD">
      <w:pPr>
        <w:rPr>
          <w:rFonts w:cs="Arial"/>
          <w:bCs/>
          <w:sz w:val="24"/>
          <w:szCs w:val="24"/>
        </w:rPr>
      </w:pPr>
    </w:p>
    <w:p w14:paraId="5511E719" w14:textId="77777777" w:rsidR="00D3608D" w:rsidRPr="00D3608D" w:rsidRDefault="00D3608D" w:rsidP="00D303C2">
      <w:pPr>
        <w:pStyle w:val="ListParagraph"/>
        <w:numPr>
          <w:ilvl w:val="0"/>
          <w:numId w:val="20"/>
        </w:numPr>
        <w:ind w:left="567" w:hanging="567"/>
        <w:jc w:val="left"/>
        <w:rPr>
          <w:rFonts w:cs="Arial"/>
          <w:bCs/>
          <w:sz w:val="24"/>
          <w:szCs w:val="24"/>
        </w:rPr>
      </w:pPr>
      <w:r w:rsidRPr="00D3608D">
        <w:rPr>
          <w:rFonts w:cs="Arial"/>
          <w:bCs/>
          <w:sz w:val="24"/>
          <w:szCs w:val="24"/>
        </w:rPr>
        <w:t xml:space="preserve">By </w:t>
      </w:r>
      <w:bookmarkStart w:id="2" w:name="_Hlk49524340"/>
      <w:r w:rsidRPr="00D3608D">
        <w:rPr>
          <w:rFonts w:cs="Arial"/>
          <w:b/>
          <w:bCs/>
          <w:sz w:val="24"/>
          <w:szCs w:val="24"/>
        </w:rPr>
        <w:t xml:space="preserve">Tuesday </w:t>
      </w:r>
      <w:bookmarkEnd w:id="2"/>
      <w:r w:rsidRPr="00D3608D">
        <w:rPr>
          <w:rFonts w:cs="Arial"/>
          <w:b/>
          <w:bCs/>
          <w:sz w:val="24"/>
          <w:szCs w:val="24"/>
        </w:rPr>
        <w:t>12 January 2021</w:t>
      </w:r>
      <w:r w:rsidRPr="00D3608D">
        <w:rPr>
          <w:rFonts w:cs="Arial"/>
          <w:bCs/>
          <w:sz w:val="24"/>
          <w:szCs w:val="24"/>
        </w:rPr>
        <w:t xml:space="preserve"> the parties are to send to the Case Officer, electronic copies of:</w:t>
      </w:r>
    </w:p>
    <w:p w14:paraId="2ADB9DA0" w14:textId="77777777" w:rsidR="00D3608D" w:rsidRPr="004A34D2" w:rsidRDefault="00D3608D" w:rsidP="00D3608D">
      <w:pPr>
        <w:pStyle w:val="ListParagraph"/>
        <w:rPr>
          <w:rFonts w:cs="Arial"/>
          <w:bCs/>
          <w:sz w:val="24"/>
          <w:szCs w:val="24"/>
        </w:rPr>
      </w:pPr>
    </w:p>
    <w:p w14:paraId="463ABA0C" w14:textId="77777777" w:rsidR="00D3608D" w:rsidRPr="004A34D2" w:rsidRDefault="00D3608D" w:rsidP="00D3608D">
      <w:pPr>
        <w:pStyle w:val="ListParagraph"/>
        <w:numPr>
          <w:ilvl w:val="0"/>
          <w:numId w:val="17"/>
        </w:numPr>
        <w:rPr>
          <w:rFonts w:cs="Arial"/>
          <w:bCs/>
          <w:sz w:val="24"/>
          <w:szCs w:val="24"/>
        </w:rPr>
      </w:pPr>
      <w:r w:rsidRPr="004A34D2">
        <w:rPr>
          <w:rFonts w:cs="Arial"/>
          <w:bCs/>
          <w:sz w:val="24"/>
          <w:szCs w:val="24"/>
        </w:rPr>
        <w:t>proofs of evidence/appendices and where appropriate summary proofs;</w:t>
      </w:r>
    </w:p>
    <w:p w14:paraId="56003DAB" w14:textId="77777777" w:rsidR="00D3608D" w:rsidRPr="004A34D2" w:rsidRDefault="00D3608D" w:rsidP="00D3608D">
      <w:pPr>
        <w:pStyle w:val="ListParagraph"/>
        <w:rPr>
          <w:rFonts w:cs="Arial"/>
          <w:bCs/>
          <w:sz w:val="24"/>
          <w:szCs w:val="24"/>
        </w:rPr>
      </w:pPr>
    </w:p>
    <w:p w14:paraId="624AA4C2" w14:textId="77777777" w:rsidR="00D3608D" w:rsidRPr="004A34D2" w:rsidRDefault="00D3608D" w:rsidP="00D3608D">
      <w:pPr>
        <w:pStyle w:val="ListParagraph"/>
        <w:numPr>
          <w:ilvl w:val="0"/>
          <w:numId w:val="17"/>
        </w:numPr>
        <w:rPr>
          <w:rFonts w:cs="Arial"/>
          <w:bCs/>
          <w:sz w:val="24"/>
          <w:szCs w:val="24"/>
        </w:rPr>
      </w:pPr>
      <w:r w:rsidRPr="004A34D2">
        <w:rPr>
          <w:rFonts w:cs="Arial"/>
          <w:bCs/>
          <w:sz w:val="24"/>
          <w:szCs w:val="24"/>
        </w:rPr>
        <w:t>an A3 booklet of application plans;</w:t>
      </w:r>
    </w:p>
    <w:p w14:paraId="649F85EF" w14:textId="77777777" w:rsidR="00D3608D" w:rsidRPr="004A34D2" w:rsidRDefault="00D3608D" w:rsidP="00D3608D">
      <w:pPr>
        <w:pStyle w:val="ListParagraph"/>
        <w:ind w:left="851"/>
        <w:jc w:val="left"/>
        <w:rPr>
          <w:rFonts w:cs="Arial"/>
          <w:bCs/>
          <w:sz w:val="24"/>
          <w:szCs w:val="24"/>
        </w:rPr>
      </w:pPr>
    </w:p>
    <w:p w14:paraId="56E20B66" w14:textId="1C5FAB73" w:rsidR="00D3608D" w:rsidRPr="004A34D2" w:rsidRDefault="00D3608D" w:rsidP="00D3608D">
      <w:pPr>
        <w:pStyle w:val="ListParagraph"/>
        <w:numPr>
          <w:ilvl w:val="0"/>
          <w:numId w:val="17"/>
        </w:numPr>
        <w:rPr>
          <w:rFonts w:cs="Arial"/>
          <w:bCs/>
          <w:sz w:val="24"/>
          <w:szCs w:val="24"/>
        </w:rPr>
      </w:pPr>
      <w:r w:rsidRPr="004A34D2">
        <w:rPr>
          <w:rFonts w:cs="Arial"/>
          <w:bCs/>
          <w:sz w:val="24"/>
          <w:szCs w:val="24"/>
        </w:rPr>
        <w:t>Core Documents</w:t>
      </w:r>
      <w:r>
        <w:rPr>
          <w:rFonts w:cs="Arial"/>
          <w:bCs/>
          <w:sz w:val="24"/>
          <w:szCs w:val="24"/>
        </w:rPr>
        <w:t>.  Core Documents should be kept to a minimu</w:t>
      </w:r>
      <w:r w:rsidR="007D54B1">
        <w:rPr>
          <w:rFonts w:cs="Arial"/>
          <w:bCs/>
          <w:sz w:val="24"/>
          <w:szCs w:val="24"/>
        </w:rPr>
        <w:t>m.  The appellant undertook to circulate a list of the Core Documents that would be referred to for the lpa and PAW to add to if necessary.</w:t>
      </w:r>
    </w:p>
    <w:p w14:paraId="38DC1F46" w14:textId="2DA8BAD2" w:rsidR="00D3608D" w:rsidRPr="007D54B1" w:rsidRDefault="00D3608D" w:rsidP="007D54B1">
      <w:pPr>
        <w:jc w:val="left"/>
        <w:rPr>
          <w:rFonts w:cs="Arial"/>
          <w:bCs/>
          <w:sz w:val="24"/>
          <w:szCs w:val="24"/>
        </w:rPr>
      </w:pPr>
    </w:p>
    <w:p w14:paraId="6EB8A0BC" w14:textId="497DB274" w:rsidR="00D3608D" w:rsidRDefault="00D3608D" w:rsidP="00D303C2">
      <w:pPr>
        <w:pStyle w:val="ListParagraph"/>
        <w:numPr>
          <w:ilvl w:val="0"/>
          <w:numId w:val="20"/>
        </w:numPr>
        <w:ind w:left="567" w:hanging="567"/>
        <w:jc w:val="left"/>
        <w:rPr>
          <w:rFonts w:cs="Arial"/>
          <w:bCs/>
          <w:sz w:val="24"/>
          <w:szCs w:val="24"/>
        </w:rPr>
      </w:pPr>
      <w:r>
        <w:rPr>
          <w:rFonts w:cs="Arial"/>
          <w:bCs/>
          <w:sz w:val="24"/>
          <w:szCs w:val="24"/>
        </w:rPr>
        <w:t>The Inspector require</w:t>
      </w:r>
      <w:r w:rsidR="007E578F">
        <w:rPr>
          <w:rFonts w:cs="Arial"/>
          <w:bCs/>
          <w:sz w:val="24"/>
          <w:szCs w:val="24"/>
        </w:rPr>
        <w:t>s</w:t>
      </w:r>
      <w:r>
        <w:rPr>
          <w:rFonts w:cs="Arial"/>
          <w:bCs/>
          <w:sz w:val="24"/>
          <w:szCs w:val="24"/>
        </w:rPr>
        <w:t xml:space="preserve"> hard copies of the proofs of evidence</w:t>
      </w:r>
      <w:r w:rsidR="007E578F">
        <w:rPr>
          <w:rFonts w:cs="Arial"/>
          <w:bCs/>
          <w:sz w:val="24"/>
          <w:szCs w:val="24"/>
        </w:rPr>
        <w:t xml:space="preserve">, </w:t>
      </w:r>
      <w:r w:rsidR="007D54B1">
        <w:rPr>
          <w:rFonts w:cs="Arial"/>
          <w:bCs/>
          <w:sz w:val="24"/>
          <w:szCs w:val="24"/>
        </w:rPr>
        <w:t>appendices</w:t>
      </w:r>
      <w:r>
        <w:rPr>
          <w:rFonts w:cs="Arial"/>
          <w:bCs/>
          <w:sz w:val="24"/>
          <w:szCs w:val="24"/>
        </w:rPr>
        <w:t xml:space="preserve"> and Core Documents</w:t>
      </w:r>
      <w:r w:rsidR="007D54B1">
        <w:rPr>
          <w:rFonts w:cs="Arial"/>
          <w:bCs/>
          <w:sz w:val="24"/>
          <w:szCs w:val="24"/>
        </w:rPr>
        <w:t xml:space="preserve">.  Following receipt of and review of the electronic copies of the evidence, the Inspector intends to undertake an unaccompanied pre-inquiry site visit.  </w:t>
      </w:r>
      <w:r w:rsidR="007E578F">
        <w:rPr>
          <w:rFonts w:cs="Arial"/>
          <w:bCs/>
          <w:sz w:val="24"/>
          <w:szCs w:val="24"/>
        </w:rPr>
        <w:t xml:space="preserve">The parties will </w:t>
      </w:r>
      <w:r w:rsidR="007E578F">
        <w:rPr>
          <w:rFonts w:cs="Arial"/>
          <w:bCs/>
          <w:sz w:val="24"/>
          <w:szCs w:val="24"/>
        </w:rPr>
        <w:lastRenderedPageBreak/>
        <w:t>be advised of the date.  At that time, t</w:t>
      </w:r>
      <w:r w:rsidR="007D54B1">
        <w:rPr>
          <w:rFonts w:cs="Arial"/>
          <w:bCs/>
          <w:sz w:val="24"/>
          <w:szCs w:val="24"/>
        </w:rPr>
        <w:t xml:space="preserve">he Inspector anticipates collecting the hard copies from an agreed location.  The location is to be agreed by the parties and the </w:t>
      </w:r>
      <w:r w:rsidR="00C37279">
        <w:rPr>
          <w:rFonts w:cs="Arial"/>
          <w:bCs/>
          <w:sz w:val="24"/>
          <w:szCs w:val="24"/>
        </w:rPr>
        <w:t>Case Officer</w:t>
      </w:r>
      <w:r w:rsidR="007D54B1">
        <w:rPr>
          <w:rFonts w:cs="Arial"/>
          <w:bCs/>
          <w:sz w:val="24"/>
          <w:szCs w:val="24"/>
        </w:rPr>
        <w:t xml:space="preserve"> advised.</w:t>
      </w:r>
    </w:p>
    <w:p w14:paraId="7F6E1458" w14:textId="4999A68A" w:rsidR="007D54B1" w:rsidRDefault="007D54B1" w:rsidP="007D54B1">
      <w:pPr>
        <w:pStyle w:val="ListParagraph"/>
        <w:ind w:left="567"/>
        <w:jc w:val="left"/>
        <w:rPr>
          <w:rFonts w:cs="Arial"/>
          <w:bCs/>
          <w:sz w:val="24"/>
          <w:szCs w:val="24"/>
        </w:rPr>
      </w:pPr>
    </w:p>
    <w:p w14:paraId="35A8505A" w14:textId="26801EA5" w:rsidR="007D54B1" w:rsidRDefault="007D54B1" w:rsidP="00D303C2">
      <w:pPr>
        <w:pStyle w:val="ListParagraph"/>
        <w:numPr>
          <w:ilvl w:val="0"/>
          <w:numId w:val="20"/>
        </w:numPr>
        <w:ind w:left="567" w:hanging="567"/>
        <w:jc w:val="left"/>
        <w:rPr>
          <w:rFonts w:cs="Arial"/>
          <w:bCs/>
          <w:sz w:val="24"/>
          <w:szCs w:val="24"/>
        </w:rPr>
      </w:pPr>
      <w:r>
        <w:rPr>
          <w:rFonts w:cs="Arial"/>
          <w:bCs/>
          <w:sz w:val="24"/>
          <w:szCs w:val="24"/>
        </w:rPr>
        <w:t xml:space="preserve">The lpa undertook to </w:t>
      </w:r>
      <w:r w:rsidR="006E7AE3">
        <w:rPr>
          <w:rFonts w:cs="Arial"/>
          <w:bCs/>
          <w:sz w:val="24"/>
          <w:szCs w:val="24"/>
        </w:rPr>
        <w:t>ensure that interested</w:t>
      </w:r>
      <w:r>
        <w:rPr>
          <w:rFonts w:cs="Arial"/>
          <w:bCs/>
          <w:sz w:val="24"/>
          <w:szCs w:val="24"/>
        </w:rPr>
        <w:t xml:space="preserve"> person</w:t>
      </w:r>
      <w:r w:rsidR="006E7AE3">
        <w:rPr>
          <w:rFonts w:cs="Arial"/>
          <w:bCs/>
          <w:sz w:val="24"/>
          <w:szCs w:val="24"/>
        </w:rPr>
        <w:t xml:space="preserve">s </w:t>
      </w:r>
      <w:r w:rsidR="00C37279">
        <w:rPr>
          <w:rFonts w:cs="Arial"/>
          <w:bCs/>
          <w:sz w:val="24"/>
          <w:szCs w:val="24"/>
        </w:rPr>
        <w:t>can</w:t>
      </w:r>
      <w:r>
        <w:rPr>
          <w:rFonts w:cs="Arial"/>
          <w:bCs/>
          <w:sz w:val="24"/>
          <w:szCs w:val="24"/>
        </w:rPr>
        <w:t xml:space="preserve"> examine the evidence submitted.  This could be through a dedicated page on the Council’s website or by viewing the </w:t>
      </w:r>
      <w:r w:rsidR="006E7AE3">
        <w:rPr>
          <w:rFonts w:cs="Arial"/>
          <w:bCs/>
          <w:sz w:val="24"/>
          <w:szCs w:val="24"/>
        </w:rPr>
        <w:t>planning application on the online register.  The lpa will advise which option will be available.</w:t>
      </w:r>
    </w:p>
    <w:p w14:paraId="4A5D36FE" w14:textId="4A35A1E6" w:rsidR="007D54B1" w:rsidRDefault="007D54B1" w:rsidP="007D54B1">
      <w:pPr>
        <w:pStyle w:val="ListParagraph"/>
        <w:ind w:left="567"/>
        <w:jc w:val="left"/>
        <w:rPr>
          <w:rFonts w:cs="Arial"/>
          <w:bCs/>
          <w:sz w:val="24"/>
          <w:szCs w:val="24"/>
        </w:rPr>
      </w:pPr>
    </w:p>
    <w:p w14:paraId="3D6AD455" w14:textId="4D94E092" w:rsidR="007E578F" w:rsidRDefault="007D54B1" w:rsidP="00D303C2">
      <w:pPr>
        <w:pStyle w:val="ListParagraph"/>
        <w:numPr>
          <w:ilvl w:val="0"/>
          <w:numId w:val="20"/>
        </w:numPr>
        <w:ind w:left="567" w:hanging="567"/>
        <w:jc w:val="left"/>
        <w:rPr>
          <w:rFonts w:cs="Arial"/>
          <w:bCs/>
          <w:sz w:val="24"/>
          <w:szCs w:val="24"/>
        </w:rPr>
      </w:pPr>
      <w:r>
        <w:rPr>
          <w:rFonts w:cs="Arial"/>
          <w:bCs/>
          <w:sz w:val="24"/>
          <w:szCs w:val="24"/>
        </w:rPr>
        <w:t>No later than</w:t>
      </w:r>
      <w:r w:rsidR="004A34D2" w:rsidRPr="007D54B1">
        <w:rPr>
          <w:rFonts w:cs="Arial"/>
          <w:bCs/>
          <w:sz w:val="24"/>
          <w:szCs w:val="24"/>
        </w:rPr>
        <w:t xml:space="preserve"> </w:t>
      </w:r>
      <w:r w:rsidR="004A34D2" w:rsidRPr="007D54B1">
        <w:rPr>
          <w:rFonts w:cs="Arial"/>
          <w:b/>
          <w:bCs/>
          <w:sz w:val="24"/>
          <w:szCs w:val="24"/>
        </w:rPr>
        <w:t>Tuesday 26 January 2021</w:t>
      </w:r>
      <w:r>
        <w:rPr>
          <w:rFonts w:cs="Arial"/>
          <w:sz w:val="24"/>
          <w:szCs w:val="24"/>
        </w:rPr>
        <w:t>,</w:t>
      </w:r>
      <w:r w:rsidR="004A34D2" w:rsidRPr="007D54B1">
        <w:rPr>
          <w:rFonts w:cs="Arial"/>
          <w:bCs/>
          <w:sz w:val="24"/>
          <w:szCs w:val="24"/>
        </w:rPr>
        <w:t xml:space="preserve"> time estimates for the presentation of cases</w:t>
      </w:r>
      <w:r w:rsidR="00C31B3C" w:rsidRPr="007D54B1">
        <w:rPr>
          <w:rFonts w:cs="Arial"/>
          <w:bCs/>
          <w:sz w:val="24"/>
          <w:szCs w:val="24"/>
        </w:rPr>
        <w:t xml:space="preserve"> and details of witness availability</w:t>
      </w:r>
      <w:r>
        <w:rPr>
          <w:rFonts w:cs="Arial"/>
          <w:bCs/>
          <w:sz w:val="24"/>
          <w:szCs w:val="24"/>
        </w:rPr>
        <w:t xml:space="preserve"> are to be sent to the Case Officer.</w:t>
      </w:r>
      <w:r w:rsidR="00C37279">
        <w:rPr>
          <w:rFonts w:cs="Arial"/>
          <w:bCs/>
          <w:sz w:val="24"/>
          <w:szCs w:val="24"/>
        </w:rPr>
        <w:t xml:space="preserve">  The appellant undertook to provide a first draft of an inquiry timetable to the Case Officer.  </w:t>
      </w:r>
      <w:r w:rsidR="006B3A2B">
        <w:rPr>
          <w:rFonts w:cs="Arial"/>
          <w:bCs/>
          <w:sz w:val="24"/>
          <w:szCs w:val="24"/>
        </w:rPr>
        <w:t xml:space="preserve">The draft timetable should include the option of an evening session.  </w:t>
      </w:r>
      <w:r w:rsidR="00C37279">
        <w:rPr>
          <w:rFonts w:cs="Arial"/>
          <w:bCs/>
          <w:sz w:val="24"/>
          <w:szCs w:val="24"/>
        </w:rPr>
        <w:t>Based on this the Inspector will issue an inquiry timetable.</w:t>
      </w:r>
    </w:p>
    <w:p w14:paraId="4660A848" w14:textId="77777777" w:rsidR="007E578F" w:rsidRPr="007E578F" w:rsidRDefault="007E578F" w:rsidP="007E578F">
      <w:pPr>
        <w:pStyle w:val="ListParagraph"/>
        <w:rPr>
          <w:rFonts w:cs="Arial"/>
          <w:bCs/>
          <w:sz w:val="24"/>
          <w:szCs w:val="24"/>
        </w:rPr>
      </w:pPr>
    </w:p>
    <w:p w14:paraId="559C4CAE" w14:textId="494D9F1B" w:rsidR="00C37279" w:rsidRPr="007E578F" w:rsidRDefault="007D54B1" w:rsidP="00770BEF">
      <w:pPr>
        <w:pStyle w:val="ListParagraph"/>
        <w:numPr>
          <w:ilvl w:val="0"/>
          <w:numId w:val="20"/>
        </w:numPr>
        <w:ind w:left="567" w:hanging="567"/>
        <w:jc w:val="left"/>
        <w:rPr>
          <w:rFonts w:cs="Arial"/>
          <w:bCs/>
          <w:sz w:val="24"/>
          <w:szCs w:val="24"/>
        </w:rPr>
      </w:pPr>
      <w:r w:rsidRPr="007E578F">
        <w:rPr>
          <w:rFonts w:cs="Arial"/>
          <w:bCs/>
          <w:sz w:val="24"/>
          <w:szCs w:val="24"/>
        </w:rPr>
        <w:t xml:space="preserve">By </w:t>
      </w:r>
      <w:r w:rsidRPr="007E578F">
        <w:rPr>
          <w:rFonts w:cs="Arial"/>
          <w:b/>
          <w:bCs/>
          <w:sz w:val="24"/>
          <w:szCs w:val="24"/>
        </w:rPr>
        <w:t>Tuesday 2 February 2021</w:t>
      </w:r>
      <w:r w:rsidR="007E578F">
        <w:rPr>
          <w:rFonts w:cs="Arial"/>
          <w:sz w:val="24"/>
          <w:szCs w:val="24"/>
        </w:rPr>
        <w:t>,</w:t>
      </w:r>
      <w:r w:rsidR="007E578F" w:rsidRPr="007E578F">
        <w:rPr>
          <w:rFonts w:cs="Arial"/>
          <w:b/>
          <w:bCs/>
          <w:sz w:val="24"/>
          <w:szCs w:val="24"/>
        </w:rPr>
        <w:t xml:space="preserve"> </w:t>
      </w:r>
      <w:r w:rsidR="007E578F" w:rsidRPr="007E578F">
        <w:rPr>
          <w:rFonts w:cs="Arial"/>
          <w:sz w:val="24"/>
          <w:szCs w:val="24"/>
        </w:rPr>
        <w:t>a</w:t>
      </w:r>
      <w:r w:rsidR="007E578F" w:rsidRPr="007E578F">
        <w:rPr>
          <w:rFonts w:cs="Arial"/>
          <w:b/>
          <w:bCs/>
          <w:sz w:val="24"/>
          <w:szCs w:val="24"/>
        </w:rPr>
        <w:t xml:space="preserve"> </w:t>
      </w:r>
      <w:r w:rsidRPr="007E578F">
        <w:rPr>
          <w:rFonts w:cs="Arial"/>
          <w:bCs/>
          <w:sz w:val="24"/>
          <w:szCs w:val="24"/>
        </w:rPr>
        <w:t>list of suggested conditions</w:t>
      </w:r>
      <w:r w:rsidR="007E578F">
        <w:rPr>
          <w:rFonts w:cs="Arial"/>
          <w:bCs/>
          <w:sz w:val="24"/>
          <w:szCs w:val="24"/>
        </w:rPr>
        <w:t>, a</w:t>
      </w:r>
      <w:r w:rsidR="007E578F" w:rsidRPr="007E578F">
        <w:rPr>
          <w:rFonts w:cs="Arial"/>
          <w:bCs/>
          <w:sz w:val="24"/>
          <w:szCs w:val="24"/>
        </w:rPr>
        <w:t xml:space="preserve"> </w:t>
      </w:r>
      <w:r w:rsidRPr="007E578F">
        <w:rPr>
          <w:rFonts w:cs="Arial"/>
          <w:bCs/>
          <w:sz w:val="24"/>
          <w:szCs w:val="24"/>
        </w:rPr>
        <w:t xml:space="preserve">draft S106 Obligation and </w:t>
      </w:r>
      <w:r w:rsidR="007E578F">
        <w:rPr>
          <w:rFonts w:cs="Arial"/>
          <w:bCs/>
          <w:sz w:val="24"/>
          <w:szCs w:val="24"/>
        </w:rPr>
        <w:t xml:space="preserve">a </w:t>
      </w:r>
      <w:r w:rsidRPr="007E578F">
        <w:rPr>
          <w:rFonts w:cs="Arial"/>
          <w:bCs/>
          <w:sz w:val="24"/>
          <w:szCs w:val="24"/>
        </w:rPr>
        <w:t>CIL Compliance Schedule</w:t>
      </w:r>
      <w:r w:rsidR="007E578F" w:rsidRPr="007E578F">
        <w:rPr>
          <w:rFonts w:cs="Arial"/>
          <w:bCs/>
          <w:sz w:val="24"/>
          <w:szCs w:val="24"/>
        </w:rPr>
        <w:t xml:space="preserve"> are to </w:t>
      </w:r>
      <w:r w:rsidR="007E578F">
        <w:rPr>
          <w:rFonts w:cs="Arial"/>
          <w:bCs/>
          <w:sz w:val="24"/>
          <w:szCs w:val="24"/>
        </w:rPr>
        <w:t>be provided</w:t>
      </w:r>
      <w:r w:rsidR="00C37279" w:rsidRPr="007E578F">
        <w:rPr>
          <w:rFonts w:cs="Arial"/>
          <w:bCs/>
          <w:sz w:val="24"/>
          <w:szCs w:val="24"/>
        </w:rPr>
        <w:t>.</w:t>
      </w:r>
      <w:r w:rsidR="007E578F" w:rsidRPr="007E578F">
        <w:rPr>
          <w:rFonts w:cs="Arial"/>
          <w:bCs/>
          <w:sz w:val="24"/>
          <w:szCs w:val="24"/>
        </w:rPr>
        <w:t xml:space="preserve">  </w:t>
      </w:r>
      <w:r w:rsidR="00C37279" w:rsidRPr="007E578F">
        <w:rPr>
          <w:rFonts w:cs="Arial"/>
          <w:bCs/>
          <w:sz w:val="24"/>
          <w:szCs w:val="24"/>
        </w:rPr>
        <w:t xml:space="preserve">The Inspector is aware that PAW may have requests </w:t>
      </w:r>
      <w:r w:rsidR="002A4D13" w:rsidRPr="007E578F">
        <w:rPr>
          <w:rFonts w:cs="Arial"/>
          <w:bCs/>
          <w:sz w:val="24"/>
          <w:szCs w:val="24"/>
        </w:rPr>
        <w:t>for obligations/contributions.  Where these do not coincide with those requested by the lpa</w:t>
      </w:r>
      <w:r w:rsidR="007E578F">
        <w:rPr>
          <w:rFonts w:cs="Arial"/>
          <w:bCs/>
          <w:sz w:val="24"/>
          <w:szCs w:val="24"/>
        </w:rPr>
        <w:t>,</w:t>
      </w:r>
      <w:r w:rsidR="002A4D13" w:rsidRPr="007E578F">
        <w:rPr>
          <w:rFonts w:cs="Arial"/>
          <w:bCs/>
          <w:sz w:val="24"/>
          <w:szCs w:val="24"/>
        </w:rPr>
        <w:t xml:space="preserve"> a separate list should be provided supported a CIL Compliance Schedule.  Details should be submitted no later tha</w:t>
      </w:r>
      <w:r w:rsidR="007E578F">
        <w:rPr>
          <w:rFonts w:cs="Arial"/>
          <w:bCs/>
          <w:sz w:val="24"/>
          <w:szCs w:val="24"/>
        </w:rPr>
        <w:t>n</w:t>
      </w:r>
      <w:r w:rsidR="002A4D13" w:rsidRPr="007E578F">
        <w:rPr>
          <w:rFonts w:cs="Arial"/>
          <w:bCs/>
          <w:sz w:val="24"/>
          <w:szCs w:val="24"/>
        </w:rPr>
        <w:t xml:space="preserve"> Tuesday 2 February.</w:t>
      </w:r>
    </w:p>
    <w:p w14:paraId="1A33F075" w14:textId="77777777" w:rsidR="007D54B1" w:rsidRPr="007D54B1" w:rsidRDefault="007D54B1" w:rsidP="007D54B1">
      <w:pPr>
        <w:pStyle w:val="ListParagraph"/>
        <w:rPr>
          <w:rFonts w:cs="Arial"/>
          <w:bCs/>
          <w:sz w:val="24"/>
          <w:szCs w:val="24"/>
        </w:rPr>
      </w:pPr>
    </w:p>
    <w:p w14:paraId="06436EAA" w14:textId="5E1477F3" w:rsidR="004A34D2" w:rsidRDefault="004A34D2" w:rsidP="00D303C2">
      <w:pPr>
        <w:pStyle w:val="ListParagraph"/>
        <w:numPr>
          <w:ilvl w:val="0"/>
          <w:numId w:val="20"/>
        </w:numPr>
        <w:ind w:left="567" w:hanging="567"/>
        <w:jc w:val="left"/>
        <w:rPr>
          <w:rFonts w:cs="Arial"/>
          <w:bCs/>
          <w:sz w:val="24"/>
          <w:szCs w:val="24"/>
        </w:rPr>
      </w:pPr>
      <w:r w:rsidRPr="007D54B1">
        <w:rPr>
          <w:rFonts w:cs="Arial"/>
          <w:bCs/>
          <w:sz w:val="24"/>
          <w:szCs w:val="24"/>
        </w:rPr>
        <w:t xml:space="preserve">If rebuttal proofs are accepted, these should be submitted no later than </w:t>
      </w:r>
      <w:r w:rsidRPr="007D54B1">
        <w:rPr>
          <w:rFonts w:cs="Arial"/>
          <w:b/>
          <w:sz w:val="24"/>
          <w:szCs w:val="24"/>
        </w:rPr>
        <w:t>Tuesday 2 February 2021</w:t>
      </w:r>
      <w:r w:rsidRPr="007D54B1">
        <w:rPr>
          <w:rFonts w:cs="Arial"/>
          <w:bCs/>
          <w:sz w:val="24"/>
          <w:szCs w:val="24"/>
        </w:rPr>
        <w:t>.</w:t>
      </w:r>
    </w:p>
    <w:p w14:paraId="524A8374" w14:textId="6FE7E0D2" w:rsidR="007D54B1" w:rsidRDefault="007D54B1" w:rsidP="007D54B1">
      <w:pPr>
        <w:pStyle w:val="ListParagraph"/>
        <w:ind w:left="567"/>
        <w:jc w:val="left"/>
        <w:rPr>
          <w:rFonts w:cs="Arial"/>
          <w:bCs/>
          <w:sz w:val="24"/>
          <w:szCs w:val="24"/>
        </w:rPr>
      </w:pPr>
    </w:p>
    <w:p w14:paraId="4AEFDEE4" w14:textId="41DDB011" w:rsidR="004A34D2" w:rsidRDefault="004A34D2" w:rsidP="00D303C2">
      <w:pPr>
        <w:pStyle w:val="ListParagraph"/>
        <w:numPr>
          <w:ilvl w:val="0"/>
          <w:numId w:val="20"/>
        </w:numPr>
        <w:ind w:left="567" w:hanging="567"/>
        <w:jc w:val="left"/>
        <w:rPr>
          <w:rFonts w:cs="Arial"/>
          <w:bCs/>
          <w:sz w:val="24"/>
          <w:szCs w:val="24"/>
        </w:rPr>
      </w:pPr>
      <w:r w:rsidRPr="007D54B1">
        <w:rPr>
          <w:rFonts w:cs="Arial"/>
          <w:bCs/>
          <w:sz w:val="24"/>
          <w:szCs w:val="24"/>
        </w:rPr>
        <w:t xml:space="preserve">No later than </w:t>
      </w:r>
      <w:r w:rsidRPr="007D54B1">
        <w:rPr>
          <w:rFonts w:cs="Arial"/>
          <w:b/>
          <w:bCs/>
          <w:sz w:val="24"/>
          <w:szCs w:val="24"/>
        </w:rPr>
        <w:t>Friday 5 February 2021</w:t>
      </w:r>
      <w:r w:rsidR="007E578F">
        <w:rPr>
          <w:rFonts w:cs="Arial"/>
          <w:sz w:val="24"/>
          <w:szCs w:val="24"/>
        </w:rPr>
        <w:t>,</w:t>
      </w:r>
      <w:r w:rsidRPr="007D54B1">
        <w:rPr>
          <w:rFonts w:cs="Arial"/>
          <w:bCs/>
          <w:sz w:val="24"/>
          <w:szCs w:val="24"/>
        </w:rPr>
        <w:t xml:space="preserve"> a final schedule identifying the remaining matters in dispute.</w:t>
      </w:r>
    </w:p>
    <w:p w14:paraId="6591EB0B" w14:textId="77777777" w:rsidR="002A4D13" w:rsidRPr="002A4D13" w:rsidRDefault="002A4D13" w:rsidP="002A4D13">
      <w:pPr>
        <w:pStyle w:val="ListParagraph"/>
        <w:rPr>
          <w:rFonts w:cs="Arial"/>
          <w:bCs/>
          <w:sz w:val="24"/>
          <w:szCs w:val="24"/>
        </w:rPr>
      </w:pPr>
    </w:p>
    <w:p w14:paraId="79023AAD" w14:textId="0C9EA320" w:rsidR="002A4D13" w:rsidRPr="007D54B1" w:rsidRDefault="002A4D13" w:rsidP="00D303C2">
      <w:pPr>
        <w:pStyle w:val="ListParagraph"/>
        <w:numPr>
          <w:ilvl w:val="0"/>
          <w:numId w:val="20"/>
        </w:numPr>
        <w:ind w:left="567" w:hanging="567"/>
        <w:jc w:val="left"/>
        <w:rPr>
          <w:rFonts w:cs="Arial"/>
          <w:bCs/>
          <w:sz w:val="24"/>
          <w:szCs w:val="24"/>
        </w:rPr>
      </w:pPr>
      <w:r>
        <w:rPr>
          <w:rFonts w:cs="Arial"/>
          <w:bCs/>
          <w:sz w:val="24"/>
          <w:szCs w:val="24"/>
        </w:rPr>
        <w:t xml:space="preserve">A separate note </w:t>
      </w:r>
      <w:r w:rsidR="007E578F">
        <w:rPr>
          <w:rFonts w:cs="Arial"/>
          <w:bCs/>
          <w:sz w:val="24"/>
          <w:szCs w:val="24"/>
        </w:rPr>
        <w:t>on document preparation is attached.</w:t>
      </w:r>
    </w:p>
    <w:p w14:paraId="06FC9D8D" w14:textId="77777777" w:rsidR="004A34D2" w:rsidRPr="004628AD" w:rsidRDefault="004A34D2" w:rsidP="006145B4">
      <w:pPr>
        <w:pStyle w:val="ListParagraph"/>
        <w:ind w:left="851"/>
        <w:jc w:val="left"/>
        <w:rPr>
          <w:rFonts w:cs="Arial"/>
          <w:bCs/>
          <w:sz w:val="24"/>
          <w:szCs w:val="24"/>
        </w:rPr>
      </w:pPr>
    </w:p>
    <w:p w14:paraId="2F1CFA72" w14:textId="77777777" w:rsidR="00542631" w:rsidRPr="004628AD" w:rsidRDefault="00542631" w:rsidP="00C95BC5">
      <w:pPr>
        <w:ind w:firstLine="426"/>
        <w:jc w:val="left"/>
        <w:rPr>
          <w:rFonts w:cs="Arial"/>
          <w:bCs/>
          <w:sz w:val="24"/>
          <w:szCs w:val="24"/>
        </w:rPr>
      </w:pPr>
      <w:r w:rsidRPr="004628AD">
        <w:rPr>
          <w:rFonts w:cs="Arial"/>
          <w:bCs/>
          <w:sz w:val="24"/>
          <w:szCs w:val="24"/>
        </w:rPr>
        <w:t>George Baird</w:t>
      </w:r>
    </w:p>
    <w:p w14:paraId="6B15B6F5" w14:textId="77777777" w:rsidR="00824A56" w:rsidRDefault="00542631" w:rsidP="00C95BC5">
      <w:pPr>
        <w:ind w:firstLine="426"/>
        <w:jc w:val="left"/>
        <w:rPr>
          <w:rFonts w:cs="Arial"/>
          <w:bCs/>
          <w:sz w:val="24"/>
          <w:szCs w:val="24"/>
        </w:rPr>
      </w:pPr>
      <w:r w:rsidRPr="004628AD">
        <w:rPr>
          <w:rFonts w:cs="Arial"/>
          <w:bCs/>
          <w:sz w:val="24"/>
          <w:szCs w:val="24"/>
        </w:rPr>
        <w:t>Inspector</w:t>
      </w:r>
      <w:r w:rsidR="000562BD" w:rsidRPr="004628AD">
        <w:rPr>
          <w:rFonts w:cs="Arial"/>
          <w:bCs/>
          <w:sz w:val="24"/>
          <w:szCs w:val="24"/>
        </w:rPr>
        <w:t xml:space="preserve">                                                        </w:t>
      </w:r>
      <w:r w:rsidR="006E7AE3">
        <w:rPr>
          <w:rFonts w:cs="Arial"/>
          <w:bCs/>
          <w:sz w:val="24"/>
          <w:szCs w:val="24"/>
        </w:rPr>
        <w:t>14 December</w:t>
      </w:r>
      <w:r w:rsidR="009A7E9C" w:rsidRPr="004628AD">
        <w:rPr>
          <w:rFonts w:cs="Arial"/>
          <w:bCs/>
          <w:sz w:val="24"/>
          <w:szCs w:val="24"/>
        </w:rPr>
        <w:t xml:space="preserve"> 20</w:t>
      </w:r>
      <w:r w:rsidR="00C6015F" w:rsidRPr="004628AD">
        <w:rPr>
          <w:rFonts w:cs="Arial"/>
          <w:bCs/>
          <w:sz w:val="24"/>
          <w:szCs w:val="24"/>
        </w:rPr>
        <w:t>20</w:t>
      </w:r>
      <w:r w:rsidR="00C36283" w:rsidRPr="004628AD">
        <w:rPr>
          <w:rFonts w:cs="Arial"/>
          <w:bCs/>
          <w:sz w:val="24"/>
          <w:szCs w:val="24"/>
        </w:rPr>
        <w:t xml:space="preserve"> </w:t>
      </w:r>
      <w:r w:rsidR="00824A56">
        <w:rPr>
          <w:rFonts w:cs="Arial"/>
          <w:bCs/>
          <w:sz w:val="24"/>
          <w:szCs w:val="24"/>
        </w:rPr>
        <w:br w:type="page"/>
      </w:r>
    </w:p>
    <w:p w14:paraId="5773D9CE" w14:textId="77777777" w:rsidR="00824A56" w:rsidRDefault="00824A56" w:rsidP="00D13C0D">
      <w:pPr>
        <w:jc w:val="left"/>
        <w:rPr>
          <w:rFonts w:cs="Arial"/>
          <w:bCs/>
          <w:sz w:val="24"/>
          <w:szCs w:val="24"/>
        </w:rPr>
      </w:pPr>
      <w:r>
        <w:rPr>
          <w:rFonts w:cs="Arial"/>
          <w:bCs/>
          <w:sz w:val="24"/>
          <w:szCs w:val="24"/>
        </w:rPr>
        <w:lastRenderedPageBreak/>
        <w:t>Annex 1</w:t>
      </w:r>
    </w:p>
    <w:p w14:paraId="0F15BC70" w14:textId="77777777" w:rsidR="00824A56" w:rsidRDefault="00824A56" w:rsidP="00C95BC5">
      <w:pPr>
        <w:ind w:firstLine="426"/>
        <w:jc w:val="left"/>
        <w:rPr>
          <w:rFonts w:cs="Arial"/>
          <w:bCs/>
          <w:sz w:val="24"/>
          <w:szCs w:val="24"/>
        </w:rPr>
      </w:pPr>
    </w:p>
    <w:p w14:paraId="27F901CA"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i/>
          <w:iCs/>
          <w:sz w:val="18"/>
          <w:szCs w:val="18"/>
          <w:lang w:eastAsia="en-US"/>
        </w:rPr>
        <w:t>Principal LPA Inquiry Contacts</w:t>
      </w:r>
    </w:p>
    <w:p w14:paraId="16C67A94"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CDC – Andy Bateson – T: 01295 221637; M: 07766 792961; E: </w:t>
      </w:r>
      <w:hyperlink r:id="rId11" w:history="1">
        <w:r w:rsidRPr="00D13C0D">
          <w:rPr>
            <w:rFonts w:eastAsiaTheme="minorHAnsi" w:cstheme="minorBidi"/>
            <w:color w:val="0563C1" w:themeColor="hyperlink"/>
            <w:sz w:val="18"/>
            <w:szCs w:val="18"/>
            <w:u w:val="single"/>
            <w:lang w:eastAsia="en-US"/>
          </w:rPr>
          <w:t>andy.bateson@cherwell-dc.gov.uk</w:t>
        </w:r>
      </w:hyperlink>
    </w:p>
    <w:p w14:paraId="57592B39"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OCC – Joy White, Principal Transport Officer – M: 07554 103522; E: joy.white@oxfordshire.gov.uk </w:t>
      </w:r>
    </w:p>
    <w:p w14:paraId="12DC1109" w14:textId="77777777" w:rsidR="00D13C0D" w:rsidRPr="00D13C0D" w:rsidRDefault="00D13C0D" w:rsidP="00D13C0D">
      <w:pPr>
        <w:spacing w:after="160" w:line="259" w:lineRule="auto"/>
        <w:jc w:val="left"/>
        <w:rPr>
          <w:rFonts w:eastAsiaTheme="minorHAnsi" w:cstheme="minorBidi"/>
          <w:i/>
          <w:iCs/>
          <w:sz w:val="18"/>
          <w:szCs w:val="18"/>
          <w:lang w:eastAsia="en-US"/>
        </w:rPr>
      </w:pPr>
      <w:r w:rsidRPr="00D13C0D">
        <w:rPr>
          <w:rFonts w:eastAsiaTheme="minorHAnsi" w:cstheme="minorBidi"/>
          <w:i/>
          <w:iCs/>
          <w:sz w:val="18"/>
          <w:szCs w:val="18"/>
          <w:lang w:eastAsia="en-US"/>
        </w:rPr>
        <w:t>LPA S.106 Contacts:</w:t>
      </w:r>
    </w:p>
    <w:p w14:paraId="1F864C41"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Matthew Barrett, CDC Solicitor – T: 01295 753798; M: 07939 118871; E: </w:t>
      </w:r>
      <w:hyperlink r:id="rId12" w:history="1">
        <w:r w:rsidRPr="00D13C0D">
          <w:rPr>
            <w:rFonts w:eastAsiaTheme="minorHAnsi" w:cstheme="minorBidi"/>
            <w:color w:val="0563C1" w:themeColor="hyperlink"/>
            <w:sz w:val="18"/>
            <w:szCs w:val="18"/>
            <w:u w:val="single"/>
            <w:lang w:eastAsia="en-US"/>
          </w:rPr>
          <w:t>matthew.barrett@cherwell-dc.gov.uk</w:t>
        </w:r>
      </w:hyperlink>
    </w:p>
    <w:p w14:paraId="7E28261D"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Nicole </w:t>
      </w:r>
      <w:proofErr w:type="spellStart"/>
      <w:r w:rsidRPr="00D13C0D">
        <w:rPr>
          <w:rFonts w:eastAsiaTheme="minorHAnsi" w:cstheme="minorBidi"/>
          <w:sz w:val="18"/>
          <w:szCs w:val="18"/>
          <w:lang w:eastAsia="en-US"/>
        </w:rPr>
        <w:t>Olavesen</w:t>
      </w:r>
      <w:proofErr w:type="spellEnd"/>
      <w:r w:rsidRPr="00D13C0D">
        <w:rPr>
          <w:rFonts w:eastAsiaTheme="minorHAnsi" w:cstheme="minorBidi"/>
          <w:sz w:val="18"/>
          <w:szCs w:val="18"/>
          <w:lang w:eastAsia="en-US"/>
        </w:rPr>
        <w:t xml:space="preserve">, OCC Solicitor – M: 07393 001097; E: nicole.olavesen@oxfordshire.gov.uk </w:t>
      </w:r>
    </w:p>
    <w:p w14:paraId="654B11D5" w14:textId="77777777" w:rsidR="00D13C0D" w:rsidRPr="00D13C0D" w:rsidRDefault="00D13C0D" w:rsidP="00D13C0D">
      <w:pPr>
        <w:spacing w:after="160" w:line="259" w:lineRule="auto"/>
        <w:jc w:val="left"/>
        <w:rPr>
          <w:rFonts w:eastAsiaTheme="minorHAnsi" w:cstheme="minorBidi"/>
          <w:i/>
          <w:iCs/>
          <w:sz w:val="18"/>
          <w:szCs w:val="18"/>
          <w:lang w:eastAsia="en-US"/>
        </w:rPr>
      </w:pPr>
      <w:r w:rsidRPr="00D13C0D">
        <w:rPr>
          <w:rFonts w:eastAsiaTheme="minorHAnsi" w:cstheme="minorBidi"/>
          <w:sz w:val="18"/>
          <w:szCs w:val="18"/>
          <w:lang w:eastAsia="en-US"/>
        </w:rPr>
        <w:t xml:space="preserve"> </w:t>
      </w:r>
      <w:r w:rsidRPr="00D13C0D">
        <w:rPr>
          <w:rFonts w:eastAsiaTheme="minorHAnsi" w:cstheme="minorBidi"/>
          <w:i/>
          <w:iCs/>
          <w:sz w:val="18"/>
          <w:szCs w:val="18"/>
          <w:lang w:eastAsia="en-US"/>
        </w:rPr>
        <w:t>List of Local Planning Authority Inquiry Appearances</w:t>
      </w:r>
    </w:p>
    <w:p w14:paraId="0BF7F66B"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Counsel</w:t>
      </w:r>
    </w:p>
    <w:p w14:paraId="42B518C6"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Douglas Edwards QC, [E: douglas.edwards@ftbchambers.co.uk], instructed by Matthew Barrett LLB, Planning Solicitor, Cherwell District Council.</w:t>
      </w:r>
    </w:p>
    <w:p w14:paraId="38843CB8" w14:textId="77777777" w:rsidR="00D13C0D" w:rsidRPr="00D13C0D" w:rsidRDefault="00D13C0D" w:rsidP="00D13C0D">
      <w:pPr>
        <w:spacing w:after="160" w:line="259" w:lineRule="auto"/>
        <w:jc w:val="left"/>
        <w:rPr>
          <w:rFonts w:eastAsiaTheme="minorHAnsi" w:cstheme="minorBidi"/>
          <w:i/>
          <w:iCs/>
          <w:sz w:val="18"/>
          <w:szCs w:val="18"/>
          <w:lang w:eastAsia="en-US"/>
        </w:rPr>
      </w:pPr>
      <w:r w:rsidRPr="00D13C0D">
        <w:rPr>
          <w:rFonts w:eastAsiaTheme="minorHAnsi" w:cstheme="minorBidi"/>
          <w:i/>
          <w:iCs/>
          <w:sz w:val="18"/>
          <w:szCs w:val="18"/>
          <w:lang w:eastAsia="en-US"/>
        </w:rPr>
        <w:t>Witnesses</w:t>
      </w:r>
    </w:p>
    <w:p w14:paraId="441A420D"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Andrew Bateson – Team Leader - Major Developments, Cherwell District Council (Planning, Locational Sustainability, SoCG and S106 matters – Refusal Reasons 2 &amp; 6 and, in part, Reason 4 – Inspector’s Inquiry issues 5c, 5e, 5f and 5g) T: 01295 221637; M: 07766 792961; E: </w:t>
      </w:r>
      <w:hyperlink r:id="rId13" w:history="1">
        <w:r w:rsidRPr="00D13C0D">
          <w:rPr>
            <w:rFonts w:eastAsiaTheme="minorHAnsi" w:cstheme="minorBidi"/>
            <w:color w:val="0563C1" w:themeColor="hyperlink"/>
            <w:sz w:val="18"/>
            <w:szCs w:val="18"/>
            <w:u w:val="single"/>
            <w:lang w:eastAsia="en-US"/>
          </w:rPr>
          <w:t>andy.bateson@cherwell-dc.gov.uk</w:t>
        </w:r>
      </w:hyperlink>
    </w:p>
    <w:p w14:paraId="3E64B315"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Thomas Darlington – Senior Community Infrastructure Officer, Cherwell District Council (Loss of golf facility matters – Refusal Reason 1 – Inspector’s Inquiry issue 5a) T: 01295 221693; E: </w:t>
      </w:r>
      <w:hyperlink r:id="rId14" w:history="1">
        <w:r w:rsidRPr="00D13C0D">
          <w:rPr>
            <w:rFonts w:eastAsiaTheme="minorHAnsi" w:cstheme="minorBidi"/>
            <w:color w:val="0563C1" w:themeColor="hyperlink"/>
            <w:sz w:val="18"/>
            <w:szCs w:val="18"/>
            <w:u w:val="single"/>
            <w:lang w:eastAsia="en-US"/>
          </w:rPr>
          <w:t>thomas.darlington@cherwell-dc.gov.uk</w:t>
        </w:r>
      </w:hyperlink>
    </w:p>
    <w:p w14:paraId="3836F59C"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Paul Almond – Street Scene &amp; Landscape Manager, Cherwell District Council (Golfing re-provision matters – Refusal Reason 1 – Inspector’s Inquiry issue 5a) T: 01295 221705; E: </w:t>
      </w:r>
      <w:hyperlink r:id="rId15" w:history="1">
        <w:r w:rsidRPr="00D13C0D">
          <w:rPr>
            <w:rFonts w:eastAsiaTheme="minorHAnsi" w:cstheme="minorBidi"/>
            <w:color w:val="0563C1" w:themeColor="hyperlink"/>
            <w:sz w:val="18"/>
            <w:szCs w:val="18"/>
            <w:u w:val="single"/>
            <w:lang w:eastAsia="en-US"/>
          </w:rPr>
          <w:t>paul.almond@cherwell-dc.gov.uk</w:t>
        </w:r>
      </w:hyperlink>
    </w:p>
    <w:p w14:paraId="2F79385E"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Alan DeVenny – Projects Director, </w:t>
      </w:r>
      <w:proofErr w:type="spellStart"/>
      <w:r w:rsidRPr="00D13C0D">
        <w:rPr>
          <w:rFonts w:eastAsiaTheme="minorHAnsi" w:cstheme="minorBidi"/>
          <w:sz w:val="18"/>
          <w:szCs w:val="18"/>
          <w:lang w:eastAsia="en-US"/>
        </w:rPr>
        <w:t>Systra</w:t>
      </w:r>
      <w:proofErr w:type="spellEnd"/>
      <w:r w:rsidRPr="00D13C0D">
        <w:rPr>
          <w:rFonts w:eastAsiaTheme="minorHAnsi" w:cstheme="minorBidi"/>
          <w:sz w:val="18"/>
          <w:szCs w:val="18"/>
          <w:lang w:eastAsia="en-US"/>
        </w:rPr>
        <w:t xml:space="preserve"> – on behalf of Oxfordshire County Council (Highway matters – Refusal Reason 3 – Inspector’s Inquiry issue 5b) T: 01413 439636; M: 07973 987585; E: </w:t>
      </w:r>
      <w:hyperlink r:id="rId16" w:history="1">
        <w:r w:rsidRPr="00D13C0D">
          <w:rPr>
            <w:rFonts w:eastAsiaTheme="minorHAnsi" w:cstheme="minorBidi"/>
            <w:color w:val="0563C1" w:themeColor="hyperlink"/>
            <w:sz w:val="18"/>
            <w:szCs w:val="18"/>
            <w:u w:val="single"/>
            <w:lang w:eastAsia="en-US"/>
          </w:rPr>
          <w:t>adevenny@systra.com</w:t>
        </w:r>
      </w:hyperlink>
    </w:p>
    <w:p w14:paraId="587427B1" w14:textId="77777777" w:rsidR="00D13C0D" w:rsidRP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 xml:space="preserve">David Huskisson – Managing Director at Huskisson Brown Associates (Landscape matters – Refusal Reason 4 – Inspector’s Inquiry issue 5c) T: 01892 750572; E: </w:t>
      </w:r>
      <w:hyperlink r:id="rId17" w:history="1">
        <w:r w:rsidRPr="00D13C0D">
          <w:rPr>
            <w:rFonts w:eastAsiaTheme="minorHAnsi" w:cstheme="minorBidi"/>
            <w:color w:val="0563C1" w:themeColor="hyperlink"/>
            <w:sz w:val="18"/>
            <w:szCs w:val="18"/>
            <w:u w:val="single"/>
            <w:lang w:eastAsia="en-US"/>
          </w:rPr>
          <w:t>david@huskissonbrown.co.uk</w:t>
        </w:r>
      </w:hyperlink>
    </w:p>
    <w:p w14:paraId="7B239E51" w14:textId="73C344D7" w:rsidR="00D13C0D" w:rsidRDefault="00D13C0D" w:rsidP="00D13C0D">
      <w:pPr>
        <w:spacing w:after="160" w:line="259" w:lineRule="auto"/>
        <w:jc w:val="left"/>
        <w:rPr>
          <w:rFonts w:eastAsiaTheme="minorHAnsi" w:cstheme="minorBidi"/>
          <w:sz w:val="18"/>
          <w:szCs w:val="18"/>
          <w:lang w:eastAsia="en-US"/>
        </w:rPr>
      </w:pPr>
      <w:r w:rsidRPr="00D13C0D">
        <w:rPr>
          <w:rFonts w:eastAsiaTheme="minorHAnsi" w:cstheme="minorBidi"/>
          <w:sz w:val="18"/>
          <w:szCs w:val="18"/>
          <w:lang w:eastAsia="en-US"/>
        </w:rPr>
        <w:t>Richard Bennett – Oxfordshire County Council (Drainage matters – Refusal Reason 5 – Inspector’s Inquiry issue 5d) M: 07841 829787; E: richard.bennett@oxfordshire.gov.uk</w:t>
      </w:r>
      <w:r>
        <w:rPr>
          <w:rFonts w:eastAsiaTheme="minorHAnsi" w:cstheme="minorBidi"/>
          <w:sz w:val="18"/>
          <w:szCs w:val="18"/>
          <w:lang w:eastAsia="en-US"/>
        </w:rPr>
        <w:br w:type="page"/>
      </w:r>
    </w:p>
    <w:p w14:paraId="2534DBE7" w14:textId="43D1DF8A" w:rsidR="00D13C0D" w:rsidRDefault="00D13C0D" w:rsidP="00D13C0D">
      <w:pPr>
        <w:spacing w:after="160" w:line="259" w:lineRule="auto"/>
        <w:jc w:val="left"/>
        <w:rPr>
          <w:rFonts w:eastAsiaTheme="minorHAnsi" w:cstheme="minorBidi"/>
          <w:szCs w:val="22"/>
          <w:lang w:eastAsia="en-US"/>
        </w:rPr>
      </w:pPr>
      <w:r>
        <w:rPr>
          <w:rFonts w:eastAsiaTheme="minorHAnsi" w:cstheme="minorBidi"/>
          <w:szCs w:val="22"/>
          <w:lang w:eastAsia="en-US"/>
        </w:rPr>
        <w:lastRenderedPageBreak/>
        <w:t>Annex 2</w:t>
      </w:r>
    </w:p>
    <w:p w14:paraId="6ACB7C71" w14:textId="77777777" w:rsidR="00D13C0D" w:rsidRPr="00D13C0D" w:rsidRDefault="00D13C0D" w:rsidP="00D13C0D">
      <w:pPr>
        <w:jc w:val="left"/>
        <w:rPr>
          <w:b/>
          <w:color w:val="FF0000"/>
          <w:sz w:val="24"/>
          <w:szCs w:val="24"/>
        </w:rPr>
      </w:pPr>
      <w:r w:rsidRPr="00D13C0D">
        <w:rPr>
          <w:noProof/>
          <w:color w:val="FF0000"/>
        </w:rPr>
        <w:drawing>
          <wp:inline distT="0" distB="0" distL="0" distR="0" wp14:anchorId="4281CF3C" wp14:editId="08F7FB81">
            <wp:extent cx="3345815" cy="3543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15" cy="354330"/>
                    </a:xfrm>
                    <a:prstGeom prst="rect">
                      <a:avLst/>
                    </a:prstGeom>
                    <a:noFill/>
                    <a:ln>
                      <a:noFill/>
                    </a:ln>
                  </pic:spPr>
                </pic:pic>
              </a:graphicData>
            </a:graphic>
          </wp:inline>
        </w:drawing>
      </w:r>
    </w:p>
    <w:p w14:paraId="1B71F32A" w14:textId="77777777" w:rsidR="00D13C0D" w:rsidRPr="00D13C0D" w:rsidRDefault="00D13C0D" w:rsidP="00D13C0D"/>
    <w:p w14:paraId="7D8A4C53" w14:textId="77777777" w:rsidR="00D13C0D" w:rsidRPr="00D13C0D" w:rsidRDefault="00D13C0D" w:rsidP="00D13C0D"/>
    <w:p w14:paraId="3D9F0397" w14:textId="77777777" w:rsidR="00D13C0D" w:rsidRPr="00D13C0D" w:rsidRDefault="00D13C0D" w:rsidP="00D13C0D">
      <w:pPr>
        <w:jc w:val="left"/>
        <w:rPr>
          <w:b/>
          <w:color w:val="000000"/>
          <w:sz w:val="23"/>
          <w:szCs w:val="23"/>
        </w:rPr>
      </w:pPr>
      <w:r w:rsidRPr="00D13C0D">
        <w:rPr>
          <w:b/>
          <w:color w:val="000000"/>
          <w:sz w:val="23"/>
          <w:szCs w:val="23"/>
        </w:rPr>
        <w:t>Appeal Ref: APP/C3105/W/20/3259189</w:t>
      </w:r>
    </w:p>
    <w:p w14:paraId="18598004" w14:textId="77777777" w:rsidR="00D13C0D" w:rsidRPr="00D13C0D" w:rsidRDefault="00D13C0D" w:rsidP="00D13C0D">
      <w:pPr>
        <w:jc w:val="left"/>
        <w:rPr>
          <w:b/>
          <w:color w:val="000000"/>
          <w:sz w:val="24"/>
          <w:szCs w:val="24"/>
        </w:rPr>
      </w:pPr>
    </w:p>
    <w:p w14:paraId="3C90C9DB" w14:textId="77777777" w:rsidR="00D13C0D" w:rsidRPr="00D13C0D" w:rsidRDefault="00D13C0D" w:rsidP="00D13C0D">
      <w:pPr>
        <w:jc w:val="left"/>
        <w:rPr>
          <w:b/>
          <w:color w:val="000000"/>
          <w:sz w:val="23"/>
          <w:szCs w:val="23"/>
        </w:rPr>
      </w:pPr>
      <w:r w:rsidRPr="00D13C0D">
        <w:rPr>
          <w:b/>
          <w:color w:val="000000"/>
          <w:sz w:val="23"/>
          <w:szCs w:val="23"/>
        </w:rPr>
        <w:t>Land to the east of the M40 and south of the A4095, Chesterton, Bicester.</w:t>
      </w:r>
    </w:p>
    <w:p w14:paraId="199CBD70" w14:textId="77777777" w:rsidR="00D13C0D" w:rsidRPr="00D13C0D" w:rsidRDefault="00D13C0D" w:rsidP="00D13C0D">
      <w:pPr>
        <w:jc w:val="left"/>
        <w:rPr>
          <w:b/>
          <w:color w:val="000000"/>
          <w:sz w:val="23"/>
          <w:szCs w:val="23"/>
        </w:rPr>
      </w:pPr>
    </w:p>
    <w:p w14:paraId="2D1C343A" w14:textId="77777777" w:rsidR="00D13C0D" w:rsidRPr="00D13C0D" w:rsidRDefault="00D13C0D" w:rsidP="00D13C0D">
      <w:pPr>
        <w:rPr>
          <w:b/>
          <w:szCs w:val="22"/>
        </w:rPr>
      </w:pPr>
      <w:r w:rsidRPr="00D13C0D">
        <w:rPr>
          <w:b/>
          <w:szCs w:val="22"/>
        </w:rPr>
        <w:t xml:space="preserve">GUIDANCE ON DOCUMENT PREPARATION </w:t>
      </w:r>
    </w:p>
    <w:p w14:paraId="2E0C53F0" w14:textId="77777777" w:rsidR="00D13C0D" w:rsidRPr="00D13C0D" w:rsidRDefault="00D13C0D" w:rsidP="00D13C0D">
      <w:pPr>
        <w:jc w:val="center"/>
        <w:rPr>
          <w:b/>
          <w:color w:val="000000"/>
          <w:sz w:val="23"/>
          <w:szCs w:val="23"/>
        </w:rPr>
      </w:pPr>
    </w:p>
    <w:p w14:paraId="29FCE0E0" w14:textId="77777777" w:rsidR="00D13C0D" w:rsidRPr="00D13C0D" w:rsidRDefault="00D13C0D" w:rsidP="00D13C0D">
      <w:pPr>
        <w:ind w:left="426" w:hanging="66"/>
        <w:jc w:val="left"/>
        <w:rPr>
          <w:rFonts w:cs="Arial"/>
          <w:bCs/>
          <w:szCs w:val="22"/>
        </w:rPr>
      </w:pPr>
      <w:r w:rsidRPr="00D13C0D">
        <w:rPr>
          <w:rFonts w:cs="Arial"/>
          <w:bCs/>
          <w:szCs w:val="22"/>
        </w:rPr>
        <w:t>OPENING &amp; CLOSING SUBMISSIONS</w:t>
      </w:r>
    </w:p>
    <w:p w14:paraId="654BBE2D" w14:textId="77777777" w:rsidR="00D13C0D" w:rsidRPr="00D13C0D" w:rsidRDefault="00D13C0D" w:rsidP="00D13C0D">
      <w:pPr>
        <w:jc w:val="left"/>
        <w:rPr>
          <w:rFonts w:cs="Arial"/>
          <w:bCs/>
          <w:szCs w:val="22"/>
        </w:rPr>
      </w:pPr>
    </w:p>
    <w:p w14:paraId="25CBA528" w14:textId="2B7EDD1E" w:rsidR="00D13C0D" w:rsidRPr="00D13C0D" w:rsidRDefault="00D13C0D" w:rsidP="00D13C0D">
      <w:pPr>
        <w:numPr>
          <w:ilvl w:val="0"/>
          <w:numId w:val="2"/>
        </w:numPr>
        <w:ind w:left="851" w:hanging="502"/>
        <w:rPr>
          <w:szCs w:val="22"/>
        </w:rPr>
      </w:pPr>
      <w:r w:rsidRPr="00D13C0D">
        <w:rPr>
          <w:szCs w:val="22"/>
        </w:rPr>
        <w:t xml:space="preserve">Written copies of opening and closing statements </w:t>
      </w:r>
      <w:r>
        <w:rPr>
          <w:szCs w:val="22"/>
        </w:rPr>
        <w:t xml:space="preserve">are required </w:t>
      </w:r>
      <w:r w:rsidRPr="00D13C0D">
        <w:rPr>
          <w:szCs w:val="22"/>
        </w:rPr>
        <w:t>and these will be shared electronically.  If possible, opening statements should be provided to the Case Officer on Monday 8 February.</w:t>
      </w:r>
    </w:p>
    <w:p w14:paraId="108BBD16" w14:textId="77777777" w:rsidR="00D13C0D" w:rsidRPr="00D13C0D" w:rsidRDefault="00D13C0D" w:rsidP="00D13C0D">
      <w:pPr>
        <w:ind w:left="720"/>
        <w:rPr>
          <w:szCs w:val="22"/>
        </w:rPr>
      </w:pPr>
    </w:p>
    <w:p w14:paraId="5BE1A864" w14:textId="77777777" w:rsidR="00D13C0D" w:rsidRPr="00D13C0D" w:rsidRDefault="00D13C0D" w:rsidP="00D13C0D">
      <w:pPr>
        <w:numPr>
          <w:ilvl w:val="0"/>
          <w:numId w:val="2"/>
        </w:numPr>
        <w:ind w:left="851" w:hanging="502"/>
        <w:rPr>
          <w:szCs w:val="22"/>
        </w:rPr>
      </w:pPr>
      <w:r w:rsidRPr="00D13C0D">
        <w:rPr>
          <w:bCs/>
          <w:szCs w:val="22"/>
        </w:rPr>
        <w:t>Closing statements should follow the issues addressed at the inquiry and should seek to provide a complete summary of the case put.</w:t>
      </w:r>
    </w:p>
    <w:p w14:paraId="7B05F564" w14:textId="77777777" w:rsidR="00D13C0D" w:rsidRPr="00D13C0D" w:rsidRDefault="00D13C0D" w:rsidP="00D13C0D">
      <w:pPr>
        <w:ind w:left="720"/>
        <w:jc w:val="left"/>
        <w:rPr>
          <w:bCs/>
          <w:color w:val="000000"/>
          <w:szCs w:val="22"/>
        </w:rPr>
      </w:pPr>
    </w:p>
    <w:p w14:paraId="2EA40134" w14:textId="77777777" w:rsidR="00D13C0D" w:rsidRPr="00D13C0D" w:rsidRDefault="00D13C0D" w:rsidP="00D13C0D">
      <w:pPr>
        <w:ind w:firstLine="349"/>
        <w:jc w:val="left"/>
        <w:rPr>
          <w:bCs/>
          <w:color w:val="000000"/>
          <w:szCs w:val="22"/>
        </w:rPr>
      </w:pPr>
      <w:r w:rsidRPr="00D13C0D">
        <w:rPr>
          <w:bCs/>
          <w:color w:val="000000"/>
          <w:szCs w:val="22"/>
        </w:rPr>
        <w:t>PROOFS-OF-EVIDENCE</w:t>
      </w:r>
    </w:p>
    <w:p w14:paraId="64CEF5BD" w14:textId="77777777" w:rsidR="00D13C0D" w:rsidRPr="00D13C0D" w:rsidRDefault="00D13C0D" w:rsidP="00D13C0D">
      <w:pPr>
        <w:ind w:left="851"/>
        <w:jc w:val="left"/>
        <w:rPr>
          <w:rFonts w:cs="Arial"/>
          <w:bCs/>
          <w:szCs w:val="22"/>
        </w:rPr>
      </w:pPr>
    </w:p>
    <w:p w14:paraId="72B6494B" w14:textId="77777777" w:rsidR="00D13C0D" w:rsidRPr="00D13C0D" w:rsidRDefault="00D13C0D" w:rsidP="00D13C0D">
      <w:pPr>
        <w:numPr>
          <w:ilvl w:val="0"/>
          <w:numId w:val="2"/>
        </w:numPr>
        <w:ind w:left="851" w:hanging="502"/>
        <w:rPr>
          <w:rFonts w:cs="Arial"/>
          <w:bCs/>
          <w:szCs w:val="22"/>
        </w:rPr>
      </w:pPr>
      <w:bookmarkStart w:id="3" w:name="_Hlk50974690"/>
      <w:r w:rsidRPr="00D13C0D">
        <w:rPr>
          <w:szCs w:val="22"/>
        </w:rPr>
        <w:t>Proofs</w:t>
      </w:r>
      <w:r w:rsidRPr="00D13C0D">
        <w:rPr>
          <w:rFonts w:cs="Arial"/>
          <w:bCs/>
          <w:szCs w:val="22"/>
        </w:rPr>
        <w:t xml:space="preserve"> of </w:t>
      </w:r>
      <w:r w:rsidRPr="00D13C0D">
        <w:rPr>
          <w:bCs/>
          <w:szCs w:val="22"/>
        </w:rPr>
        <w:t>evidence</w:t>
      </w:r>
      <w:r w:rsidRPr="00D13C0D">
        <w:rPr>
          <w:rFonts w:cs="Arial"/>
          <w:bCs/>
          <w:szCs w:val="22"/>
        </w:rPr>
        <w:t xml:space="preserve"> </w:t>
      </w:r>
      <w:bookmarkEnd w:id="3"/>
      <w:r w:rsidRPr="00D13C0D">
        <w:rPr>
          <w:rFonts w:cs="Arial"/>
          <w:bCs/>
          <w:szCs w:val="22"/>
        </w:rPr>
        <w:t xml:space="preserve">should focus on the main issues identified and the areas of disagreement.  Proofs should not duplicate information included in other inquiry documents e.g. site descriptions, planning history (these should be in a Statement of Common Ground) or recite the text of policies referred elsewhere (Core Documents). </w:t>
      </w:r>
    </w:p>
    <w:p w14:paraId="5626C931" w14:textId="77777777" w:rsidR="00D13C0D" w:rsidRPr="00D13C0D" w:rsidRDefault="00D13C0D" w:rsidP="00D13C0D">
      <w:pPr>
        <w:ind w:left="720"/>
        <w:rPr>
          <w:rFonts w:cs="Arial"/>
          <w:bCs/>
          <w:szCs w:val="22"/>
        </w:rPr>
      </w:pPr>
    </w:p>
    <w:p w14:paraId="29013BE3" w14:textId="77777777" w:rsidR="00D13C0D" w:rsidRPr="00D13C0D" w:rsidRDefault="00D13C0D" w:rsidP="00D13C0D">
      <w:pPr>
        <w:numPr>
          <w:ilvl w:val="0"/>
          <w:numId w:val="2"/>
        </w:numPr>
        <w:ind w:left="851" w:hanging="502"/>
        <w:rPr>
          <w:rFonts w:cs="Arial"/>
          <w:bCs/>
          <w:szCs w:val="22"/>
        </w:rPr>
      </w:pPr>
      <w:r w:rsidRPr="00D13C0D">
        <w:rPr>
          <w:bCs/>
          <w:szCs w:val="22"/>
        </w:rPr>
        <w:t>Proofs</w:t>
      </w:r>
      <w:r w:rsidRPr="00D13C0D">
        <w:rPr>
          <w:rFonts w:cs="Arial"/>
          <w:bCs/>
          <w:szCs w:val="22"/>
        </w:rPr>
        <w:t xml:space="preserve"> of evidence should be concise, precise and proportionate to the complexity of issues and matters the witness is addressing.  Duplication of material in other witnesses’ evidence should be avoided.</w:t>
      </w:r>
    </w:p>
    <w:p w14:paraId="2F633A33" w14:textId="77777777" w:rsidR="00D13C0D" w:rsidRPr="00D13C0D" w:rsidRDefault="00D13C0D" w:rsidP="00D13C0D">
      <w:pPr>
        <w:ind w:left="720"/>
        <w:rPr>
          <w:rFonts w:cs="Arial"/>
          <w:bCs/>
          <w:szCs w:val="22"/>
        </w:rPr>
      </w:pPr>
    </w:p>
    <w:p w14:paraId="0CBC7BFD" w14:textId="77777777" w:rsidR="00D13C0D" w:rsidRPr="00D13C0D" w:rsidRDefault="00D13C0D" w:rsidP="00D13C0D">
      <w:pPr>
        <w:numPr>
          <w:ilvl w:val="0"/>
          <w:numId w:val="2"/>
        </w:numPr>
        <w:ind w:left="851" w:hanging="502"/>
        <w:rPr>
          <w:rFonts w:cs="Arial"/>
          <w:bCs/>
          <w:szCs w:val="22"/>
        </w:rPr>
      </w:pPr>
      <w:r w:rsidRPr="00D13C0D">
        <w:rPr>
          <w:rFonts w:cs="Arial"/>
          <w:bCs/>
          <w:szCs w:val="22"/>
        </w:rPr>
        <w:t xml:space="preserve">Where a document is being referred to this should be clearly referenced.  Where </w:t>
      </w:r>
      <w:r w:rsidRPr="00D13C0D">
        <w:rPr>
          <w:bCs/>
          <w:szCs w:val="22"/>
        </w:rPr>
        <w:t>Case</w:t>
      </w:r>
      <w:r w:rsidRPr="00D13C0D">
        <w:rPr>
          <w:rFonts w:cs="Arial"/>
          <w:bCs/>
          <w:szCs w:val="22"/>
        </w:rPr>
        <w:t xml:space="preserve"> Law is cited the full Court report/transcript reference should be cited and cross refer to a copy of the report/transcript in the Core Documents.</w:t>
      </w:r>
    </w:p>
    <w:p w14:paraId="35ED5AFF" w14:textId="77777777" w:rsidR="00D13C0D" w:rsidRPr="00D13C0D" w:rsidRDefault="00D13C0D" w:rsidP="00D13C0D">
      <w:pPr>
        <w:ind w:left="720"/>
        <w:rPr>
          <w:rFonts w:cs="Arial"/>
          <w:bCs/>
          <w:szCs w:val="22"/>
        </w:rPr>
      </w:pPr>
    </w:p>
    <w:p w14:paraId="6DC8CA6A" w14:textId="77777777" w:rsidR="00D13C0D" w:rsidRPr="00D13C0D" w:rsidRDefault="00D13C0D" w:rsidP="00D13C0D">
      <w:pPr>
        <w:numPr>
          <w:ilvl w:val="0"/>
          <w:numId w:val="2"/>
        </w:numPr>
        <w:ind w:left="851" w:hanging="502"/>
        <w:rPr>
          <w:rFonts w:cs="Arial"/>
          <w:bCs/>
          <w:szCs w:val="22"/>
        </w:rPr>
      </w:pPr>
      <w:r w:rsidRPr="00D13C0D">
        <w:rPr>
          <w:rFonts w:cs="Arial"/>
          <w:bCs/>
          <w:szCs w:val="22"/>
        </w:rPr>
        <w:t xml:space="preserve">Where possible a </w:t>
      </w:r>
      <w:bookmarkStart w:id="4" w:name="_Hlk20127716"/>
      <w:r w:rsidRPr="00D13C0D">
        <w:rPr>
          <w:rFonts w:cs="Arial"/>
          <w:bCs/>
          <w:szCs w:val="22"/>
        </w:rPr>
        <w:t xml:space="preserve">proof of evidence </w:t>
      </w:r>
      <w:bookmarkEnd w:id="4"/>
      <w:r w:rsidRPr="00D13C0D">
        <w:rPr>
          <w:rFonts w:cs="Arial"/>
          <w:bCs/>
          <w:szCs w:val="22"/>
        </w:rPr>
        <w:t>should be no longer than 3,000 words.  Where a proof-of-evidence is longer than 1,500 words a summary is to be submitted. Within a proof of evidence/summary proof each paragraph must be numbered.  Avoid complicated numbering formats –stick to 1.1, 1.2 … 2.1, 2.2.</w:t>
      </w:r>
    </w:p>
    <w:p w14:paraId="4B0A4649" w14:textId="77777777" w:rsidR="00D13C0D" w:rsidRPr="00D13C0D" w:rsidRDefault="00D13C0D" w:rsidP="00D13C0D">
      <w:pPr>
        <w:ind w:left="720"/>
        <w:rPr>
          <w:rFonts w:cs="Arial"/>
          <w:bCs/>
          <w:szCs w:val="22"/>
        </w:rPr>
      </w:pPr>
    </w:p>
    <w:p w14:paraId="64372912" w14:textId="77777777" w:rsidR="00D13C0D" w:rsidRPr="00D13C0D" w:rsidRDefault="00D13C0D" w:rsidP="00D13C0D">
      <w:pPr>
        <w:numPr>
          <w:ilvl w:val="0"/>
          <w:numId w:val="2"/>
        </w:numPr>
        <w:ind w:left="851" w:hanging="502"/>
        <w:rPr>
          <w:rFonts w:cs="Arial"/>
          <w:bCs/>
          <w:szCs w:val="22"/>
        </w:rPr>
      </w:pPr>
      <w:r w:rsidRPr="00D13C0D">
        <w:rPr>
          <w:rFonts w:cs="Arial"/>
          <w:bCs/>
          <w:szCs w:val="22"/>
        </w:rPr>
        <w:t>The Inspector will require hard copies of proof of evidence and the Core Documents.  Arrangements will be made for these to be collected by the Inspector.</w:t>
      </w:r>
    </w:p>
    <w:p w14:paraId="332F8D7A" w14:textId="77777777" w:rsidR="00D13C0D" w:rsidRPr="00D13C0D" w:rsidRDefault="00D13C0D" w:rsidP="00D13C0D">
      <w:pPr>
        <w:ind w:left="60"/>
        <w:rPr>
          <w:szCs w:val="22"/>
        </w:rPr>
      </w:pPr>
    </w:p>
    <w:p w14:paraId="4253576A" w14:textId="77777777" w:rsidR="00D13C0D" w:rsidRPr="00D13C0D" w:rsidRDefault="00D13C0D" w:rsidP="00D13C0D">
      <w:pPr>
        <w:numPr>
          <w:ilvl w:val="0"/>
          <w:numId w:val="2"/>
        </w:numPr>
        <w:ind w:left="851" w:hanging="502"/>
        <w:rPr>
          <w:rFonts w:cs="Arial"/>
          <w:bCs/>
          <w:szCs w:val="22"/>
        </w:rPr>
      </w:pPr>
      <w:r w:rsidRPr="00D13C0D">
        <w:rPr>
          <w:rFonts w:cs="Arial"/>
          <w:bCs/>
          <w:szCs w:val="22"/>
        </w:rPr>
        <w:t xml:space="preserve">Proofs of evidence, summaries and appendices should be bound separately in a manner that can be easily opened and read.  If rebuttal proofs of-evidence and appendices are accepted, they should have similar front </w:t>
      </w:r>
      <w:r w:rsidRPr="00D13C0D">
        <w:rPr>
          <w:rFonts w:cs="Arial"/>
          <w:bCs/>
          <w:szCs w:val="22"/>
        </w:rPr>
        <w:lastRenderedPageBreak/>
        <w:t>pages.  All documents should be paginated, and units of measurement should be in metric.</w:t>
      </w:r>
    </w:p>
    <w:p w14:paraId="124D4C09" w14:textId="77777777" w:rsidR="00D13C0D" w:rsidRPr="00D13C0D" w:rsidRDefault="00D13C0D" w:rsidP="00D13C0D">
      <w:pPr>
        <w:ind w:left="720"/>
        <w:rPr>
          <w:rFonts w:cs="Arial"/>
          <w:bCs/>
          <w:szCs w:val="22"/>
        </w:rPr>
      </w:pPr>
    </w:p>
    <w:p w14:paraId="3A6AB688" w14:textId="77777777" w:rsidR="00D13C0D" w:rsidRPr="00D13C0D" w:rsidRDefault="00D13C0D" w:rsidP="00D13C0D">
      <w:pPr>
        <w:ind w:firstLine="349"/>
        <w:jc w:val="left"/>
        <w:rPr>
          <w:rFonts w:cs="Arial"/>
          <w:bCs/>
          <w:szCs w:val="22"/>
        </w:rPr>
      </w:pPr>
      <w:r w:rsidRPr="00D13C0D">
        <w:rPr>
          <w:rFonts w:cs="Arial"/>
          <w:bCs/>
          <w:szCs w:val="22"/>
        </w:rPr>
        <w:t>APPENDICES</w:t>
      </w:r>
    </w:p>
    <w:p w14:paraId="2AE96144" w14:textId="77777777" w:rsidR="00D13C0D" w:rsidRPr="00D13C0D" w:rsidRDefault="00D13C0D" w:rsidP="00D13C0D">
      <w:pPr>
        <w:ind w:firstLine="349"/>
        <w:jc w:val="left"/>
        <w:rPr>
          <w:rFonts w:cs="Arial"/>
          <w:bCs/>
          <w:szCs w:val="22"/>
        </w:rPr>
      </w:pPr>
    </w:p>
    <w:p w14:paraId="564529B8" w14:textId="77777777" w:rsidR="00D13C0D" w:rsidRPr="00D13C0D" w:rsidRDefault="00D13C0D" w:rsidP="00D13C0D">
      <w:pPr>
        <w:numPr>
          <w:ilvl w:val="0"/>
          <w:numId w:val="2"/>
        </w:numPr>
        <w:ind w:left="851" w:hanging="502"/>
        <w:rPr>
          <w:rFonts w:cs="Arial"/>
          <w:bCs/>
          <w:szCs w:val="22"/>
        </w:rPr>
      </w:pPr>
      <w:r w:rsidRPr="00D13C0D">
        <w:rPr>
          <w:rFonts w:cs="Arial"/>
          <w:bCs/>
          <w:szCs w:val="22"/>
        </w:rPr>
        <w:t>Appendices must be bound separately from the proofs-of-evidence. Documents must be separated by dividers with numbered thumb tags (back and front).  Where an appendix is an extract from another document only the cover page and date of publication, the extract being referred to and enough of the document to provide the context for the extract should be included.  If the document is listed as a Core Document, there is no need to reproduce extracts from it in the appendices to a proof of evidence.</w:t>
      </w:r>
    </w:p>
    <w:p w14:paraId="365E64A4" w14:textId="77777777" w:rsidR="00D13C0D" w:rsidRPr="00D13C0D" w:rsidRDefault="00D13C0D" w:rsidP="00D13C0D">
      <w:pPr>
        <w:ind w:left="851"/>
        <w:jc w:val="left"/>
        <w:rPr>
          <w:rFonts w:cs="Arial"/>
          <w:bCs/>
          <w:szCs w:val="22"/>
        </w:rPr>
      </w:pPr>
    </w:p>
    <w:p w14:paraId="5E47B786" w14:textId="77777777" w:rsidR="00D13C0D" w:rsidRPr="00D13C0D" w:rsidRDefault="00D13C0D" w:rsidP="00D13C0D">
      <w:pPr>
        <w:ind w:left="426" w:hanging="66"/>
        <w:jc w:val="left"/>
        <w:rPr>
          <w:rFonts w:cs="Arial"/>
          <w:bCs/>
          <w:szCs w:val="22"/>
        </w:rPr>
      </w:pPr>
      <w:r w:rsidRPr="00D13C0D">
        <w:rPr>
          <w:rFonts w:cs="Arial"/>
          <w:bCs/>
          <w:szCs w:val="22"/>
        </w:rPr>
        <w:t>CORE DOCUMENTS</w:t>
      </w:r>
    </w:p>
    <w:p w14:paraId="0058889E" w14:textId="77777777" w:rsidR="00D13C0D" w:rsidRPr="00D13C0D" w:rsidRDefault="00D13C0D" w:rsidP="00D13C0D">
      <w:pPr>
        <w:ind w:left="720"/>
        <w:rPr>
          <w:rFonts w:cs="Arial"/>
          <w:bCs/>
          <w:szCs w:val="22"/>
        </w:rPr>
      </w:pPr>
    </w:p>
    <w:p w14:paraId="5F7DCF51" w14:textId="77777777" w:rsidR="00D13C0D" w:rsidRPr="00D13C0D" w:rsidRDefault="00D13C0D" w:rsidP="00D13C0D">
      <w:pPr>
        <w:numPr>
          <w:ilvl w:val="0"/>
          <w:numId w:val="2"/>
        </w:numPr>
        <w:ind w:left="851" w:hanging="502"/>
        <w:rPr>
          <w:rFonts w:cs="Arial"/>
          <w:bCs/>
          <w:szCs w:val="22"/>
        </w:rPr>
      </w:pPr>
      <w:r w:rsidRPr="00D13C0D">
        <w:rPr>
          <w:rFonts w:cs="Arial"/>
          <w:bCs/>
          <w:szCs w:val="22"/>
        </w:rPr>
        <w:t xml:space="preserve">Core Documents should be kept to a minimum and filed in ring binders. Documents must be separated by dividers with numbered thumb tags (back and front).  The front and spine of the binders should be labelled e.g. CDS 1 to 10.  </w:t>
      </w:r>
      <w:r w:rsidRPr="00D13C0D">
        <w:rPr>
          <w:rFonts w:cs="Arial"/>
          <w:b/>
          <w:szCs w:val="22"/>
        </w:rPr>
        <w:t xml:space="preserve">Ring binders must not be overfilled </w:t>
      </w:r>
      <w:r w:rsidRPr="00D13C0D">
        <w:rPr>
          <w:rFonts w:cs="Arial"/>
          <w:bCs/>
          <w:szCs w:val="22"/>
        </w:rPr>
        <w:t>– invariably they are damaged in transit.</w:t>
      </w:r>
    </w:p>
    <w:p w14:paraId="78873FEC" w14:textId="77777777" w:rsidR="00D13C0D" w:rsidRPr="00D13C0D" w:rsidRDefault="00D13C0D" w:rsidP="00D13C0D">
      <w:pPr>
        <w:ind w:left="349"/>
        <w:rPr>
          <w:rFonts w:cs="Arial"/>
          <w:bCs/>
          <w:szCs w:val="22"/>
        </w:rPr>
      </w:pPr>
    </w:p>
    <w:p w14:paraId="77AC45BB" w14:textId="77777777" w:rsidR="00D13C0D" w:rsidRPr="00D13C0D" w:rsidRDefault="00D13C0D" w:rsidP="00D13C0D">
      <w:pPr>
        <w:ind w:left="349"/>
        <w:rPr>
          <w:rFonts w:cs="Arial"/>
          <w:bCs/>
          <w:szCs w:val="22"/>
        </w:rPr>
      </w:pPr>
      <w:r w:rsidRPr="00D13C0D">
        <w:rPr>
          <w:rFonts w:cs="Arial"/>
          <w:bCs/>
          <w:szCs w:val="22"/>
        </w:rPr>
        <w:t>ADDITIONAL DOCUMENTS</w:t>
      </w:r>
    </w:p>
    <w:p w14:paraId="26FC00A9" w14:textId="77777777" w:rsidR="00D13C0D" w:rsidRPr="00D13C0D" w:rsidRDefault="00D13C0D" w:rsidP="00D13C0D">
      <w:pPr>
        <w:ind w:left="851"/>
        <w:jc w:val="left"/>
        <w:rPr>
          <w:rFonts w:cs="Arial"/>
          <w:bCs/>
          <w:szCs w:val="22"/>
        </w:rPr>
      </w:pPr>
    </w:p>
    <w:p w14:paraId="2CB21243" w14:textId="77777777" w:rsidR="00D13C0D" w:rsidRPr="00D13C0D" w:rsidRDefault="00D13C0D" w:rsidP="00D13C0D">
      <w:pPr>
        <w:numPr>
          <w:ilvl w:val="0"/>
          <w:numId w:val="2"/>
        </w:numPr>
        <w:ind w:left="851" w:hanging="502"/>
        <w:rPr>
          <w:rFonts w:cs="Arial"/>
          <w:bCs/>
          <w:szCs w:val="22"/>
        </w:rPr>
      </w:pPr>
      <w:r w:rsidRPr="00D13C0D">
        <w:rPr>
          <w:rFonts w:cs="Arial"/>
          <w:bCs/>
          <w:szCs w:val="22"/>
        </w:rPr>
        <w:t>If during the inquiry it becomes necessary to submit further documents, each document should have a cover page setting out the title of the document, and where appropriate the date of publication and an acknowledgement of the source.  These will be shared electronically.</w:t>
      </w:r>
    </w:p>
    <w:p w14:paraId="46735707" w14:textId="77777777" w:rsidR="00D13C0D" w:rsidRPr="00D13C0D" w:rsidRDefault="00D13C0D" w:rsidP="00D13C0D">
      <w:pPr>
        <w:ind w:left="851"/>
        <w:jc w:val="left"/>
        <w:rPr>
          <w:rFonts w:cs="Arial"/>
          <w:bCs/>
          <w:szCs w:val="22"/>
        </w:rPr>
      </w:pPr>
    </w:p>
    <w:p w14:paraId="51DE7458" w14:textId="77777777" w:rsidR="00D13C0D" w:rsidRPr="00D13C0D" w:rsidRDefault="00D13C0D" w:rsidP="00D13C0D">
      <w:pPr>
        <w:ind w:left="851"/>
        <w:jc w:val="left"/>
        <w:rPr>
          <w:rFonts w:cs="Arial"/>
          <w:bCs/>
          <w:szCs w:val="22"/>
        </w:rPr>
      </w:pPr>
    </w:p>
    <w:p w14:paraId="5E2234C6" w14:textId="77777777" w:rsidR="00D13C0D" w:rsidRPr="00D13C0D" w:rsidRDefault="00D13C0D" w:rsidP="00D13C0D">
      <w:pPr>
        <w:ind w:left="851"/>
        <w:jc w:val="left"/>
        <w:rPr>
          <w:rFonts w:cs="Arial"/>
          <w:bCs/>
          <w:szCs w:val="22"/>
        </w:rPr>
      </w:pPr>
      <w:r w:rsidRPr="00D13C0D">
        <w:rPr>
          <w:rFonts w:cs="Arial"/>
          <w:bCs/>
          <w:szCs w:val="22"/>
        </w:rPr>
        <w:t>George Baird</w:t>
      </w:r>
    </w:p>
    <w:p w14:paraId="614F83D8" w14:textId="77777777" w:rsidR="00D13C0D" w:rsidRPr="00D13C0D" w:rsidRDefault="00D13C0D" w:rsidP="00D13C0D">
      <w:pPr>
        <w:ind w:left="851"/>
        <w:jc w:val="left"/>
        <w:rPr>
          <w:rFonts w:cs="Arial"/>
          <w:bCs/>
          <w:szCs w:val="22"/>
        </w:rPr>
      </w:pPr>
      <w:r w:rsidRPr="00D13C0D">
        <w:rPr>
          <w:rFonts w:cs="Arial"/>
          <w:bCs/>
          <w:szCs w:val="22"/>
        </w:rPr>
        <w:t>Inspector</w:t>
      </w:r>
    </w:p>
    <w:p w14:paraId="657993F6" w14:textId="77777777" w:rsidR="00D13C0D" w:rsidRPr="00D13C0D" w:rsidRDefault="00D13C0D" w:rsidP="00D13C0D">
      <w:pPr>
        <w:spacing w:after="160" w:line="259" w:lineRule="auto"/>
        <w:jc w:val="left"/>
        <w:rPr>
          <w:rFonts w:eastAsiaTheme="minorHAnsi" w:cstheme="minorBidi"/>
          <w:szCs w:val="22"/>
          <w:lang w:eastAsia="en-US"/>
        </w:rPr>
      </w:pPr>
    </w:p>
    <w:p w14:paraId="2173F07A" w14:textId="12778AD5" w:rsidR="00A618AD" w:rsidRPr="004628AD" w:rsidRDefault="00C36283" w:rsidP="00C95BC5">
      <w:pPr>
        <w:ind w:firstLine="426"/>
        <w:jc w:val="left"/>
        <w:rPr>
          <w:rFonts w:cs="Arial"/>
          <w:bCs/>
          <w:sz w:val="24"/>
          <w:szCs w:val="24"/>
        </w:rPr>
      </w:pPr>
      <w:r w:rsidRPr="004628AD">
        <w:rPr>
          <w:rFonts w:cs="Arial"/>
          <w:bCs/>
          <w:sz w:val="24"/>
          <w:szCs w:val="24"/>
        </w:rPr>
        <w:t xml:space="preserve"> </w:t>
      </w:r>
    </w:p>
    <w:sectPr w:rsidR="00A618AD" w:rsidRPr="004628AD" w:rsidSect="00A55CCA">
      <w:footerReference w:type="default" r:id="rId1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4FAA" w14:textId="77777777" w:rsidR="00EA4F50" w:rsidRDefault="00EA4F50" w:rsidP="00056547">
      <w:r>
        <w:separator/>
      </w:r>
    </w:p>
  </w:endnote>
  <w:endnote w:type="continuationSeparator" w:id="0">
    <w:p w14:paraId="009B689A" w14:textId="77777777" w:rsidR="00EA4F50" w:rsidRDefault="00EA4F50" w:rsidP="0005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440337"/>
      <w:docPartObj>
        <w:docPartGallery w:val="Page Numbers (Bottom of Page)"/>
        <w:docPartUnique/>
      </w:docPartObj>
    </w:sdtPr>
    <w:sdtEndPr>
      <w:rPr>
        <w:noProof/>
      </w:rPr>
    </w:sdtEndPr>
    <w:sdtContent>
      <w:p w14:paraId="71FD8234" w14:textId="2A950BC8" w:rsidR="00612707" w:rsidRDefault="00612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8428E" w14:textId="77777777" w:rsidR="00A55CCA" w:rsidRDefault="00A5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44D3" w14:textId="77777777" w:rsidR="00EA4F50" w:rsidRDefault="00EA4F50" w:rsidP="00056547">
      <w:r>
        <w:separator/>
      </w:r>
    </w:p>
  </w:footnote>
  <w:footnote w:type="continuationSeparator" w:id="0">
    <w:p w14:paraId="507CD4B1" w14:textId="77777777" w:rsidR="00EA4F50" w:rsidRDefault="00EA4F50" w:rsidP="00056547">
      <w:r>
        <w:continuationSeparator/>
      </w:r>
    </w:p>
  </w:footnote>
  <w:footnote w:id="1">
    <w:p w14:paraId="55C87777" w14:textId="63248FAF" w:rsidR="0043022E" w:rsidRDefault="0043022E">
      <w:pPr>
        <w:pStyle w:val="FootnoteText"/>
      </w:pPr>
      <w:r>
        <w:rPr>
          <w:rStyle w:val="FootnoteReference"/>
        </w:rPr>
        <w:footnoteRef/>
      </w:r>
      <w:r>
        <w:t xml:space="preserve"> Alison Dyson - </w:t>
      </w:r>
      <w:r w:rsidRPr="0043022E">
        <w:t>ALISON.DYSON@planninginspectorate.gov.uk</w:t>
      </w:r>
    </w:p>
  </w:footnote>
  <w:footnote w:id="2">
    <w:p w14:paraId="38B6994C" w14:textId="77777777" w:rsidR="00DB46BD" w:rsidRDefault="00DB46BD" w:rsidP="00DB46BD">
      <w:pPr>
        <w:pStyle w:val="FootnoteText"/>
        <w:ind w:left="142" w:hanging="142"/>
      </w:pPr>
      <w:r>
        <w:rPr>
          <w:rStyle w:val="FootnoteReference"/>
        </w:rPr>
        <w:footnoteRef/>
      </w:r>
      <w:r>
        <w:t xml:space="preserve"> PAW subsequently advised that it was aware of at least 30 residents who wished to speak.</w:t>
      </w:r>
    </w:p>
  </w:footnote>
  <w:footnote w:id="3">
    <w:p w14:paraId="04126B06" w14:textId="62737EAE" w:rsidR="00D3608D" w:rsidRDefault="00D3608D">
      <w:pPr>
        <w:pStyle w:val="FootnoteText"/>
      </w:pPr>
      <w:r>
        <w:rPr>
          <w:rStyle w:val="FootnoteReference"/>
        </w:rPr>
        <w:footnoteRef/>
      </w:r>
      <w:r>
        <w:t xml:space="preserve"> No later than Tuesday 26 January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BB"/>
    <w:multiLevelType w:val="hybridMultilevel"/>
    <w:tmpl w:val="BA8E5DB6"/>
    <w:lvl w:ilvl="0" w:tplc="3C68D9A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9426E0"/>
    <w:multiLevelType w:val="hybridMultilevel"/>
    <w:tmpl w:val="75A6D8F0"/>
    <w:lvl w:ilvl="0" w:tplc="9052386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951823"/>
    <w:multiLevelType w:val="hybridMultilevel"/>
    <w:tmpl w:val="FE56C430"/>
    <w:lvl w:ilvl="0" w:tplc="90AA4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F50615"/>
    <w:multiLevelType w:val="hybridMultilevel"/>
    <w:tmpl w:val="1ECE2C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44A3975"/>
    <w:multiLevelType w:val="hybridMultilevel"/>
    <w:tmpl w:val="6DBEA842"/>
    <w:lvl w:ilvl="0" w:tplc="864EE00E">
      <w:start w:val="1"/>
      <w:numFmt w:val="decimal"/>
      <w:lvlText w:val="%1."/>
      <w:lvlJc w:val="left"/>
      <w:pPr>
        <w:ind w:left="786"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D4FE8"/>
    <w:multiLevelType w:val="hybridMultilevel"/>
    <w:tmpl w:val="F5E4AEEE"/>
    <w:lvl w:ilvl="0" w:tplc="F5E8456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ED47ECB"/>
    <w:multiLevelType w:val="hybridMultilevel"/>
    <w:tmpl w:val="C45ECA50"/>
    <w:lvl w:ilvl="0" w:tplc="40B0F6C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5C15436"/>
    <w:multiLevelType w:val="hybridMultilevel"/>
    <w:tmpl w:val="8AA8CC82"/>
    <w:lvl w:ilvl="0" w:tplc="4A90E436">
      <w:start w:val="1"/>
      <w:numFmt w:val="lowerLetter"/>
      <w:lvlText w:val="%1."/>
      <w:lvlJc w:val="left"/>
      <w:pPr>
        <w:ind w:left="1211" w:hanging="360"/>
      </w:pPr>
      <w:rPr>
        <w:rFonts w:ascii="Verdana" w:eastAsia="Times New Roman" w:hAnsi="Verdana" w:cs="Arial"/>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AA84736"/>
    <w:multiLevelType w:val="hybridMultilevel"/>
    <w:tmpl w:val="C81422B4"/>
    <w:lvl w:ilvl="0" w:tplc="AFEC6FCE">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73AB5"/>
    <w:multiLevelType w:val="hybridMultilevel"/>
    <w:tmpl w:val="AA76ED04"/>
    <w:lvl w:ilvl="0" w:tplc="98E2C3E4">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70965DF"/>
    <w:multiLevelType w:val="hybridMultilevel"/>
    <w:tmpl w:val="CCE650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7566D4D"/>
    <w:multiLevelType w:val="hybridMultilevel"/>
    <w:tmpl w:val="9F144442"/>
    <w:lvl w:ilvl="0" w:tplc="C7AA51C6">
      <w:start w:val="1"/>
      <w:numFmt w:val="lowerLetter"/>
      <w:lvlText w:val="%1."/>
      <w:lvlJc w:val="left"/>
      <w:pPr>
        <w:ind w:left="1271" w:hanging="4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0452D21"/>
    <w:multiLevelType w:val="hybridMultilevel"/>
    <w:tmpl w:val="EB54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B4DB3"/>
    <w:multiLevelType w:val="hybridMultilevel"/>
    <w:tmpl w:val="CE9A6C34"/>
    <w:lvl w:ilvl="0" w:tplc="95BCD8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AC45F8D"/>
    <w:multiLevelType w:val="hybridMultilevel"/>
    <w:tmpl w:val="46582466"/>
    <w:lvl w:ilvl="0" w:tplc="E8DE2BA2">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F946FDD"/>
    <w:multiLevelType w:val="hybridMultilevel"/>
    <w:tmpl w:val="C944C4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2EF3C5F"/>
    <w:multiLevelType w:val="hybridMultilevel"/>
    <w:tmpl w:val="BA72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A203D"/>
    <w:multiLevelType w:val="hybridMultilevel"/>
    <w:tmpl w:val="58E0EE94"/>
    <w:lvl w:ilvl="0" w:tplc="4C00277E">
      <w:start w:val="1"/>
      <w:numFmt w:val="lowerLetter"/>
      <w:lvlText w:val="%1."/>
      <w:lvlJc w:val="left"/>
      <w:pPr>
        <w:ind w:left="786"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72D7D97"/>
    <w:multiLevelType w:val="hybridMultilevel"/>
    <w:tmpl w:val="E2FCA0EE"/>
    <w:lvl w:ilvl="0" w:tplc="50D2DDB6">
      <w:start w:val="1"/>
      <w:numFmt w:val="decimal"/>
      <w:lvlText w:val="%1."/>
      <w:lvlJc w:val="left"/>
      <w:pPr>
        <w:ind w:left="786"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518F7"/>
    <w:multiLevelType w:val="hybridMultilevel"/>
    <w:tmpl w:val="57061946"/>
    <w:lvl w:ilvl="0" w:tplc="A81A84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C496D94"/>
    <w:multiLevelType w:val="hybridMultilevel"/>
    <w:tmpl w:val="096A80B4"/>
    <w:lvl w:ilvl="0" w:tplc="F37C72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CC6414B"/>
    <w:multiLevelType w:val="hybridMultilevel"/>
    <w:tmpl w:val="2240475A"/>
    <w:lvl w:ilvl="0" w:tplc="3A58CB56">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5285C3A"/>
    <w:multiLevelType w:val="hybridMultilevel"/>
    <w:tmpl w:val="4E0C80F0"/>
    <w:lvl w:ilvl="0" w:tplc="3FCAB01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7FD6E51"/>
    <w:multiLevelType w:val="hybridMultilevel"/>
    <w:tmpl w:val="BCE086CE"/>
    <w:lvl w:ilvl="0" w:tplc="F37C72E4">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4" w15:restartNumberingAfterBreak="0">
    <w:nsid w:val="78511986"/>
    <w:multiLevelType w:val="hybridMultilevel"/>
    <w:tmpl w:val="76B4590E"/>
    <w:lvl w:ilvl="0" w:tplc="C944DE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8"/>
  </w:num>
  <w:num w:numId="3">
    <w:abstractNumId w:val="2"/>
  </w:num>
  <w:num w:numId="4">
    <w:abstractNumId w:val="16"/>
  </w:num>
  <w:num w:numId="5">
    <w:abstractNumId w:val="5"/>
  </w:num>
  <w:num w:numId="6">
    <w:abstractNumId w:val="17"/>
  </w:num>
  <w:num w:numId="7">
    <w:abstractNumId w:val="12"/>
  </w:num>
  <w:num w:numId="8">
    <w:abstractNumId w:val="9"/>
  </w:num>
  <w:num w:numId="9">
    <w:abstractNumId w:val="20"/>
  </w:num>
  <w:num w:numId="10">
    <w:abstractNumId w:val="6"/>
  </w:num>
  <w:num w:numId="11">
    <w:abstractNumId w:val="22"/>
  </w:num>
  <w:num w:numId="12">
    <w:abstractNumId w:val="11"/>
  </w:num>
  <w:num w:numId="13">
    <w:abstractNumId w:val="7"/>
  </w:num>
  <w:num w:numId="14">
    <w:abstractNumId w:val="8"/>
  </w:num>
  <w:num w:numId="15">
    <w:abstractNumId w:val="4"/>
  </w:num>
  <w:num w:numId="16">
    <w:abstractNumId w:val="15"/>
  </w:num>
  <w:num w:numId="17">
    <w:abstractNumId w:val="23"/>
  </w:num>
  <w:num w:numId="18">
    <w:abstractNumId w:val="24"/>
  </w:num>
  <w:num w:numId="19">
    <w:abstractNumId w:val="19"/>
  </w:num>
  <w:num w:numId="20">
    <w:abstractNumId w:val="13"/>
  </w:num>
  <w:num w:numId="21">
    <w:abstractNumId w:val="21"/>
  </w:num>
  <w:num w:numId="22">
    <w:abstractNumId w:val="14"/>
  </w:num>
  <w:num w:numId="23">
    <w:abstractNumId w:val="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26"/>
    <w:rsid w:val="000003A2"/>
    <w:rsid w:val="000226AD"/>
    <w:rsid w:val="00026000"/>
    <w:rsid w:val="00041875"/>
    <w:rsid w:val="00042416"/>
    <w:rsid w:val="00055ABE"/>
    <w:rsid w:val="000562BD"/>
    <w:rsid w:val="00056547"/>
    <w:rsid w:val="00064A47"/>
    <w:rsid w:val="00065868"/>
    <w:rsid w:val="0007079C"/>
    <w:rsid w:val="00072B70"/>
    <w:rsid w:val="000763F9"/>
    <w:rsid w:val="00090E46"/>
    <w:rsid w:val="00094150"/>
    <w:rsid w:val="00096F9A"/>
    <w:rsid w:val="000A15C6"/>
    <w:rsid w:val="000A71F5"/>
    <w:rsid w:val="000B170F"/>
    <w:rsid w:val="000B5A5F"/>
    <w:rsid w:val="000B5EB1"/>
    <w:rsid w:val="000C3AF3"/>
    <w:rsid w:val="000C6435"/>
    <w:rsid w:val="000D00A8"/>
    <w:rsid w:val="000D6CDD"/>
    <w:rsid w:val="000E0CB7"/>
    <w:rsid w:val="0010561D"/>
    <w:rsid w:val="00105A53"/>
    <w:rsid w:val="001076F6"/>
    <w:rsid w:val="00126883"/>
    <w:rsid w:val="0012723D"/>
    <w:rsid w:val="0014402F"/>
    <w:rsid w:val="001550F8"/>
    <w:rsid w:val="0015605E"/>
    <w:rsid w:val="00160903"/>
    <w:rsid w:val="00160CFE"/>
    <w:rsid w:val="00160FCD"/>
    <w:rsid w:val="00165126"/>
    <w:rsid w:val="0017642D"/>
    <w:rsid w:val="00176B9F"/>
    <w:rsid w:val="001920B7"/>
    <w:rsid w:val="00196B89"/>
    <w:rsid w:val="001A1E05"/>
    <w:rsid w:val="001B5383"/>
    <w:rsid w:val="001B59FC"/>
    <w:rsid w:val="001C4FF2"/>
    <w:rsid w:val="001E3D9F"/>
    <w:rsid w:val="001E3ED9"/>
    <w:rsid w:val="001E4F69"/>
    <w:rsid w:val="001E75DB"/>
    <w:rsid w:val="001F2CEB"/>
    <w:rsid w:val="001F7E74"/>
    <w:rsid w:val="00204901"/>
    <w:rsid w:val="00204908"/>
    <w:rsid w:val="00211B08"/>
    <w:rsid w:val="00215B45"/>
    <w:rsid w:val="00216CA3"/>
    <w:rsid w:val="00233D40"/>
    <w:rsid w:val="00252971"/>
    <w:rsid w:val="00266F8E"/>
    <w:rsid w:val="00274FAD"/>
    <w:rsid w:val="00275FB1"/>
    <w:rsid w:val="00282A1F"/>
    <w:rsid w:val="00283552"/>
    <w:rsid w:val="0028361D"/>
    <w:rsid w:val="002954B2"/>
    <w:rsid w:val="00295EB1"/>
    <w:rsid w:val="002A0982"/>
    <w:rsid w:val="002A0F6B"/>
    <w:rsid w:val="002A4D13"/>
    <w:rsid w:val="002B163C"/>
    <w:rsid w:val="002B5A13"/>
    <w:rsid w:val="002B72EA"/>
    <w:rsid w:val="002B769C"/>
    <w:rsid w:val="002D663C"/>
    <w:rsid w:val="002E1AAD"/>
    <w:rsid w:val="002E45B3"/>
    <w:rsid w:val="002E6E9C"/>
    <w:rsid w:val="002E77F5"/>
    <w:rsid w:val="002F1D90"/>
    <w:rsid w:val="00302D8C"/>
    <w:rsid w:val="003049E6"/>
    <w:rsid w:val="00306E53"/>
    <w:rsid w:val="00313F74"/>
    <w:rsid w:val="00315100"/>
    <w:rsid w:val="003262C2"/>
    <w:rsid w:val="00332EAB"/>
    <w:rsid w:val="00332FA0"/>
    <w:rsid w:val="0033496A"/>
    <w:rsid w:val="00334BBD"/>
    <w:rsid w:val="003454C4"/>
    <w:rsid w:val="00345F84"/>
    <w:rsid w:val="00347C78"/>
    <w:rsid w:val="00354E44"/>
    <w:rsid w:val="00356B70"/>
    <w:rsid w:val="00364D92"/>
    <w:rsid w:val="00366501"/>
    <w:rsid w:val="00376457"/>
    <w:rsid w:val="0039625C"/>
    <w:rsid w:val="00397AC1"/>
    <w:rsid w:val="003B1AB4"/>
    <w:rsid w:val="003C07B6"/>
    <w:rsid w:val="003D6CDF"/>
    <w:rsid w:val="003E0BE8"/>
    <w:rsid w:val="003E3F60"/>
    <w:rsid w:val="003E4AF4"/>
    <w:rsid w:val="003F62EE"/>
    <w:rsid w:val="00410682"/>
    <w:rsid w:val="004131C8"/>
    <w:rsid w:val="004159EE"/>
    <w:rsid w:val="004169FB"/>
    <w:rsid w:val="004239C5"/>
    <w:rsid w:val="0043022E"/>
    <w:rsid w:val="00431D15"/>
    <w:rsid w:val="00441CB2"/>
    <w:rsid w:val="004431BF"/>
    <w:rsid w:val="0044352B"/>
    <w:rsid w:val="00451267"/>
    <w:rsid w:val="004628AD"/>
    <w:rsid w:val="004636FA"/>
    <w:rsid w:val="0048364C"/>
    <w:rsid w:val="00485716"/>
    <w:rsid w:val="00490415"/>
    <w:rsid w:val="004933E3"/>
    <w:rsid w:val="004A34D2"/>
    <w:rsid w:val="004A4D63"/>
    <w:rsid w:val="004A770C"/>
    <w:rsid w:val="004A7EFA"/>
    <w:rsid w:val="004B53E7"/>
    <w:rsid w:val="004B63D8"/>
    <w:rsid w:val="004C6D1A"/>
    <w:rsid w:val="004D0CE4"/>
    <w:rsid w:val="004D69BC"/>
    <w:rsid w:val="004D69F9"/>
    <w:rsid w:val="004E2AB9"/>
    <w:rsid w:val="004F0B3C"/>
    <w:rsid w:val="00512CE3"/>
    <w:rsid w:val="005164C2"/>
    <w:rsid w:val="00525EB5"/>
    <w:rsid w:val="00530C1F"/>
    <w:rsid w:val="005315CF"/>
    <w:rsid w:val="005327CC"/>
    <w:rsid w:val="00542631"/>
    <w:rsid w:val="00545B1A"/>
    <w:rsid w:val="00547081"/>
    <w:rsid w:val="0054764C"/>
    <w:rsid w:val="0056719D"/>
    <w:rsid w:val="00567FC3"/>
    <w:rsid w:val="00571FC1"/>
    <w:rsid w:val="00585A0D"/>
    <w:rsid w:val="005869A8"/>
    <w:rsid w:val="005871D3"/>
    <w:rsid w:val="005909D4"/>
    <w:rsid w:val="00592413"/>
    <w:rsid w:val="00592F6F"/>
    <w:rsid w:val="005A23BB"/>
    <w:rsid w:val="005A6825"/>
    <w:rsid w:val="005B44FB"/>
    <w:rsid w:val="005C2165"/>
    <w:rsid w:val="005C760C"/>
    <w:rsid w:val="005D3B92"/>
    <w:rsid w:val="005D41D2"/>
    <w:rsid w:val="005E2261"/>
    <w:rsid w:val="00601CFB"/>
    <w:rsid w:val="0060375F"/>
    <w:rsid w:val="00612707"/>
    <w:rsid w:val="00613CA6"/>
    <w:rsid w:val="00614126"/>
    <w:rsid w:val="006145B4"/>
    <w:rsid w:val="006205AE"/>
    <w:rsid w:val="0063063E"/>
    <w:rsid w:val="0063549E"/>
    <w:rsid w:val="006405C9"/>
    <w:rsid w:val="00646484"/>
    <w:rsid w:val="006505F7"/>
    <w:rsid w:val="00655226"/>
    <w:rsid w:val="00657A65"/>
    <w:rsid w:val="00665609"/>
    <w:rsid w:val="006804CB"/>
    <w:rsid w:val="006857F1"/>
    <w:rsid w:val="006A07A3"/>
    <w:rsid w:val="006A4193"/>
    <w:rsid w:val="006B3A2B"/>
    <w:rsid w:val="006B3AAB"/>
    <w:rsid w:val="006C003E"/>
    <w:rsid w:val="006C2C6D"/>
    <w:rsid w:val="006C5372"/>
    <w:rsid w:val="006D426C"/>
    <w:rsid w:val="006E09C6"/>
    <w:rsid w:val="006E13F5"/>
    <w:rsid w:val="006E796F"/>
    <w:rsid w:val="006E7AE3"/>
    <w:rsid w:val="007033AD"/>
    <w:rsid w:val="00705C74"/>
    <w:rsid w:val="007224D5"/>
    <w:rsid w:val="00725A2E"/>
    <w:rsid w:val="0073026D"/>
    <w:rsid w:val="0074342D"/>
    <w:rsid w:val="007455A0"/>
    <w:rsid w:val="00746493"/>
    <w:rsid w:val="00746556"/>
    <w:rsid w:val="00767882"/>
    <w:rsid w:val="00771B37"/>
    <w:rsid w:val="00774A59"/>
    <w:rsid w:val="00776BC8"/>
    <w:rsid w:val="00780D5A"/>
    <w:rsid w:val="00781068"/>
    <w:rsid w:val="00781EB2"/>
    <w:rsid w:val="00783C91"/>
    <w:rsid w:val="007844DF"/>
    <w:rsid w:val="0078705A"/>
    <w:rsid w:val="007A0ADC"/>
    <w:rsid w:val="007A283D"/>
    <w:rsid w:val="007A760E"/>
    <w:rsid w:val="007A798F"/>
    <w:rsid w:val="007B5245"/>
    <w:rsid w:val="007D07B4"/>
    <w:rsid w:val="007D09BC"/>
    <w:rsid w:val="007D54B1"/>
    <w:rsid w:val="007D7A55"/>
    <w:rsid w:val="007D7E0F"/>
    <w:rsid w:val="007E5265"/>
    <w:rsid w:val="007E578F"/>
    <w:rsid w:val="007F1234"/>
    <w:rsid w:val="007F312F"/>
    <w:rsid w:val="0080058A"/>
    <w:rsid w:val="0081117A"/>
    <w:rsid w:val="0081201F"/>
    <w:rsid w:val="00824A56"/>
    <w:rsid w:val="008263D0"/>
    <w:rsid w:val="00827691"/>
    <w:rsid w:val="00841744"/>
    <w:rsid w:val="00842864"/>
    <w:rsid w:val="008470B0"/>
    <w:rsid w:val="00847E7F"/>
    <w:rsid w:val="0086003A"/>
    <w:rsid w:val="00863ED5"/>
    <w:rsid w:val="00865A3F"/>
    <w:rsid w:val="008720AA"/>
    <w:rsid w:val="0089432C"/>
    <w:rsid w:val="008B0957"/>
    <w:rsid w:val="008B465E"/>
    <w:rsid w:val="008C10C0"/>
    <w:rsid w:val="008C7FDA"/>
    <w:rsid w:val="008D217B"/>
    <w:rsid w:val="008D2630"/>
    <w:rsid w:val="008D2802"/>
    <w:rsid w:val="008D2B80"/>
    <w:rsid w:val="008E3F2C"/>
    <w:rsid w:val="008F3C3C"/>
    <w:rsid w:val="009064A2"/>
    <w:rsid w:val="00917953"/>
    <w:rsid w:val="00917ABE"/>
    <w:rsid w:val="00924466"/>
    <w:rsid w:val="009250CF"/>
    <w:rsid w:val="00926870"/>
    <w:rsid w:val="00932B60"/>
    <w:rsid w:val="009401DE"/>
    <w:rsid w:val="009435E2"/>
    <w:rsid w:val="00946725"/>
    <w:rsid w:val="00946F0F"/>
    <w:rsid w:val="009505F1"/>
    <w:rsid w:val="00954688"/>
    <w:rsid w:val="00967FFD"/>
    <w:rsid w:val="0097126C"/>
    <w:rsid w:val="00986CF6"/>
    <w:rsid w:val="009967A8"/>
    <w:rsid w:val="009A001D"/>
    <w:rsid w:val="009A7E9C"/>
    <w:rsid w:val="009B23D0"/>
    <w:rsid w:val="009B5812"/>
    <w:rsid w:val="009C40B8"/>
    <w:rsid w:val="009E4050"/>
    <w:rsid w:val="009E4593"/>
    <w:rsid w:val="00A035CE"/>
    <w:rsid w:val="00A0597B"/>
    <w:rsid w:val="00A10089"/>
    <w:rsid w:val="00A10CF4"/>
    <w:rsid w:val="00A12667"/>
    <w:rsid w:val="00A12CDE"/>
    <w:rsid w:val="00A13F25"/>
    <w:rsid w:val="00A146C8"/>
    <w:rsid w:val="00A14769"/>
    <w:rsid w:val="00A1778B"/>
    <w:rsid w:val="00A30FAC"/>
    <w:rsid w:val="00A54294"/>
    <w:rsid w:val="00A55CCA"/>
    <w:rsid w:val="00A55ECD"/>
    <w:rsid w:val="00A5667B"/>
    <w:rsid w:val="00A618AD"/>
    <w:rsid w:val="00A65CB7"/>
    <w:rsid w:val="00A67F13"/>
    <w:rsid w:val="00A73EDA"/>
    <w:rsid w:val="00A81F19"/>
    <w:rsid w:val="00A870CA"/>
    <w:rsid w:val="00A937D1"/>
    <w:rsid w:val="00AA683F"/>
    <w:rsid w:val="00AB63AD"/>
    <w:rsid w:val="00AC78E2"/>
    <w:rsid w:val="00AE6FDB"/>
    <w:rsid w:val="00AE7E1A"/>
    <w:rsid w:val="00AF00B3"/>
    <w:rsid w:val="00AF448E"/>
    <w:rsid w:val="00AF6D74"/>
    <w:rsid w:val="00AF7432"/>
    <w:rsid w:val="00B02552"/>
    <w:rsid w:val="00B06771"/>
    <w:rsid w:val="00B16DF6"/>
    <w:rsid w:val="00B20C92"/>
    <w:rsid w:val="00B24AE0"/>
    <w:rsid w:val="00B43F67"/>
    <w:rsid w:val="00B65660"/>
    <w:rsid w:val="00B81C04"/>
    <w:rsid w:val="00B87F90"/>
    <w:rsid w:val="00B90BA0"/>
    <w:rsid w:val="00B94D89"/>
    <w:rsid w:val="00B9594D"/>
    <w:rsid w:val="00B96241"/>
    <w:rsid w:val="00B97E7A"/>
    <w:rsid w:val="00BB6D77"/>
    <w:rsid w:val="00BB7C6F"/>
    <w:rsid w:val="00BC3304"/>
    <w:rsid w:val="00BF5613"/>
    <w:rsid w:val="00C03EFA"/>
    <w:rsid w:val="00C100ED"/>
    <w:rsid w:val="00C117DD"/>
    <w:rsid w:val="00C15A96"/>
    <w:rsid w:val="00C22555"/>
    <w:rsid w:val="00C31B3C"/>
    <w:rsid w:val="00C36283"/>
    <w:rsid w:val="00C37279"/>
    <w:rsid w:val="00C57BB6"/>
    <w:rsid w:val="00C6015F"/>
    <w:rsid w:val="00C612B9"/>
    <w:rsid w:val="00C614CE"/>
    <w:rsid w:val="00C65AC1"/>
    <w:rsid w:val="00C81D61"/>
    <w:rsid w:val="00C90C90"/>
    <w:rsid w:val="00C91326"/>
    <w:rsid w:val="00C93002"/>
    <w:rsid w:val="00C953D3"/>
    <w:rsid w:val="00C95BC5"/>
    <w:rsid w:val="00C9638F"/>
    <w:rsid w:val="00CA2E08"/>
    <w:rsid w:val="00CB0524"/>
    <w:rsid w:val="00CB4A06"/>
    <w:rsid w:val="00CC0584"/>
    <w:rsid w:val="00CC4F13"/>
    <w:rsid w:val="00CC6762"/>
    <w:rsid w:val="00CC7DC8"/>
    <w:rsid w:val="00CE6D07"/>
    <w:rsid w:val="00CE6FE8"/>
    <w:rsid w:val="00D044BE"/>
    <w:rsid w:val="00D119C8"/>
    <w:rsid w:val="00D12126"/>
    <w:rsid w:val="00D13158"/>
    <w:rsid w:val="00D13C0D"/>
    <w:rsid w:val="00D15ECD"/>
    <w:rsid w:val="00D204F9"/>
    <w:rsid w:val="00D23578"/>
    <w:rsid w:val="00D279A5"/>
    <w:rsid w:val="00D303C2"/>
    <w:rsid w:val="00D3608D"/>
    <w:rsid w:val="00D549F5"/>
    <w:rsid w:val="00D63B22"/>
    <w:rsid w:val="00D64245"/>
    <w:rsid w:val="00D6530A"/>
    <w:rsid w:val="00D70368"/>
    <w:rsid w:val="00D742B6"/>
    <w:rsid w:val="00D852FC"/>
    <w:rsid w:val="00D858CD"/>
    <w:rsid w:val="00D91290"/>
    <w:rsid w:val="00D93856"/>
    <w:rsid w:val="00D93B93"/>
    <w:rsid w:val="00DA136C"/>
    <w:rsid w:val="00DA42A0"/>
    <w:rsid w:val="00DB2E59"/>
    <w:rsid w:val="00DB402C"/>
    <w:rsid w:val="00DB46BD"/>
    <w:rsid w:val="00DD5E6A"/>
    <w:rsid w:val="00DD6741"/>
    <w:rsid w:val="00DE64E7"/>
    <w:rsid w:val="00DF6A75"/>
    <w:rsid w:val="00DF6AD2"/>
    <w:rsid w:val="00E00ACE"/>
    <w:rsid w:val="00E01008"/>
    <w:rsid w:val="00E02D13"/>
    <w:rsid w:val="00E0316F"/>
    <w:rsid w:val="00E03CFB"/>
    <w:rsid w:val="00E10E63"/>
    <w:rsid w:val="00E21557"/>
    <w:rsid w:val="00E24252"/>
    <w:rsid w:val="00E27972"/>
    <w:rsid w:val="00E34EDB"/>
    <w:rsid w:val="00E42B39"/>
    <w:rsid w:val="00E4518C"/>
    <w:rsid w:val="00E52DBB"/>
    <w:rsid w:val="00E57C9B"/>
    <w:rsid w:val="00E615A7"/>
    <w:rsid w:val="00E76E73"/>
    <w:rsid w:val="00E818B6"/>
    <w:rsid w:val="00E81BAF"/>
    <w:rsid w:val="00E9346B"/>
    <w:rsid w:val="00EA0B06"/>
    <w:rsid w:val="00EA4F50"/>
    <w:rsid w:val="00EB6738"/>
    <w:rsid w:val="00EC0888"/>
    <w:rsid w:val="00EC41E9"/>
    <w:rsid w:val="00EC7AD9"/>
    <w:rsid w:val="00EF639A"/>
    <w:rsid w:val="00EF68C7"/>
    <w:rsid w:val="00EF6B96"/>
    <w:rsid w:val="00F00B26"/>
    <w:rsid w:val="00F00B3B"/>
    <w:rsid w:val="00F1155D"/>
    <w:rsid w:val="00F11F8A"/>
    <w:rsid w:val="00F27175"/>
    <w:rsid w:val="00F3360B"/>
    <w:rsid w:val="00F6548A"/>
    <w:rsid w:val="00F669A9"/>
    <w:rsid w:val="00F709C8"/>
    <w:rsid w:val="00F73E33"/>
    <w:rsid w:val="00F750B8"/>
    <w:rsid w:val="00F81F55"/>
    <w:rsid w:val="00F821B7"/>
    <w:rsid w:val="00F872D8"/>
    <w:rsid w:val="00F97F35"/>
    <w:rsid w:val="00FA371E"/>
    <w:rsid w:val="00FA771C"/>
    <w:rsid w:val="00FB5115"/>
    <w:rsid w:val="00FB5606"/>
    <w:rsid w:val="00FC2692"/>
    <w:rsid w:val="00FC3922"/>
    <w:rsid w:val="00FD185C"/>
    <w:rsid w:val="00FD1BF5"/>
    <w:rsid w:val="00FD2484"/>
    <w:rsid w:val="00FD4B16"/>
    <w:rsid w:val="00FE04E5"/>
    <w:rsid w:val="00FE3C99"/>
    <w:rsid w:val="00FE40B2"/>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8B4C"/>
  <w15:chartTrackingRefBased/>
  <w15:docId w15:val="{36F2EF3A-6385-4996-9140-25CBBEBD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26"/>
    <w:pPr>
      <w:spacing w:after="0" w:line="240" w:lineRule="auto"/>
      <w:jc w:val="both"/>
    </w:pPr>
    <w:rPr>
      <w:rFonts w:ascii="Verdana" w:eastAsia="Times New Roman" w:hAnsi="Verdana"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26"/>
    <w:rPr>
      <w:rFonts w:ascii="Segoe UI" w:eastAsia="Times New Roman" w:hAnsi="Segoe UI" w:cs="Segoe UI"/>
      <w:sz w:val="18"/>
      <w:szCs w:val="18"/>
      <w:lang w:eastAsia="en-GB"/>
    </w:rPr>
  </w:style>
  <w:style w:type="paragraph" w:styleId="ListParagraph">
    <w:name w:val="List Paragraph"/>
    <w:basedOn w:val="Normal"/>
    <w:uiPriority w:val="34"/>
    <w:qFormat/>
    <w:rsid w:val="00D12126"/>
    <w:pPr>
      <w:ind w:left="720"/>
    </w:pPr>
  </w:style>
  <w:style w:type="paragraph" w:styleId="FootnoteText">
    <w:name w:val="footnote text"/>
    <w:basedOn w:val="Normal"/>
    <w:link w:val="FootnoteTextChar"/>
    <w:uiPriority w:val="99"/>
    <w:semiHidden/>
    <w:unhideWhenUsed/>
    <w:rsid w:val="00056547"/>
    <w:rPr>
      <w:sz w:val="20"/>
    </w:rPr>
  </w:style>
  <w:style w:type="character" w:customStyle="1" w:styleId="FootnoteTextChar">
    <w:name w:val="Footnote Text Char"/>
    <w:basedOn w:val="DefaultParagraphFont"/>
    <w:link w:val="FootnoteText"/>
    <w:uiPriority w:val="99"/>
    <w:semiHidden/>
    <w:rsid w:val="00056547"/>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056547"/>
    <w:rPr>
      <w:vertAlign w:val="superscript"/>
    </w:rPr>
  </w:style>
  <w:style w:type="paragraph" w:styleId="Header">
    <w:name w:val="header"/>
    <w:basedOn w:val="Normal"/>
    <w:link w:val="HeaderChar"/>
    <w:uiPriority w:val="99"/>
    <w:unhideWhenUsed/>
    <w:rsid w:val="004159EE"/>
    <w:pPr>
      <w:tabs>
        <w:tab w:val="center" w:pos="4513"/>
        <w:tab w:val="right" w:pos="9026"/>
      </w:tabs>
    </w:pPr>
  </w:style>
  <w:style w:type="character" w:customStyle="1" w:styleId="HeaderChar">
    <w:name w:val="Header Char"/>
    <w:basedOn w:val="DefaultParagraphFont"/>
    <w:link w:val="Header"/>
    <w:uiPriority w:val="99"/>
    <w:rsid w:val="004159EE"/>
    <w:rPr>
      <w:rFonts w:ascii="Verdana" w:eastAsia="Times New Roman" w:hAnsi="Verdana" w:cs="Times New Roman"/>
      <w:szCs w:val="20"/>
      <w:lang w:eastAsia="en-GB"/>
    </w:rPr>
  </w:style>
  <w:style w:type="paragraph" w:styleId="Footer">
    <w:name w:val="footer"/>
    <w:basedOn w:val="Normal"/>
    <w:link w:val="FooterChar"/>
    <w:uiPriority w:val="99"/>
    <w:unhideWhenUsed/>
    <w:rsid w:val="004159EE"/>
    <w:pPr>
      <w:tabs>
        <w:tab w:val="center" w:pos="4513"/>
        <w:tab w:val="right" w:pos="9026"/>
      </w:tabs>
    </w:pPr>
  </w:style>
  <w:style w:type="character" w:customStyle="1" w:styleId="FooterChar">
    <w:name w:val="Footer Char"/>
    <w:basedOn w:val="DefaultParagraphFont"/>
    <w:link w:val="Footer"/>
    <w:uiPriority w:val="99"/>
    <w:rsid w:val="004159EE"/>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y.bateson@cherwell-dc.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hew.barrett@cherwell-dc.gov.uk" TargetMode="External"/><Relationship Id="rId17" Type="http://schemas.openxmlformats.org/officeDocument/2006/relationships/hyperlink" Target="mailto:david@huskissonbrown.co.uk" TargetMode="External"/><Relationship Id="rId2" Type="http://schemas.openxmlformats.org/officeDocument/2006/relationships/customXml" Target="../customXml/item2.xml"/><Relationship Id="rId16" Type="http://schemas.openxmlformats.org/officeDocument/2006/relationships/hyperlink" Target="mailto:adevenny@systr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y.bateson@cherwell-dc.gov.uk" TargetMode="External"/><Relationship Id="rId5" Type="http://schemas.openxmlformats.org/officeDocument/2006/relationships/styles" Target="styles.xml"/><Relationship Id="rId15" Type="http://schemas.openxmlformats.org/officeDocument/2006/relationships/hyperlink" Target="mailto:paul.almond@cherwell-dc.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omas.darlington@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5FBE1C0219840B7965E17BD0C3022" ma:contentTypeVersion="2" ma:contentTypeDescription="Create a new document." ma:contentTypeScope="" ma:versionID="fb916c57e40fc3dde6f20549765da7ec">
  <xsd:schema xmlns:xsd="http://www.w3.org/2001/XMLSchema" xmlns:xs="http://www.w3.org/2001/XMLSchema" xmlns:p="http://schemas.microsoft.com/office/2006/metadata/properties" xmlns:ns3="5d8aa899-49a8-403e-b1fb-581b130353c4" targetNamespace="http://schemas.microsoft.com/office/2006/metadata/properties" ma:root="true" ma:fieldsID="e12d5e2e26059f0083a2a02d12b5c5e9" ns3:_="">
    <xsd:import namespace="5d8aa899-49a8-403e-b1fb-581b130353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a899-49a8-403e-b1fb-581b1303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6CE1F-180C-4514-93CE-4B733FAE0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4792C-E1CA-47BE-8EC9-FBD9F6D2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a899-49a8-403e-b1fb-581b1303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C42FF-D161-4BA0-9814-BD7F10FFF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George</dc:creator>
  <cp:keywords/>
  <dc:description/>
  <cp:lastModifiedBy>George Baird</cp:lastModifiedBy>
  <cp:revision>2</cp:revision>
  <cp:lastPrinted>2020-12-16T11:41:00Z</cp:lastPrinted>
  <dcterms:created xsi:type="dcterms:W3CDTF">2020-12-16T12:36:00Z</dcterms:created>
  <dcterms:modified xsi:type="dcterms:W3CDTF">2020-12-16T12:36:00Z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0x0101006405FBE1C0219840B7965E17BD0C3022</vt:lpwstr>
  </property>
</Properties>
</file>