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409bff"/>
          <w:shd w:val="clear" w:color="auto" w:fill="ffffff"/>
          <w:rtl w:val="0"/>
        </w:rPr>
        <w:t>18/01894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en-US"/>
        </w:rPr>
        <w:t>/OUT | Outline planning permission with all matters reserved for up to 25 dwellings with associated open space, parking and sustainable drainage |OS Parcel 4300 North Of Shortlands And South Of High Rock Hook Norton Road Sibford Ferris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Sibford Parish Council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</w:rPr>
        <w:t xml:space="preserve"> OBJECT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to planning application </w:t>
      </w:r>
      <w:r>
        <w:rPr>
          <w:rFonts w:ascii="Helvetica" w:hAnsi="Helvetica"/>
          <w:sz w:val="24"/>
          <w:szCs w:val="24"/>
          <w:u w:val="single" w:color="409bff"/>
          <w:shd w:val="clear" w:color="auto" w:fill="ffffff"/>
          <w:rtl w:val="0"/>
        </w:rPr>
        <w:t>18/01894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/OUT.  The points below reflect the opinion of the Council and a substantial proportion of the Parish residents, 41 who attended the planning meeting held on the 19th November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2018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where this planning request was discussed..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1.0 The proposed planning request is in contravention / contradiction to the Cherwell Local Plan 2011 - 2031 (Part 1) that states that Sibford Ferris is a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Category A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village and in section C.251 of the plan states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Category A villages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are suitable for minor developments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.  While not specifically defined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minor development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is stated in the executive summary of the Local Plan for 'Category A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villages as meaning 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where minor development within built up limits will, in principle be supported (typically a site of less than 10 dwellings)'.  The location of the proposed site is immediately adjacent to the village boundary and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as such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not directly covered by the wording of the Cherwell Local plan, but in reality will become 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a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extension to the existing village boundary/developed area a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nd should be covered in relation to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fr-FR"/>
        </w:rPr>
        <w:t>principle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referenced above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2.0 The proposed site is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G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>rade 2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best and most versatile agricultural land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and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in close proximity to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the Cotswold AONB.  For these reasons we believe that the proposed scale and nature of the development is incompatible with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intent of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Cherwell Local Plan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3.0 The planning applicant has invested an amount of time to research some impacts of the proposed development but as yet there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insufficient evidence to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prove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that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an additional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25 households can be supported by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existing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services and infrastructure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the area.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 xml:space="preserve">Particular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(but not limited to)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community concerns rela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ting to sustainability are: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a. Increases in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traffic volume and congestion (a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traffic survey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was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commissioned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by the applicant but has not been included in the outline planning  permission request)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.  The nature of the village road network is incompatible with any significant increase in volume, particularly during peak hours.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b. T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he ability of the foul and waste water system to handle a circa 10% increase in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volume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(the applicant has approached  the water supplier - Thames Water - but ha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not shown any contact or response from the waste water company - Severn Trent)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Failure to adequately assess could lead to significant under estimation of costs (section 106 provisions) and or impact the service provided to all residents.  In recent years there have been a number of problems with waste water and sewerage downstream of the proposed site affecting Hook Norton Road, Woodway Road and part of Main Street).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4.0 The proposed outline planning application does not align with the community view as assessed and recorded in the 'Sibfords Community Plan 2012.  The plan collected and collated the views of a significant proportion of households in Sibford Ferris, Sibford Gower and Burdrop.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Relating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to development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plan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showed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the community to be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realistic and  pragmatic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about the needs for housing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development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and are supportive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of between 10 - 20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additional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houses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being built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over a 20 year period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evenly distributed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across the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Sibfords, this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was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seen as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the most that could be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sustainably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supported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Response</w:t>
    </w:r>
    <w:r>
      <w:tab/>
    </w:r>
    <w:r>
      <w:rPr>
        <w:rtl w:val="0"/>
        <w:lang w:val="en-US"/>
      </w:rPr>
      <w:t>Sibford Parish Council</w:t>
    </w:r>
    <w:r>
      <w:tab/>
    </w:r>
    <w:r>
      <w:rPr>
        <w:rtl w:val="0"/>
        <w:lang w:val="en-US"/>
      </w:rPr>
      <w:t>26/11/2019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