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17C57" w14:textId="77777777" w:rsidR="00704E07" w:rsidRDefault="00704E07">
      <w:pPr>
        <w:pStyle w:val="Heading1"/>
        <w:spacing w:line="240" w:lineRule="auto"/>
        <w:rPr>
          <w:sz w:val="20"/>
        </w:rPr>
      </w:pPr>
    </w:p>
    <w:p w14:paraId="001C0B06" w14:textId="77777777" w:rsidR="00704E07" w:rsidRDefault="00704E07">
      <w:pPr>
        <w:pStyle w:val="Heading1"/>
        <w:spacing w:line="240" w:lineRule="auto"/>
        <w:rPr>
          <w:sz w:val="20"/>
        </w:rPr>
      </w:pPr>
    </w:p>
    <w:p w14:paraId="4EDF8A91" w14:textId="77777777" w:rsidR="00704E07" w:rsidRDefault="00704E07">
      <w:pPr>
        <w:pStyle w:val="Heading1"/>
        <w:spacing w:line="240" w:lineRule="auto"/>
        <w:rPr>
          <w:sz w:val="20"/>
        </w:rPr>
      </w:pPr>
    </w:p>
    <w:p w14:paraId="70D3CF04" w14:textId="77777777" w:rsidR="00704E07" w:rsidRDefault="00704E07">
      <w:pPr>
        <w:pStyle w:val="Heading1"/>
        <w:spacing w:line="240" w:lineRule="auto"/>
        <w:rPr>
          <w:sz w:val="20"/>
        </w:rPr>
      </w:pPr>
    </w:p>
    <w:p w14:paraId="08B9BBBA" w14:textId="77777777" w:rsidR="00704E07" w:rsidRDefault="00704E07">
      <w:pPr>
        <w:pStyle w:val="Heading1"/>
        <w:spacing w:line="240" w:lineRule="auto"/>
        <w:rPr>
          <w:sz w:val="20"/>
        </w:rPr>
      </w:pPr>
    </w:p>
    <w:p w14:paraId="58637801" w14:textId="77777777" w:rsidR="00704E07" w:rsidRDefault="00704E07">
      <w:pPr>
        <w:pStyle w:val="Heading1"/>
        <w:spacing w:line="240" w:lineRule="auto"/>
        <w:rPr>
          <w:sz w:val="20"/>
        </w:rPr>
      </w:pPr>
    </w:p>
    <w:p w14:paraId="7AFFA95C" w14:textId="77777777" w:rsidR="00704E07" w:rsidRDefault="00704E07">
      <w:pPr>
        <w:pStyle w:val="Heading1"/>
        <w:spacing w:line="240" w:lineRule="auto"/>
        <w:rPr>
          <w:sz w:val="20"/>
        </w:rPr>
      </w:pPr>
    </w:p>
    <w:p w14:paraId="3D1116F3" w14:textId="77777777" w:rsidR="00704E07" w:rsidRDefault="00704E07">
      <w:pPr>
        <w:pStyle w:val="Heading1"/>
        <w:spacing w:line="240" w:lineRule="auto"/>
        <w:rPr>
          <w:sz w:val="20"/>
        </w:rPr>
      </w:pPr>
    </w:p>
    <w:p w14:paraId="53AA2ABD" w14:textId="77777777" w:rsidR="00704E07" w:rsidRDefault="00704E07">
      <w:pPr>
        <w:pStyle w:val="Heading1"/>
        <w:spacing w:line="240" w:lineRule="auto"/>
        <w:rPr>
          <w:sz w:val="20"/>
        </w:rPr>
      </w:pPr>
    </w:p>
    <w:p w14:paraId="423672EC" w14:textId="77777777" w:rsidR="00704E07" w:rsidRDefault="00704E07">
      <w:pPr>
        <w:pStyle w:val="Heading1"/>
        <w:spacing w:line="240" w:lineRule="auto"/>
        <w:jc w:val="center"/>
      </w:pPr>
    </w:p>
    <w:p w14:paraId="3DE38E8B" w14:textId="77777777" w:rsidR="00704E07" w:rsidRDefault="00704E07">
      <w:pPr>
        <w:pStyle w:val="Heading1"/>
        <w:spacing w:line="240" w:lineRule="auto"/>
        <w:jc w:val="center"/>
      </w:pPr>
    </w:p>
    <w:p w14:paraId="5DE036EC" w14:textId="510E9588" w:rsidR="00704E07" w:rsidRDefault="00C200B9">
      <w:pPr>
        <w:jc w:val="center"/>
        <w:rPr>
          <w:b/>
        </w:rPr>
      </w:pPr>
      <w:r>
        <w:rPr>
          <w:b/>
        </w:rPr>
        <w:t xml:space="preserve">PLANNING </w:t>
      </w:r>
      <w:r w:rsidR="00067CDC">
        <w:rPr>
          <w:b/>
        </w:rPr>
        <w:t>DESIGN &amp; ACCESS</w:t>
      </w:r>
      <w:r w:rsidR="00F84178">
        <w:rPr>
          <w:b/>
        </w:rPr>
        <w:t>STATEMENT</w:t>
      </w:r>
    </w:p>
    <w:p w14:paraId="35BE917A" w14:textId="77777777" w:rsidR="00C200B9" w:rsidRDefault="00C200B9">
      <w:pPr>
        <w:jc w:val="center"/>
        <w:rPr>
          <w:b/>
        </w:rPr>
      </w:pPr>
    </w:p>
    <w:p w14:paraId="7DA7E00F" w14:textId="302E28AC" w:rsidR="00704E07" w:rsidRDefault="00C200B9">
      <w:pPr>
        <w:jc w:val="center"/>
        <w:rPr>
          <w:b/>
        </w:rPr>
      </w:pPr>
      <w:r>
        <w:rPr>
          <w:b/>
        </w:rPr>
        <w:t>AT</w:t>
      </w:r>
    </w:p>
    <w:p w14:paraId="2339DB9A" w14:textId="3D62A68E" w:rsidR="00AE5BFB" w:rsidRDefault="00067CDC" w:rsidP="00AE5BFB">
      <w:pPr>
        <w:jc w:val="center"/>
        <w:rPr>
          <w:b/>
        </w:rPr>
      </w:pPr>
      <w:r>
        <w:rPr>
          <w:b/>
        </w:rPr>
        <w:t>8 RECTORY CLOSE</w:t>
      </w:r>
    </w:p>
    <w:p w14:paraId="1EDDC887" w14:textId="667470E6" w:rsidR="00067CDC" w:rsidRDefault="00067CDC" w:rsidP="00AE5BFB">
      <w:pPr>
        <w:jc w:val="center"/>
        <w:rPr>
          <w:b/>
        </w:rPr>
      </w:pPr>
      <w:r>
        <w:rPr>
          <w:b/>
        </w:rPr>
        <w:t>WENDLEBURY</w:t>
      </w:r>
    </w:p>
    <w:p w14:paraId="0C9C6251" w14:textId="1C1C1F98" w:rsidR="00067CDC" w:rsidRDefault="00067CDC" w:rsidP="00AE5BFB">
      <w:pPr>
        <w:jc w:val="center"/>
        <w:rPr>
          <w:b/>
        </w:rPr>
      </w:pPr>
      <w:r>
        <w:rPr>
          <w:b/>
        </w:rPr>
        <w:t>OXFORDSHIRE</w:t>
      </w:r>
    </w:p>
    <w:p w14:paraId="7DAA6C4C" w14:textId="77777777" w:rsidR="00704E07" w:rsidRDefault="00704E07">
      <w:pPr>
        <w:jc w:val="center"/>
        <w:rPr>
          <w:b/>
        </w:rPr>
      </w:pPr>
    </w:p>
    <w:p w14:paraId="0E099925" w14:textId="77777777" w:rsidR="00704E07" w:rsidRDefault="00704E07">
      <w:pPr>
        <w:jc w:val="center"/>
        <w:rPr>
          <w:b/>
        </w:rPr>
      </w:pPr>
    </w:p>
    <w:p w14:paraId="2B6A933C" w14:textId="7DF4BD3E" w:rsidR="00C200B9" w:rsidRDefault="00C200B9">
      <w:pPr>
        <w:jc w:val="center"/>
        <w:rPr>
          <w:b/>
        </w:rPr>
      </w:pPr>
      <w:r>
        <w:rPr>
          <w:b/>
        </w:rPr>
        <w:t xml:space="preserve">IN SUPPORT OF </w:t>
      </w:r>
      <w:r w:rsidR="00067CDC">
        <w:rPr>
          <w:b/>
        </w:rPr>
        <w:t xml:space="preserve">A </w:t>
      </w:r>
      <w:r>
        <w:rPr>
          <w:b/>
        </w:rPr>
        <w:t>PLANNING APPLICATION</w:t>
      </w:r>
    </w:p>
    <w:p w14:paraId="2144EBE5" w14:textId="1D92E92E" w:rsidR="00704E07" w:rsidRDefault="00C200B9">
      <w:pPr>
        <w:jc w:val="center"/>
        <w:rPr>
          <w:b/>
        </w:rPr>
      </w:pPr>
      <w:r>
        <w:rPr>
          <w:b/>
        </w:rPr>
        <w:t xml:space="preserve">FOR </w:t>
      </w:r>
      <w:r w:rsidR="00067CDC">
        <w:rPr>
          <w:b/>
        </w:rPr>
        <w:t>A NEW</w:t>
      </w:r>
      <w:r w:rsidR="00380499">
        <w:rPr>
          <w:b/>
        </w:rPr>
        <w:t xml:space="preserve"> </w:t>
      </w:r>
      <w:r w:rsidR="00067CDC">
        <w:rPr>
          <w:b/>
        </w:rPr>
        <w:t>DETACHED DWELLING</w:t>
      </w:r>
    </w:p>
    <w:p w14:paraId="6C1A86A8" w14:textId="77777777" w:rsidR="00704E07" w:rsidRDefault="00704E07">
      <w:pPr>
        <w:jc w:val="center"/>
        <w:rPr>
          <w:b/>
        </w:rPr>
      </w:pPr>
    </w:p>
    <w:p w14:paraId="50ACCC66" w14:textId="77777777" w:rsidR="00704E07" w:rsidRDefault="00704E07">
      <w:pPr>
        <w:jc w:val="center"/>
        <w:rPr>
          <w:b/>
        </w:rPr>
      </w:pPr>
    </w:p>
    <w:p w14:paraId="102A3827" w14:textId="77777777" w:rsidR="00704E07" w:rsidRDefault="00704E07">
      <w:pPr>
        <w:jc w:val="center"/>
        <w:rPr>
          <w:b/>
        </w:rPr>
      </w:pPr>
      <w:r>
        <w:rPr>
          <w:b/>
        </w:rPr>
        <w:t>PREPARED BY</w:t>
      </w:r>
    </w:p>
    <w:p w14:paraId="3EB8F481" w14:textId="77777777" w:rsidR="00704E07" w:rsidRDefault="00C872B3">
      <w:pPr>
        <w:jc w:val="center"/>
        <w:rPr>
          <w:b/>
        </w:rPr>
      </w:pPr>
      <w:r>
        <w:rPr>
          <w:b/>
        </w:rPr>
        <w:t>HUW MELLOR BA (Hons) MRTPI</w:t>
      </w:r>
    </w:p>
    <w:p w14:paraId="5888C584" w14:textId="77777777" w:rsidR="00704E07" w:rsidRDefault="00704E07">
      <w:pPr>
        <w:jc w:val="center"/>
        <w:rPr>
          <w:b/>
        </w:rPr>
      </w:pPr>
    </w:p>
    <w:p w14:paraId="120E2BD4" w14:textId="77777777" w:rsidR="00225AFC" w:rsidRDefault="00225AFC">
      <w:pPr>
        <w:jc w:val="center"/>
        <w:rPr>
          <w:b/>
        </w:rPr>
      </w:pPr>
    </w:p>
    <w:p w14:paraId="44B41372" w14:textId="77777777" w:rsidR="00704E07" w:rsidRDefault="00704E07" w:rsidP="00225AFC">
      <w:pPr>
        <w:jc w:val="center"/>
        <w:rPr>
          <w:b/>
        </w:rPr>
      </w:pPr>
    </w:p>
    <w:p w14:paraId="4B5AD56E" w14:textId="77777777" w:rsidR="00704E07" w:rsidRDefault="00704E07">
      <w:pPr>
        <w:rPr>
          <w:b/>
        </w:rPr>
      </w:pPr>
    </w:p>
    <w:p w14:paraId="76BAAEB4" w14:textId="77777777" w:rsidR="00704E07" w:rsidRDefault="00704E07">
      <w:pPr>
        <w:rPr>
          <w:b/>
        </w:rPr>
      </w:pPr>
    </w:p>
    <w:p w14:paraId="72CD361C" w14:textId="77777777" w:rsidR="00704E07" w:rsidRDefault="00A64181" w:rsidP="00A64181">
      <w:pPr>
        <w:jc w:val="center"/>
        <w:rPr>
          <w:b/>
        </w:rPr>
      </w:pPr>
      <w:r>
        <w:rPr>
          <w:b/>
        </w:rPr>
        <w:t>ON BEHALF OF</w:t>
      </w:r>
    </w:p>
    <w:p w14:paraId="45A1C0CA" w14:textId="28085A8F" w:rsidR="00704E07" w:rsidRDefault="00067CDC" w:rsidP="00A64181">
      <w:pPr>
        <w:jc w:val="center"/>
        <w:rPr>
          <w:b/>
        </w:rPr>
      </w:pPr>
      <w:r>
        <w:rPr>
          <w:b/>
        </w:rPr>
        <w:t>MR &amp; MRS R</w:t>
      </w:r>
      <w:r w:rsidR="00380499">
        <w:rPr>
          <w:b/>
        </w:rPr>
        <w:t xml:space="preserve"> </w:t>
      </w:r>
      <w:r>
        <w:rPr>
          <w:b/>
        </w:rPr>
        <w:t>HOOKE</w:t>
      </w:r>
    </w:p>
    <w:p w14:paraId="696DDF85" w14:textId="77777777" w:rsidR="00704E07" w:rsidRDefault="00704E07">
      <w:pPr>
        <w:rPr>
          <w:b/>
        </w:rPr>
      </w:pPr>
    </w:p>
    <w:p w14:paraId="3724DEDD" w14:textId="77777777" w:rsidR="00704E07" w:rsidRDefault="00704E07">
      <w:pPr>
        <w:rPr>
          <w:b/>
        </w:rPr>
      </w:pPr>
    </w:p>
    <w:p w14:paraId="1C868D31" w14:textId="77777777" w:rsidR="00704E07" w:rsidRDefault="00704E07">
      <w:pPr>
        <w:rPr>
          <w:b/>
        </w:rPr>
      </w:pPr>
    </w:p>
    <w:p w14:paraId="70E36086" w14:textId="77777777" w:rsidR="00704E07" w:rsidRDefault="00704E07">
      <w:pPr>
        <w:rPr>
          <w:b/>
        </w:rPr>
      </w:pPr>
    </w:p>
    <w:p w14:paraId="5DFAD8B5" w14:textId="77777777" w:rsidR="00704E07" w:rsidRDefault="00704E07">
      <w:pPr>
        <w:rPr>
          <w:b/>
        </w:rPr>
      </w:pPr>
    </w:p>
    <w:p w14:paraId="7B588479" w14:textId="77777777" w:rsidR="00704E07" w:rsidRDefault="00704E07">
      <w:pPr>
        <w:rPr>
          <w:b/>
        </w:rPr>
      </w:pPr>
    </w:p>
    <w:p w14:paraId="0DDF054E" w14:textId="77777777" w:rsidR="00704E07" w:rsidRDefault="00704E07">
      <w:pPr>
        <w:rPr>
          <w:b/>
        </w:rPr>
      </w:pPr>
    </w:p>
    <w:p w14:paraId="3FDB31D1" w14:textId="77777777" w:rsidR="00704E07" w:rsidRDefault="00704E07">
      <w:pPr>
        <w:rPr>
          <w:b/>
        </w:rPr>
      </w:pPr>
    </w:p>
    <w:p w14:paraId="5712E668" w14:textId="77777777" w:rsidR="00704E07" w:rsidRDefault="00704E07">
      <w:pPr>
        <w:rPr>
          <w:b/>
        </w:rPr>
      </w:pPr>
    </w:p>
    <w:p w14:paraId="6D6875BF" w14:textId="731AF900" w:rsidR="00704E07" w:rsidRDefault="00067CDC">
      <w:pPr>
        <w:rPr>
          <w:b/>
        </w:rPr>
      </w:pPr>
      <w:r w:rsidRPr="00565FB5">
        <w:rPr>
          <w:noProof/>
          <w:lang w:eastAsia="en-GB"/>
        </w:rPr>
        <mc:AlternateContent>
          <mc:Choice Requires="wps">
            <w:drawing>
              <wp:anchor distT="0" distB="0" distL="114300" distR="114300" simplePos="0" relativeHeight="251659264" behindDoc="0" locked="0" layoutInCell="1" allowOverlap="1" wp14:anchorId="20B7691B" wp14:editId="404560ED">
                <wp:simplePos x="0" y="0"/>
                <wp:positionH relativeFrom="column">
                  <wp:posOffset>1460311</wp:posOffset>
                </wp:positionH>
                <wp:positionV relativeFrom="paragraph">
                  <wp:posOffset>78769</wp:posOffset>
                </wp:positionV>
                <wp:extent cx="2376000" cy="432136"/>
                <wp:effectExtent l="0" t="0" r="5715" b="6350"/>
                <wp:wrapNone/>
                <wp:docPr id="6"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376000" cy="432136"/>
                        </a:xfrm>
                        <a:custGeom>
                          <a:avLst/>
                          <a:gdLst>
                            <a:gd name="T0" fmla="*/ 6214 w 10251"/>
                            <a:gd name="T1" fmla="*/ 1425 h 1867"/>
                            <a:gd name="T2" fmla="*/ 5695 w 10251"/>
                            <a:gd name="T3" fmla="*/ 1662 h 1867"/>
                            <a:gd name="T4" fmla="*/ 5991 w 10251"/>
                            <a:gd name="T5" fmla="*/ 69 h 1867"/>
                            <a:gd name="T6" fmla="*/ 6525 w 10251"/>
                            <a:gd name="T7" fmla="*/ 574 h 1867"/>
                            <a:gd name="T8" fmla="*/ 6870 w 10251"/>
                            <a:gd name="T9" fmla="*/ 1498 h 1867"/>
                            <a:gd name="T10" fmla="*/ 7226 w 10251"/>
                            <a:gd name="T11" fmla="*/ 576 h 1867"/>
                            <a:gd name="T12" fmla="*/ 6868 w 10251"/>
                            <a:gd name="T13" fmla="*/ 613 h 1867"/>
                            <a:gd name="T14" fmla="*/ 1073 w 10251"/>
                            <a:gd name="T15" fmla="*/ 1205 h 1867"/>
                            <a:gd name="T16" fmla="*/ 748 w 10251"/>
                            <a:gd name="T17" fmla="*/ 236 h 1867"/>
                            <a:gd name="T18" fmla="*/ 746 w 10251"/>
                            <a:gd name="T19" fmla="*/ 44 h 1867"/>
                            <a:gd name="T20" fmla="*/ 1073 w 10251"/>
                            <a:gd name="T21" fmla="*/ 1409 h 1867"/>
                            <a:gd name="T22" fmla="*/ 3306 w 10251"/>
                            <a:gd name="T23" fmla="*/ 1307 h 1867"/>
                            <a:gd name="T24" fmla="*/ 3452 w 10251"/>
                            <a:gd name="T25" fmla="*/ 632 h 1867"/>
                            <a:gd name="T26" fmla="*/ 3208 w 10251"/>
                            <a:gd name="T27" fmla="*/ 199 h 1867"/>
                            <a:gd name="T28" fmla="*/ 2984 w 10251"/>
                            <a:gd name="T29" fmla="*/ 632 h 1867"/>
                            <a:gd name="T30" fmla="*/ 3477 w 10251"/>
                            <a:gd name="T31" fmla="*/ 1430 h 1867"/>
                            <a:gd name="T32" fmla="*/ 7760 w 10251"/>
                            <a:gd name="T33" fmla="*/ 564 h 1867"/>
                            <a:gd name="T34" fmla="*/ 7537 w 10251"/>
                            <a:gd name="T35" fmla="*/ 515 h 1867"/>
                            <a:gd name="T36" fmla="*/ 7760 w 10251"/>
                            <a:gd name="T37" fmla="*/ 1477 h 1867"/>
                            <a:gd name="T38" fmla="*/ 7760 w 10251"/>
                            <a:gd name="T39" fmla="*/ 755 h 1867"/>
                            <a:gd name="T40" fmla="*/ 8195 w 10251"/>
                            <a:gd name="T41" fmla="*/ 1477 h 1867"/>
                            <a:gd name="T42" fmla="*/ 8109 w 10251"/>
                            <a:gd name="T43" fmla="*/ 432 h 1867"/>
                            <a:gd name="T44" fmla="*/ 10210 w 10251"/>
                            <a:gd name="T45" fmla="*/ 675 h 1867"/>
                            <a:gd name="T46" fmla="*/ 9560 w 10251"/>
                            <a:gd name="T47" fmla="*/ 723 h 1867"/>
                            <a:gd name="T48" fmla="*/ 9573 w 10251"/>
                            <a:gd name="T49" fmla="*/ 1242 h 1867"/>
                            <a:gd name="T50" fmla="*/ 10251 w 10251"/>
                            <a:gd name="T51" fmla="*/ 1186 h 1867"/>
                            <a:gd name="T52" fmla="*/ 9398 w 10251"/>
                            <a:gd name="T53" fmla="*/ 794 h 1867"/>
                            <a:gd name="T54" fmla="*/ 8706 w 10251"/>
                            <a:gd name="T55" fmla="*/ 692 h 1867"/>
                            <a:gd name="T56" fmla="*/ 9173 w 10251"/>
                            <a:gd name="T57" fmla="*/ 835 h 1867"/>
                            <a:gd name="T58" fmla="*/ 8888 w 10251"/>
                            <a:gd name="T59" fmla="*/ 1498 h 1867"/>
                            <a:gd name="T60" fmla="*/ 9399 w 10251"/>
                            <a:gd name="T61" fmla="*/ 1477 h 1867"/>
                            <a:gd name="T62" fmla="*/ 9171 w 10251"/>
                            <a:gd name="T63" fmla="*/ 1067 h 1867"/>
                            <a:gd name="T64" fmla="*/ 8963 w 10251"/>
                            <a:gd name="T65" fmla="*/ 1317 h 1867"/>
                            <a:gd name="T66" fmla="*/ 9171 w 10251"/>
                            <a:gd name="T67" fmla="*/ 1001 h 1867"/>
                            <a:gd name="T68" fmla="*/ 2055 w 10251"/>
                            <a:gd name="T69" fmla="*/ 794 h 1867"/>
                            <a:gd name="T70" fmla="*/ 1362 w 10251"/>
                            <a:gd name="T71" fmla="*/ 692 h 1867"/>
                            <a:gd name="T72" fmla="*/ 1830 w 10251"/>
                            <a:gd name="T73" fmla="*/ 835 h 1867"/>
                            <a:gd name="T74" fmla="*/ 1545 w 10251"/>
                            <a:gd name="T75" fmla="*/ 1498 h 1867"/>
                            <a:gd name="T76" fmla="*/ 2055 w 10251"/>
                            <a:gd name="T77" fmla="*/ 1477 h 1867"/>
                            <a:gd name="T78" fmla="*/ 1827 w 10251"/>
                            <a:gd name="T79" fmla="*/ 1067 h 1867"/>
                            <a:gd name="T80" fmla="*/ 1444 w 10251"/>
                            <a:gd name="T81" fmla="*/ 1160 h 1867"/>
                            <a:gd name="T82" fmla="*/ 1827 w 10251"/>
                            <a:gd name="T83" fmla="*/ 1067 h 1867"/>
                            <a:gd name="T84" fmla="*/ 3620 w 10251"/>
                            <a:gd name="T85" fmla="*/ 960 h 1867"/>
                            <a:gd name="T86" fmla="*/ 4409 w 10251"/>
                            <a:gd name="T87" fmla="*/ 1242 h 1867"/>
                            <a:gd name="T88" fmla="*/ 4501 w 10251"/>
                            <a:gd name="T89" fmla="*/ 1020 h 1867"/>
                            <a:gd name="T90" fmla="*/ 4059 w 10251"/>
                            <a:gd name="T91" fmla="*/ 606 h 1867"/>
                            <a:gd name="T92" fmla="*/ 2800 w 10251"/>
                            <a:gd name="T93" fmla="*/ 436 h 1867"/>
                            <a:gd name="T94" fmla="*/ 2483 w 10251"/>
                            <a:gd name="T95" fmla="*/ 413 h 1867"/>
                            <a:gd name="T96" fmla="*/ 2483 w 10251"/>
                            <a:gd name="T97" fmla="*/ 1477 h 1867"/>
                            <a:gd name="T98" fmla="*/ 2800 w 10251"/>
                            <a:gd name="T99" fmla="*/ 668 h 1867"/>
                            <a:gd name="T100" fmla="*/ 5161 w 10251"/>
                            <a:gd name="T101" fmla="*/ 432 h 1867"/>
                            <a:gd name="T102" fmla="*/ 4664 w 10251"/>
                            <a:gd name="T103" fmla="*/ 482 h 1867"/>
                            <a:gd name="T104" fmla="*/ 4887 w 10251"/>
                            <a:gd name="T105" fmla="*/ 742 h 1867"/>
                            <a:gd name="T106" fmla="*/ 5203 w 10251"/>
                            <a:gd name="T107" fmla="*/ 436 h 1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51" h="1867">
                              <a:moveTo>
                                <a:pt x="5991" y="69"/>
                              </a:moveTo>
                              <a:cubicBezTo>
                                <a:pt x="6214" y="0"/>
                                <a:pt x="6214" y="0"/>
                                <a:pt x="6214" y="0"/>
                              </a:cubicBezTo>
                              <a:cubicBezTo>
                                <a:pt x="6214" y="1425"/>
                                <a:pt x="6214" y="1425"/>
                                <a:pt x="6214" y="1425"/>
                              </a:cubicBezTo>
                              <a:cubicBezTo>
                                <a:pt x="6214" y="1690"/>
                                <a:pt x="6122" y="1867"/>
                                <a:pt x="5819" y="1867"/>
                              </a:cubicBezTo>
                              <a:cubicBezTo>
                                <a:pt x="5766" y="1867"/>
                                <a:pt x="5695" y="1854"/>
                                <a:pt x="5650" y="1839"/>
                              </a:cubicBezTo>
                              <a:cubicBezTo>
                                <a:pt x="5695" y="1662"/>
                                <a:pt x="5695" y="1662"/>
                                <a:pt x="5695" y="1662"/>
                              </a:cubicBezTo>
                              <a:cubicBezTo>
                                <a:pt x="5731" y="1675"/>
                                <a:pt x="5781" y="1681"/>
                                <a:pt x="5822" y="1681"/>
                              </a:cubicBezTo>
                              <a:cubicBezTo>
                                <a:pt x="5965" y="1681"/>
                                <a:pt x="5991" y="1567"/>
                                <a:pt x="5991" y="1393"/>
                              </a:cubicBezTo>
                              <a:lnTo>
                                <a:pt x="5991" y="69"/>
                              </a:lnTo>
                              <a:close/>
                              <a:moveTo>
                                <a:pt x="7226" y="576"/>
                              </a:moveTo>
                              <a:cubicBezTo>
                                <a:pt x="7140" y="483"/>
                                <a:pt x="7018" y="432"/>
                                <a:pt x="6870" y="432"/>
                              </a:cubicBezTo>
                              <a:cubicBezTo>
                                <a:pt x="6731" y="432"/>
                                <a:pt x="6611" y="483"/>
                                <a:pt x="6525" y="574"/>
                              </a:cubicBezTo>
                              <a:cubicBezTo>
                                <a:pt x="6433" y="669"/>
                                <a:pt x="6379" y="809"/>
                                <a:pt x="6379" y="970"/>
                              </a:cubicBezTo>
                              <a:cubicBezTo>
                                <a:pt x="6379" y="1134"/>
                                <a:pt x="6433" y="1279"/>
                                <a:pt x="6531" y="1374"/>
                              </a:cubicBezTo>
                              <a:cubicBezTo>
                                <a:pt x="6615" y="1455"/>
                                <a:pt x="6731" y="1498"/>
                                <a:pt x="6870" y="1498"/>
                              </a:cubicBezTo>
                              <a:cubicBezTo>
                                <a:pt x="7013" y="1498"/>
                                <a:pt x="7134" y="1447"/>
                                <a:pt x="7222" y="1358"/>
                              </a:cubicBezTo>
                              <a:cubicBezTo>
                                <a:pt x="7314" y="1264"/>
                                <a:pt x="7365" y="1123"/>
                                <a:pt x="7365" y="964"/>
                              </a:cubicBezTo>
                              <a:cubicBezTo>
                                <a:pt x="7365" y="807"/>
                                <a:pt x="7316" y="669"/>
                                <a:pt x="7226" y="576"/>
                              </a:cubicBezTo>
                              <a:close/>
                              <a:moveTo>
                                <a:pt x="6872" y="1320"/>
                              </a:moveTo>
                              <a:cubicBezTo>
                                <a:pt x="6707" y="1320"/>
                                <a:pt x="6606" y="1177"/>
                                <a:pt x="6606" y="966"/>
                              </a:cubicBezTo>
                              <a:cubicBezTo>
                                <a:pt x="6606" y="757"/>
                                <a:pt x="6696" y="613"/>
                                <a:pt x="6868" y="613"/>
                              </a:cubicBezTo>
                              <a:cubicBezTo>
                                <a:pt x="7037" y="613"/>
                                <a:pt x="7136" y="753"/>
                                <a:pt x="7136" y="966"/>
                              </a:cubicBezTo>
                              <a:cubicBezTo>
                                <a:pt x="7136" y="1173"/>
                                <a:pt x="7043" y="1320"/>
                                <a:pt x="6872" y="1320"/>
                              </a:cubicBezTo>
                              <a:close/>
                              <a:moveTo>
                                <a:pt x="1073" y="1205"/>
                              </a:moveTo>
                              <a:cubicBezTo>
                                <a:pt x="972" y="1261"/>
                                <a:pt x="857" y="1298"/>
                                <a:pt x="733" y="1298"/>
                              </a:cubicBezTo>
                              <a:cubicBezTo>
                                <a:pt x="428" y="1298"/>
                                <a:pt x="244" y="1072"/>
                                <a:pt x="244" y="766"/>
                              </a:cubicBezTo>
                              <a:cubicBezTo>
                                <a:pt x="244" y="477"/>
                                <a:pt x="424" y="236"/>
                                <a:pt x="748" y="236"/>
                              </a:cubicBezTo>
                              <a:cubicBezTo>
                                <a:pt x="885" y="236"/>
                                <a:pt x="994" y="270"/>
                                <a:pt x="1106" y="339"/>
                              </a:cubicBezTo>
                              <a:cubicBezTo>
                                <a:pt x="1106" y="121"/>
                                <a:pt x="1106" y="121"/>
                                <a:pt x="1106" y="121"/>
                              </a:cubicBezTo>
                              <a:cubicBezTo>
                                <a:pt x="1026" y="79"/>
                                <a:pt x="900" y="44"/>
                                <a:pt x="746" y="44"/>
                              </a:cubicBezTo>
                              <a:cubicBezTo>
                                <a:pt x="296" y="44"/>
                                <a:pt x="0" y="371"/>
                                <a:pt x="0" y="783"/>
                              </a:cubicBezTo>
                              <a:cubicBezTo>
                                <a:pt x="0" y="1188"/>
                                <a:pt x="259" y="1498"/>
                                <a:pt x="698" y="1498"/>
                              </a:cubicBezTo>
                              <a:cubicBezTo>
                                <a:pt x="823" y="1498"/>
                                <a:pt x="947" y="1472"/>
                                <a:pt x="1073" y="1409"/>
                              </a:cubicBezTo>
                              <a:lnTo>
                                <a:pt x="1073" y="1205"/>
                              </a:lnTo>
                              <a:close/>
                              <a:moveTo>
                                <a:pt x="3477" y="1244"/>
                              </a:moveTo>
                              <a:cubicBezTo>
                                <a:pt x="3436" y="1273"/>
                                <a:pt x="3372" y="1307"/>
                                <a:pt x="3306" y="1307"/>
                              </a:cubicBezTo>
                              <a:cubicBezTo>
                                <a:pt x="3240" y="1307"/>
                                <a:pt x="3208" y="1268"/>
                                <a:pt x="3208" y="1188"/>
                              </a:cubicBezTo>
                              <a:cubicBezTo>
                                <a:pt x="3208" y="632"/>
                                <a:pt x="3208" y="632"/>
                                <a:pt x="3208" y="632"/>
                              </a:cubicBezTo>
                              <a:cubicBezTo>
                                <a:pt x="3452" y="632"/>
                                <a:pt x="3452" y="632"/>
                                <a:pt x="3452" y="632"/>
                              </a:cubicBezTo>
                              <a:cubicBezTo>
                                <a:pt x="3452" y="457"/>
                                <a:pt x="3452" y="457"/>
                                <a:pt x="3452" y="457"/>
                              </a:cubicBezTo>
                              <a:cubicBezTo>
                                <a:pt x="3208" y="457"/>
                                <a:pt x="3208" y="457"/>
                                <a:pt x="3208" y="457"/>
                              </a:cubicBezTo>
                              <a:cubicBezTo>
                                <a:pt x="3208" y="199"/>
                                <a:pt x="3208" y="199"/>
                                <a:pt x="3208" y="199"/>
                              </a:cubicBezTo>
                              <a:cubicBezTo>
                                <a:pt x="2984" y="268"/>
                                <a:pt x="2984" y="268"/>
                                <a:pt x="2984" y="268"/>
                              </a:cubicBezTo>
                              <a:cubicBezTo>
                                <a:pt x="2984" y="457"/>
                                <a:pt x="2984" y="457"/>
                                <a:pt x="2984" y="457"/>
                              </a:cubicBezTo>
                              <a:cubicBezTo>
                                <a:pt x="2984" y="632"/>
                                <a:pt x="2984" y="632"/>
                                <a:pt x="2984" y="632"/>
                              </a:cubicBezTo>
                              <a:cubicBezTo>
                                <a:pt x="2984" y="1268"/>
                                <a:pt x="2984" y="1268"/>
                                <a:pt x="2984" y="1268"/>
                              </a:cubicBezTo>
                              <a:cubicBezTo>
                                <a:pt x="2984" y="1401"/>
                                <a:pt x="3055" y="1498"/>
                                <a:pt x="3222" y="1498"/>
                              </a:cubicBezTo>
                              <a:cubicBezTo>
                                <a:pt x="3299" y="1498"/>
                                <a:pt x="3393" y="1475"/>
                                <a:pt x="3477" y="1430"/>
                              </a:cubicBezTo>
                              <a:lnTo>
                                <a:pt x="3477" y="1244"/>
                              </a:lnTo>
                              <a:close/>
                              <a:moveTo>
                                <a:pt x="8109" y="432"/>
                              </a:moveTo>
                              <a:cubicBezTo>
                                <a:pt x="7974" y="432"/>
                                <a:pt x="7869" y="482"/>
                                <a:pt x="7760" y="564"/>
                              </a:cubicBezTo>
                              <a:cubicBezTo>
                                <a:pt x="7760" y="446"/>
                                <a:pt x="7760" y="446"/>
                                <a:pt x="7760" y="446"/>
                              </a:cubicBezTo>
                              <a:cubicBezTo>
                                <a:pt x="7537" y="515"/>
                                <a:pt x="7537" y="515"/>
                                <a:pt x="7537" y="515"/>
                              </a:cubicBezTo>
                              <a:cubicBezTo>
                                <a:pt x="7537" y="515"/>
                                <a:pt x="7537" y="515"/>
                                <a:pt x="7537" y="515"/>
                              </a:cubicBezTo>
                              <a:cubicBezTo>
                                <a:pt x="7537" y="1477"/>
                                <a:pt x="7537" y="1477"/>
                                <a:pt x="7537" y="1477"/>
                              </a:cubicBezTo>
                              <a:cubicBezTo>
                                <a:pt x="7537" y="1477"/>
                                <a:pt x="7537" y="1477"/>
                                <a:pt x="7537" y="1477"/>
                              </a:cubicBezTo>
                              <a:cubicBezTo>
                                <a:pt x="7760" y="1477"/>
                                <a:pt x="7760" y="1477"/>
                                <a:pt x="7760" y="1477"/>
                              </a:cubicBezTo>
                              <a:cubicBezTo>
                                <a:pt x="7760" y="1477"/>
                                <a:pt x="7760" y="1477"/>
                                <a:pt x="7760" y="1477"/>
                              </a:cubicBezTo>
                              <a:cubicBezTo>
                                <a:pt x="7760" y="1477"/>
                                <a:pt x="7760" y="1477"/>
                                <a:pt x="7760" y="1477"/>
                              </a:cubicBezTo>
                              <a:cubicBezTo>
                                <a:pt x="7760" y="755"/>
                                <a:pt x="7760" y="755"/>
                                <a:pt x="7760" y="755"/>
                              </a:cubicBezTo>
                              <a:cubicBezTo>
                                <a:pt x="7839" y="692"/>
                                <a:pt x="7935" y="632"/>
                                <a:pt x="8036" y="632"/>
                              </a:cubicBezTo>
                              <a:cubicBezTo>
                                <a:pt x="8173" y="632"/>
                                <a:pt x="8195" y="757"/>
                                <a:pt x="8195" y="867"/>
                              </a:cubicBezTo>
                              <a:cubicBezTo>
                                <a:pt x="8195" y="1477"/>
                                <a:pt x="8195" y="1477"/>
                                <a:pt x="8195" y="1477"/>
                              </a:cubicBezTo>
                              <a:cubicBezTo>
                                <a:pt x="8418" y="1477"/>
                                <a:pt x="8418" y="1477"/>
                                <a:pt x="8418" y="1477"/>
                              </a:cubicBezTo>
                              <a:cubicBezTo>
                                <a:pt x="8418" y="796"/>
                                <a:pt x="8418" y="796"/>
                                <a:pt x="8418" y="796"/>
                              </a:cubicBezTo>
                              <a:cubicBezTo>
                                <a:pt x="8418" y="531"/>
                                <a:pt x="8259" y="432"/>
                                <a:pt x="8109" y="432"/>
                              </a:cubicBezTo>
                              <a:close/>
                              <a:moveTo>
                                <a:pt x="9777" y="712"/>
                              </a:moveTo>
                              <a:cubicBezTo>
                                <a:pt x="9777" y="641"/>
                                <a:pt x="9843" y="611"/>
                                <a:pt x="9935" y="611"/>
                              </a:cubicBezTo>
                              <a:cubicBezTo>
                                <a:pt x="10045" y="611"/>
                                <a:pt x="10131" y="641"/>
                                <a:pt x="10210" y="675"/>
                              </a:cubicBezTo>
                              <a:cubicBezTo>
                                <a:pt x="10210" y="486"/>
                                <a:pt x="10210" y="486"/>
                                <a:pt x="10210" y="486"/>
                              </a:cubicBezTo>
                              <a:cubicBezTo>
                                <a:pt x="10135" y="455"/>
                                <a:pt x="10049" y="432"/>
                                <a:pt x="9927" y="432"/>
                              </a:cubicBezTo>
                              <a:cubicBezTo>
                                <a:pt x="9689" y="432"/>
                                <a:pt x="9560" y="557"/>
                                <a:pt x="9560" y="723"/>
                              </a:cubicBezTo>
                              <a:cubicBezTo>
                                <a:pt x="9560" y="1076"/>
                                <a:pt x="10025" y="998"/>
                                <a:pt x="10025" y="1203"/>
                              </a:cubicBezTo>
                              <a:cubicBezTo>
                                <a:pt x="10025" y="1281"/>
                                <a:pt x="9951" y="1326"/>
                                <a:pt x="9839" y="1326"/>
                              </a:cubicBezTo>
                              <a:cubicBezTo>
                                <a:pt x="9734" y="1326"/>
                                <a:pt x="9640" y="1287"/>
                                <a:pt x="9573" y="1242"/>
                              </a:cubicBezTo>
                              <a:cubicBezTo>
                                <a:pt x="9573" y="1447"/>
                                <a:pt x="9573" y="1447"/>
                                <a:pt x="9573" y="1447"/>
                              </a:cubicBezTo>
                              <a:cubicBezTo>
                                <a:pt x="9645" y="1478"/>
                                <a:pt x="9734" y="1498"/>
                                <a:pt x="9850" y="1498"/>
                              </a:cubicBezTo>
                              <a:cubicBezTo>
                                <a:pt x="10062" y="1498"/>
                                <a:pt x="10251" y="1410"/>
                                <a:pt x="10251" y="1186"/>
                              </a:cubicBezTo>
                              <a:cubicBezTo>
                                <a:pt x="10251" y="841"/>
                                <a:pt x="9777" y="895"/>
                                <a:pt x="9777" y="712"/>
                              </a:cubicBezTo>
                              <a:close/>
                              <a:moveTo>
                                <a:pt x="9398" y="1067"/>
                              </a:moveTo>
                              <a:cubicBezTo>
                                <a:pt x="9398" y="794"/>
                                <a:pt x="9398" y="794"/>
                                <a:pt x="9398" y="794"/>
                              </a:cubicBezTo>
                              <a:cubicBezTo>
                                <a:pt x="9398" y="529"/>
                                <a:pt x="9246" y="432"/>
                                <a:pt x="9015" y="432"/>
                              </a:cubicBezTo>
                              <a:cubicBezTo>
                                <a:pt x="8908" y="432"/>
                                <a:pt x="8809" y="448"/>
                                <a:pt x="8706" y="502"/>
                              </a:cubicBezTo>
                              <a:cubicBezTo>
                                <a:pt x="8706" y="692"/>
                                <a:pt x="8706" y="692"/>
                                <a:pt x="8706" y="692"/>
                              </a:cubicBezTo>
                              <a:cubicBezTo>
                                <a:pt x="8768" y="651"/>
                                <a:pt x="8854" y="611"/>
                                <a:pt x="8970" y="611"/>
                              </a:cubicBezTo>
                              <a:cubicBezTo>
                                <a:pt x="9083" y="611"/>
                                <a:pt x="9173" y="662"/>
                                <a:pt x="9173" y="805"/>
                              </a:cubicBezTo>
                              <a:cubicBezTo>
                                <a:pt x="9173" y="835"/>
                                <a:pt x="9173" y="835"/>
                                <a:pt x="9173" y="835"/>
                              </a:cubicBezTo>
                              <a:cubicBezTo>
                                <a:pt x="8985" y="841"/>
                                <a:pt x="8985" y="841"/>
                                <a:pt x="8985" y="841"/>
                              </a:cubicBezTo>
                              <a:cubicBezTo>
                                <a:pt x="8721" y="852"/>
                                <a:pt x="8564" y="968"/>
                                <a:pt x="8564" y="1177"/>
                              </a:cubicBezTo>
                              <a:cubicBezTo>
                                <a:pt x="8564" y="1376"/>
                                <a:pt x="8710" y="1498"/>
                                <a:pt x="8888" y="1498"/>
                              </a:cubicBezTo>
                              <a:cubicBezTo>
                                <a:pt x="9017" y="1498"/>
                                <a:pt x="9107" y="1452"/>
                                <a:pt x="9171" y="1398"/>
                              </a:cubicBezTo>
                              <a:cubicBezTo>
                                <a:pt x="9171" y="1477"/>
                                <a:pt x="9171" y="1477"/>
                                <a:pt x="9171" y="1477"/>
                              </a:cubicBezTo>
                              <a:cubicBezTo>
                                <a:pt x="9399" y="1477"/>
                                <a:pt x="9399" y="1477"/>
                                <a:pt x="9399" y="1477"/>
                              </a:cubicBezTo>
                              <a:cubicBezTo>
                                <a:pt x="9399" y="1067"/>
                                <a:pt x="9399" y="1067"/>
                                <a:pt x="9399" y="1067"/>
                              </a:cubicBezTo>
                              <a:lnTo>
                                <a:pt x="9398" y="1067"/>
                              </a:lnTo>
                              <a:close/>
                              <a:moveTo>
                                <a:pt x="9171" y="1067"/>
                              </a:moveTo>
                              <a:cubicBezTo>
                                <a:pt x="9171" y="1067"/>
                                <a:pt x="9171" y="1067"/>
                                <a:pt x="9171" y="1067"/>
                              </a:cubicBezTo>
                              <a:cubicBezTo>
                                <a:pt x="9171" y="1236"/>
                                <a:pt x="9171" y="1236"/>
                                <a:pt x="9171" y="1236"/>
                              </a:cubicBezTo>
                              <a:cubicBezTo>
                                <a:pt x="9134" y="1270"/>
                                <a:pt x="9068" y="1317"/>
                                <a:pt x="8963" y="1317"/>
                              </a:cubicBezTo>
                              <a:cubicBezTo>
                                <a:pt x="8847" y="1317"/>
                                <a:pt x="8787" y="1250"/>
                                <a:pt x="8787" y="1160"/>
                              </a:cubicBezTo>
                              <a:cubicBezTo>
                                <a:pt x="8787" y="1065"/>
                                <a:pt x="8854" y="1011"/>
                                <a:pt x="9006" y="1007"/>
                              </a:cubicBezTo>
                              <a:cubicBezTo>
                                <a:pt x="9171" y="1001"/>
                                <a:pt x="9171" y="1001"/>
                                <a:pt x="9171" y="1001"/>
                              </a:cubicBezTo>
                              <a:lnTo>
                                <a:pt x="9171" y="1067"/>
                              </a:lnTo>
                              <a:close/>
                              <a:moveTo>
                                <a:pt x="2055" y="1067"/>
                              </a:moveTo>
                              <a:cubicBezTo>
                                <a:pt x="2055" y="794"/>
                                <a:pt x="2055" y="794"/>
                                <a:pt x="2055" y="794"/>
                              </a:cubicBezTo>
                              <a:cubicBezTo>
                                <a:pt x="2055" y="529"/>
                                <a:pt x="1903" y="432"/>
                                <a:pt x="1671" y="432"/>
                              </a:cubicBezTo>
                              <a:cubicBezTo>
                                <a:pt x="1564" y="432"/>
                                <a:pt x="1465" y="448"/>
                                <a:pt x="1362" y="502"/>
                              </a:cubicBezTo>
                              <a:cubicBezTo>
                                <a:pt x="1362" y="692"/>
                                <a:pt x="1362" y="692"/>
                                <a:pt x="1362" y="692"/>
                              </a:cubicBezTo>
                              <a:cubicBezTo>
                                <a:pt x="1425" y="651"/>
                                <a:pt x="1510" y="611"/>
                                <a:pt x="1626" y="611"/>
                              </a:cubicBezTo>
                              <a:cubicBezTo>
                                <a:pt x="1740" y="611"/>
                                <a:pt x="1830" y="662"/>
                                <a:pt x="1830" y="805"/>
                              </a:cubicBezTo>
                              <a:cubicBezTo>
                                <a:pt x="1830" y="835"/>
                                <a:pt x="1830" y="835"/>
                                <a:pt x="1830" y="835"/>
                              </a:cubicBezTo>
                              <a:cubicBezTo>
                                <a:pt x="1641" y="841"/>
                                <a:pt x="1641" y="841"/>
                                <a:pt x="1641" y="841"/>
                              </a:cubicBezTo>
                              <a:cubicBezTo>
                                <a:pt x="1377" y="852"/>
                                <a:pt x="1221" y="968"/>
                                <a:pt x="1221" y="1177"/>
                              </a:cubicBezTo>
                              <a:cubicBezTo>
                                <a:pt x="1221" y="1376"/>
                                <a:pt x="1367" y="1498"/>
                                <a:pt x="1545" y="1498"/>
                              </a:cubicBezTo>
                              <a:cubicBezTo>
                                <a:pt x="1674" y="1498"/>
                                <a:pt x="1764" y="1452"/>
                                <a:pt x="1827" y="1398"/>
                              </a:cubicBezTo>
                              <a:cubicBezTo>
                                <a:pt x="1827" y="1477"/>
                                <a:pt x="1827" y="1477"/>
                                <a:pt x="1827" y="1477"/>
                              </a:cubicBezTo>
                              <a:cubicBezTo>
                                <a:pt x="2055" y="1477"/>
                                <a:pt x="2055" y="1477"/>
                                <a:pt x="2055" y="1477"/>
                              </a:cubicBezTo>
                              <a:cubicBezTo>
                                <a:pt x="2055" y="1067"/>
                                <a:pt x="2055" y="1067"/>
                                <a:pt x="2055" y="1067"/>
                              </a:cubicBezTo>
                              <a:close/>
                              <a:moveTo>
                                <a:pt x="1827" y="1067"/>
                              </a:moveTo>
                              <a:cubicBezTo>
                                <a:pt x="1827" y="1067"/>
                                <a:pt x="1827" y="1067"/>
                                <a:pt x="1827" y="1067"/>
                              </a:cubicBezTo>
                              <a:cubicBezTo>
                                <a:pt x="1827" y="1236"/>
                                <a:pt x="1827" y="1236"/>
                                <a:pt x="1827" y="1236"/>
                              </a:cubicBezTo>
                              <a:cubicBezTo>
                                <a:pt x="1791" y="1270"/>
                                <a:pt x="1724" y="1317"/>
                                <a:pt x="1620" y="1317"/>
                              </a:cubicBezTo>
                              <a:cubicBezTo>
                                <a:pt x="1504" y="1317"/>
                                <a:pt x="1444" y="1250"/>
                                <a:pt x="1444" y="1160"/>
                              </a:cubicBezTo>
                              <a:cubicBezTo>
                                <a:pt x="1444" y="1065"/>
                                <a:pt x="1510" y="1011"/>
                                <a:pt x="1662" y="1007"/>
                              </a:cubicBezTo>
                              <a:cubicBezTo>
                                <a:pt x="1827" y="1001"/>
                                <a:pt x="1827" y="1001"/>
                                <a:pt x="1827" y="1001"/>
                              </a:cubicBezTo>
                              <a:lnTo>
                                <a:pt x="1827" y="1067"/>
                              </a:lnTo>
                              <a:close/>
                              <a:moveTo>
                                <a:pt x="4501" y="957"/>
                              </a:moveTo>
                              <a:cubicBezTo>
                                <a:pt x="4501" y="641"/>
                                <a:pt x="4334" y="432"/>
                                <a:pt x="4064" y="432"/>
                              </a:cubicBezTo>
                              <a:cubicBezTo>
                                <a:pt x="3789" y="432"/>
                                <a:pt x="3620" y="669"/>
                                <a:pt x="3620" y="960"/>
                              </a:cubicBezTo>
                              <a:cubicBezTo>
                                <a:pt x="3620" y="1238"/>
                                <a:pt x="3772" y="1498"/>
                                <a:pt x="4113" y="1498"/>
                              </a:cubicBezTo>
                              <a:cubicBezTo>
                                <a:pt x="4210" y="1498"/>
                                <a:pt x="4317" y="1473"/>
                                <a:pt x="4409" y="1424"/>
                              </a:cubicBezTo>
                              <a:cubicBezTo>
                                <a:pt x="4409" y="1242"/>
                                <a:pt x="4409" y="1242"/>
                                <a:pt x="4409" y="1242"/>
                              </a:cubicBezTo>
                              <a:cubicBezTo>
                                <a:pt x="4329" y="1287"/>
                                <a:pt x="4244" y="1313"/>
                                <a:pt x="4154" y="1313"/>
                              </a:cubicBezTo>
                              <a:cubicBezTo>
                                <a:pt x="3972" y="1313"/>
                                <a:pt x="3852" y="1188"/>
                                <a:pt x="3849" y="1020"/>
                              </a:cubicBezTo>
                              <a:cubicBezTo>
                                <a:pt x="4501" y="1020"/>
                                <a:pt x="4501" y="1020"/>
                                <a:pt x="4501" y="1020"/>
                              </a:cubicBezTo>
                              <a:lnTo>
                                <a:pt x="4501" y="957"/>
                              </a:lnTo>
                              <a:close/>
                              <a:moveTo>
                                <a:pt x="3847" y="854"/>
                              </a:moveTo>
                              <a:cubicBezTo>
                                <a:pt x="3847" y="727"/>
                                <a:pt x="3926" y="606"/>
                                <a:pt x="4059" y="606"/>
                              </a:cubicBezTo>
                              <a:cubicBezTo>
                                <a:pt x="4201" y="606"/>
                                <a:pt x="4267" y="736"/>
                                <a:pt x="4269" y="854"/>
                              </a:cubicBezTo>
                              <a:lnTo>
                                <a:pt x="3847" y="854"/>
                              </a:lnTo>
                              <a:close/>
                              <a:moveTo>
                                <a:pt x="2800" y="436"/>
                              </a:moveTo>
                              <a:cubicBezTo>
                                <a:pt x="2786" y="433"/>
                                <a:pt x="2771" y="432"/>
                                <a:pt x="2757" y="432"/>
                              </a:cubicBezTo>
                              <a:cubicBezTo>
                                <a:pt x="2667" y="432"/>
                                <a:pt x="2597" y="456"/>
                                <a:pt x="2483" y="562"/>
                              </a:cubicBezTo>
                              <a:cubicBezTo>
                                <a:pt x="2483" y="413"/>
                                <a:pt x="2483" y="413"/>
                                <a:pt x="2483" y="413"/>
                              </a:cubicBezTo>
                              <a:cubicBezTo>
                                <a:pt x="2260" y="482"/>
                                <a:pt x="2260" y="482"/>
                                <a:pt x="2260" y="482"/>
                              </a:cubicBezTo>
                              <a:cubicBezTo>
                                <a:pt x="2260" y="1477"/>
                                <a:pt x="2260" y="1477"/>
                                <a:pt x="2260" y="1477"/>
                              </a:cubicBezTo>
                              <a:cubicBezTo>
                                <a:pt x="2483" y="1477"/>
                                <a:pt x="2483" y="1477"/>
                                <a:pt x="2483" y="1477"/>
                              </a:cubicBezTo>
                              <a:cubicBezTo>
                                <a:pt x="2483" y="742"/>
                                <a:pt x="2483" y="742"/>
                                <a:pt x="2483" y="742"/>
                              </a:cubicBezTo>
                              <a:cubicBezTo>
                                <a:pt x="2549" y="679"/>
                                <a:pt x="2627" y="641"/>
                                <a:pt x="2687" y="641"/>
                              </a:cubicBezTo>
                              <a:cubicBezTo>
                                <a:pt x="2723" y="641"/>
                                <a:pt x="2763" y="649"/>
                                <a:pt x="2800" y="668"/>
                              </a:cubicBezTo>
                              <a:lnTo>
                                <a:pt x="2800" y="436"/>
                              </a:lnTo>
                              <a:close/>
                              <a:moveTo>
                                <a:pt x="5203" y="436"/>
                              </a:moveTo>
                              <a:cubicBezTo>
                                <a:pt x="5190" y="433"/>
                                <a:pt x="5175" y="432"/>
                                <a:pt x="5161" y="432"/>
                              </a:cubicBezTo>
                              <a:cubicBezTo>
                                <a:pt x="5071" y="432"/>
                                <a:pt x="5001" y="456"/>
                                <a:pt x="4887" y="562"/>
                              </a:cubicBezTo>
                              <a:cubicBezTo>
                                <a:pt x="4887" y="413"/>
                                <a:pt x="4887" y="413"/>
                                <a:pt x="4887" y="413"/>
                              </a:cubicBezTo>
                              <a:cubicBezTo>
                                <a:pt x="4664" y="482"/>
                                <a:pt x="4664" y="482"/>
                                <a:pt x="4664" y="482"/>
                              </a:cubicBezTo>
                              <a:cubicBezTo>
                                <a:pt x="4664" y="1477"/>
                                <a:pt x="4664" y="1477"/>
                                <a:pt x="4664" y="1477"/>
                              </a:cubicBezTo>
                              <a:cubicBezTo>
                                <a:pt x="4887" y="1477"/>
                                <a:pt x="4887" y="1477"/>
                                <a:pt x="4887" y="1477"/>
                              </a:cubicBezTo>
                              <a:cubicBezTo>
                                <a:pt x="4887" y="742"/>
                                <a:pt x="4887" y="742"/>
                                <a:pt x="4887" y="742"/>
                              </a:cubicBezTo>
                              <a:cubicBezTo>
                                <a:pt x="4953" y="679"/>
                                <a:pt x="5031" y="641"/>
                                <a:pt x="5091" y="641"/>
                              </a:cubicBezTo>
                              <a:cubicBezTo>
                                <a:pt x="5127" y="641"/>
                                <a:pt x="5167" y="649"/>
                                <a:pt x="5203" y="668"/>
                              </a:cubicBezTo>
                              <a:lnTo>
                                <a:pt x="5203" y="436"/>
                              </a:lnTo>
                              <a:close/>
                            </a:path>
                          </a:pathLst>
                        </a:custGeom>
                        <a:solidFill>
                          <a:srgbClr val="2C10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4432B7A" id="Freeform 5" o:spid="_x0000_s1026" style="position:absolute;margin-left:115pt;margin-top:6.2pt;width:187.1pt;height:34.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25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" path="m5991,69c6214,,6214,,6214,v,1425,,1425,,1425c6214,1690,6122,1867,5819,1867v-53,,-124,-13,-169,-28c5695,1662,5695,1662,5695,1662v36,13,86,19,127,19c5965,1681,5991,1567,5991,1393r,-1324xm7226,576c7140,483,7018,432,6870,432v-139,,-259,51,-345,142c6433,669,6379,809,6379,970v,164,54,309,152,404c6615,1455,6731,1498,6870,1498v143,,264,-51,352,-140c7314,1264,7365,1123,7365,964v,-157,-49,-295,-139,-388xm6872,1320v-165,,-266,-143,-266,-354c6606,757,6696,613,6868,613v169,,268,140,268,353c7136,1173,7043,1320,6872,1320xm1073,1205v-101,56,-216,93,-340,93c428,1298,244,1072,244,766,244,477,424,236,748,236v137,,246,34,358,103c1106,121,1106,121,1106,121,1026,79,900,44,746,44,296,44,,371,,783v,405,259,715,698,715c823,1498,947,1472,1073,1409r,-204xm3477,1244v-41,29,-105,63,-171,63c3240,1307,3208,1268,3208,1188v,-556,,-556,,-556c3452,632,3452,632,3452,632v,-175,,-175,,-175c3208,457,3208,457,3208,457v,-258,,-258,,-258c2984,268,2984,268,2984,268v,189,,189,,189c2984,632,2984,632,2984,632v,636,,636,,636c2984,1401,3055,1498,3222,1498v77,,171,-23,255,-68l3477,1244xm8109,432v-135,,-240,50,-349,132c7760,446,7760,446,7760,446v-223,69,-223,69,-223,69c7537,515,7537,515,7537,515v,962,,962,,962c7537,1477,7537,1477,7537,1477v223,,223,,223,c7760,1477,7760,1477,7760,1477v,,,,,c7760,755,7760,755,7760,755v79,-63,175,-123,276,-123c8173,632,8195,757,8195,867v,610,,610,,610c8418,1477,8418,1477,8418,1477v,-681,,-681,,-681c8418,531,8259,432,8109,432xm9777,712v,-71,66,-101,158,-101c10045,611,10131,641,10210,675v,-189,,-189,,-189c10135,455,10049,432,9927,432v-238,,-367,125,-367,291c9560,1076,10025,998,10025,1203v,78,-74,123,-186,123c9734,1326,9640,1287,9573,1242v,205,,205,,205c9645,1478,9734,1498,9850,1498v212,,401,-88,401,-312c10251,841,9777,895,9777,712xm9398,1067v,-273,,-273,,-273c9398,529,9246,432,9015,432v-107,,-206,16,-309,70c8706,692,8706,692,8706,692v62,-41,148,-81,264,-81c9083,611,9173,662,9173,805v,30,,30,,30c8985,841,8985,841,8985,841v-264,11,-421,127,-421,336c8564,1376,8710,1498,8888,1498v129,,219,-46,283,-100c9171,1477,9171,1477,9171,1477v228,,228,,228,c9399,1067,9399,1067,9399,1067r-1,xm9171,1067v,,,,,c9171,1236,9171,1236,9171,1236v-37,34,-103,81,-208,81c8847,1317,8787,1250,8787,1160v,-95,67,-149,219,-153c9171,1001,9171,1001,9171,1001r,66xm2055,1067v,-273,,-273,,-273c2055,529,1903,432,1671,432v-107,,-206,16,-309,70c1362,692,1362,692,1362,692v63,-41,148,-81,264,-81c1740,611,1830,662,1830,805v,30,,30,,30c1641,841,1641,841,1641,841v-264,11,-420,127,-420,336c1221,1376,1367,1498,1545,1498v129,,219,-46,282,-100c1827,1477,1827,1477,1827,1477v228,,228,,228,c2055,1067,2055,1067,2055,1067xm1827,1067v,,,,,c1827,1236,1827,1236,1827,1236v-36,34,-103,81,-207,81c1504,1317,1444,1250,1444,1160v,-95,66,-149,218,-153c1827,1001,1827,1001,1827,1001r,66xm4501,957v,-316,-167,-525,-437,-525c3789,432,3620,669,3620,960v,278,152,538,493,538c4210,1498,4317,1473,4409,1424v,-182,,-182,,-182c4329,1287,4244,1313,4154,1313v-182,,-302,-125,-305,-293c4501,1020,4501,1020,4501,1020r,-63xm3847,854v,-127,79,-248,212,-248c4201,606,4267,736,4269,854r-422,xm2800,436v-14,-3,-29,-4,-43,-4c2667,432,2597,456,2483,562v,-149,,-149,,-149c2260,482,2260,482,2260,482v,995,,995,,995c2483,1477,2483,1477,2483,1477v,-735,,-735,,-735c2549,679,2627,641,2687,641v36,,76,8,113,27l2800,436xm5203,436v-13,-3,-28,-4,-42,-4c5071,432,5001,456,4887,562v,-149,,-149,,-149c4664,482,4664,482,4664,482v,995,,995,,995c4887,1477,4887,1477,4887,1477v,-735,,-735,,-735c4953,679,5031,641,5091,641v36,,76,8,112,27l5203,436xe" fillcolor="#2c104c" stroked="f">
                <v:path arrowok="t" o:connecttype="custom" o:connectlocs="1440295,329831;1320000,384687;1388608,15971;1512379,132858;1592344,346727;1674859,133321;1591881,141885;248702,278909;173373,54625;172910,10184;248702,326127;766272,302518;800112,146283;743558,46061;691638,146283;805907,330988;1798630,130543;1746943,119202;1798630,341867;1798630,174752;1899456,341867;1879522,99991;2366497,156236;2215838,167346;2218852,287473;2376000,274512;2178290,183779;2017896,160170;2126139,193269;2060081,346727;2178522,341867;2125675,246968;2077464,304833;2125675,231692;476313,183779;315687,160170;424162,193269;358104,346727;476313,341867;423466,246968;334694,268494;423466,246968;839052,222202;1021928,287473;1043252,236089;940804,140265;648990,100917;575515,95593;575515,341867;648990,154615;1196228,99991;1081032,111564;1132720,171743;1205963,100917" o:connectangles="0,0,0,0,0,0,0,0,0,0,0,0,0,0,0,0,0,0,0,0,0,0,0,0,0,0,0,0,0,0,0,0,0,0,0,0,0,0,0,0,0,0,0,0,0,0,0,0,0,0,0,0,0,0"/>
                <o:lock v:ext="edit" aspectratio="t" verticies="t"/>
              </v:shape>
            </w:pict>
          </mc:Fallback>
        </mc:AlternateContent>
      </w:r>
    </w:p>
    <w:p w14:paraId="27E89561" w14:textId="5571356A" w:rsidR="00067CDC" w:rsidRDefault="00067CDC" w:rsidP="00067CDC"/>
    <w:p w14:paraId="5B7A254F" w14:textId="743171D3" w:rsidR="00704E07" w:rsidRDefault="00704E07">
      <w:pPr>
        <w:jc w:val="center"/>
        <w:rPr>
          <w:b/>
        </w:rPr>
      </w:pPr>
    </w:p>
    <w:p w14:paraId="77F62A87" w14:textId="77777777" w:rsidR="00704E07" w:rsidRDefault="00704E07">
      <w:pPr>
        <w:jc w:val="center"/>
        <w:rPr>
          <w:b/>
        </w:rPr>
      </w:pPr>
    </w:p>
    <w:p w14:paraId="73B85825" w14:textId="77777777" w:rsidR="00F13DAC" w:rsidRDefault="00F13DAC" w:rsidP="00226331">
      <w:pPr>
        <w:jc w:val="center"/>
        <w:rPr>
          <w:b/>
        </w:rPr>
      </w:pPr>
    </w:p>
    <w:p w14:paraId="1CE48475" w14:textId="77777777" w:rsidR="00F13DAC" w:rsidRDefault="00F13DAC" w:rsidP="00226331">
      <w:pPr>
        <w:jc w:val="center"/>
        <w:rPr>
          <w:b/>
        </w:rPr>
      </w:pPr>
    </w:p>
    <w:p w14:paraId="39CA6D49" w14:textId="24D7F09C" w:rsidR="00704E07" w:rsidRPr="00226331" w:rsidRDefault="00067CDC" w:rsidP="00226331">
      <w:pPr>
        <w:jc w:val="center"/>
        <w:rPr>
          <w:rFonts w:cs="Arial"/>
          <w:b/>
        </w:rPr>
      </w:pPr>
      <w:r>
        <w:rPr>
          <w:b/>
        </w:rPr>
        <w:t>APRIL 2018</w:t>
      </w:r>
    </w:p>
    <w:p w14:paraId="25CF6742" w14:textId="77777777" w:rsidR="00225AFC" w:rsidRDefault="00225AFC">
      <w:pPr>
        <w:pStyle w:val="Heading2"/>
        <w:jc w:val="left"/>
        <w:rPr>
          <w:sz w:val="22"/>
        </w:rPr>
      </w:pPr>
    </w:p>
    <w:p w14:paraId="20B90B5F" w14:textId="77777777" w:rsidR="00225AFC" w:rsidRDefault="00225AFC" w:rsidP="00225AFC"/>
    <w:p w14:paraId="75F5FE6B" w14:textId="77777777" w:rsidR="00225AFC" w:rsidRDefault="00225AFC" w:rsidP="00225AFC"/>
    <w:p w14:paraId="792E56F0" w14:textId="77777777" w:rsidR="00225AFC" w:rsidRPr="00225AFC" w:rsidRDefault="00225AFC" w:rsidP="00225AFC"/>
    <w:p w14:paraId="01CA3000" w14:textId="77777777" w:rsidR="00972E74" w:rsidRDefault="00972E74">
      <w:pPr>
        <w:pStyle w:val="Heading2"/>
        <w:jc w:val="left"/>
        <w:rPr>
          <w:sz w:val="22"/>
        </w:rPr>
      </w:pPr>
    </w:p>
    <w:p w14:paraId="4CD46422" w14:textId="27DFEC07" w:rsidR="00704E07" w:rsidRPr="00310390" w:rsidRDefault="00310390" w:rsidP="00A901C5">
      <w:pPr>
        <w:pStyle w:val="Heading2"/>
        <w:tabs>
          <w:tab w:val="left" w:pos="6663"/>
        </w:tabs>
        <w:jc w:val="left"/>
        <w:rPr>
          <w:sz w:val="22"/>
          <w:szCs w:val="22"/>
        </w:rPr>
      </w:pPr>
      <w:r w:rsidRPr="00310390">
        <w:rPr>
          <w:sz w:val="22"/>
          <w:szCs w:val="22"/>
        </w:rPr>
        <w:t>CONTENTS</w:t>
      </w:r>
      <w:r w:rsidR="00A901C5">
        <w:rPr>
          <w:sz w:val="22"/>
          <w:szCs w:val="22"/>
        </w:rPr>
        <w:tab/>
      </w:r>
      <w:r w:rsidR="00704E07" w:rsidRPr="00310390">
        <w:rPr>
          <w:sz w:val="22"/>
          <w:szCs w:val="22"/>
        </w:rPr>
        <w:t>Page No.</w:t>
      </w:r>
    </w:p>
    <w:p w14:paraId="0B1258DA" w14:textId="77777777" w:rsidR="00704E07" w:rsidRDefault="00704E07">
      <w:pPr>
        <w:tabs>
          <w:tab w:val="left" w:pos="720"/>
          <w:tab w:val="left" w:pos="6480"/>
          <w:tab w:val="left" w:pos="7020"/>
        </w:tabs>
        <w:spacing w:line="360" w:lineRule="auto"/>
        <w:jc w:val="both"/>
        <w:rPr>
          <w:b/>
          <w:sz w:val="24"/>
        </w:rPr>
      </w:pPr>
    </w:p>
    <w:p w14:paraId="59E75745" w14:textId="6B892B0C" w:rsidR="00704E07" w:rsidRDefault="003E4C96">
      <w:pPr>
        <w:tabs>
          <w:tab w:val="left" w:pos="720"/>
          <w:tab w:val="left" w:pos="6480"/>
          <w:tab w:val="left" w:pos="7020"/>
        </w:tabs>
        <w:spacing w:line="360" w:lineRule="auto"/>
        <w:jc w:val="both"/>
        <w:rPr>
          <w:b/>
        </w:rPr>
      </w:pPr>
      <w:r>
        <w:rPr>
          <w:b/>
        </w:rPr>
        <w:t>1.0</w:t>
      </w:r>
      <w:r>
        <w:rPr>
          <w:b/>
        </w:rPr>
        <w:tab/>
        <w:t>INTRODUCTION</w:t>
      </w:r>
      <w:r>
        <w:rPr>
          <w:b/>
        </w:rPr>
        <w:tab/>
      </w:r>
      <w:r w:rsidR="00A901C5">
        <w:rPr>
          <w:b/>
        </w:rPr>
        <w:tab/>
      </w:r>
      <w:r w:rsidR="001112F2">
        <w:rPr>
          <w:b/>
        </w:rPr>
        <w:t>2</w:t>
      </w:r>
      <w:r w:rsidR="009123E8">
        <w:rPr>
          <w:b/>
        </w:rPr>
        <w:tab/>
      </w:r>
    </w:p>
    <w:p w14:paraId="2FFBE50C" w14:textId="18A3F2CA" w:rsidR="00704E07" w:rsidRDefault="00A901C5">
      <w:pPr>
        <w:tabs>
          <w:tab w:val="left" w:pos="720"/>
          <w:tab w:val="left" w:pos="6480"/>
          <w:tab w:val="left" w:pos="7020"/>
        </w:tabs>
        <w:spacing w:line="360" w:lineRule="auto"/>
        <w:jc w:val="both"/>
        <w:rPr>
          <w:b/>
        </w:rPr>
      </w:pPr>
      <w:r>
        <w:rPr>
          <w:b/>
        </w:rPr>
        <w:tab/>
      </w:r>
    </w:p>
    <w:p w14:paraId="6D8ECE94" w14:textId="4BA02E15" w:rsidR="00704E07" w:rsidRDefault="00067CDC" w:rsidP="001763F9">
      <w:pPr>
        <w:numPr>
          <w:ilvl w:val="0"/>
          <w:numId w:val="2"/>
        </w:numPr>
        <w:tabs>
          <w:tab w:val="left" w:pos="720"/>
          <w:tab w:val="left" w:pos="6480"/>
          <w:tab w:val="left" w:pos="7020"/>
        </w:tabs>
        <w:spacing w:line="360" w:lineRule="auto"/>
        <w:ind w:hanging="720"/>
        <w:jc w:val="both"/>
        <w:rPr>
          <w:b/>
        </w:rPr>
      </w:pPr>
      <w:r>
        <w:rPr>
          <w:b/>
        </w:rPr>
        <w:t>BACKGROUND</w:t>
      </w:r>
      <w:r w:rsidR="009123E8">
        <w:rPr>
          <w:b/>
        </w:rPr>
        <w:tab/>
      </w:r>
      <w:r w:rsidR="00152ED7">
        <w:rPr>
          <w:b/>
        </w:rPr>
        <w:tab/>
        <w:t>2</w:t>
      </w:r>
      <w:r w:rsidR="009123E8">
        <w:rPr>
          <w:b/>
        </w:rPr>
        <w:tab/>
      </w:r>
    </w:p>
    <w:p w14:paraId="54479991" w14:textId="77777777" w:rsidR="00704E07" w:rsidRDefault="00704E07">
      <w:pPr>
        <w:tabs>
          <w:tab w:val="left" w:pos="720"/>
          <w:tab w:val="left" w:pos="6480"/>
          <w:tab w:val="left" w:pos="7020"/>
        </w:tabs>
        <w:spacing w:line="360" w:lineRule="auto"/>
        <w:jc w:val="both"/>
        <w:rPr>
          <w:b/>
        </w:rPr>
      </w:pPr>
    </w:p>
    <w:p w14:paraId="59DB2026" w14:textId="4320FE2C" w:rsidR="001112F2" w:rsidRDefault="00067CDC" w:rsidP="001763F9">
      <w:pPr>
        <w:numPr>
          <w:ilvl w:val="0"/>
          <w:numId w:val="2"/>
        </w:numPr>
        <w:tabs>
          <w:tab w:val="left" w:pos="709"/>
          <w:tab w:val="left" w:pos="6480"/>
          <w:tab w:val="left" w:pos="7020"/>
        </w:tabs>
        <w:spacing w:line="360" w:lineRule="auto"/>
        <w:ind w:hanging="720"/>
        <w:jc w:val="both"/>
        <w:rPr>
          <w:b/>
          <w:bCs/>
        </w:rPr>
      </w:pPr>
      <w:r>
        <w:rPr>
          <w:b/>
          <w:bCs/>
        </w:rPr>
        <w:t>THE SITE AND SURROUNDINGS</w:t>
      </w:r>
      <w:r w:rsidR="00AE5BFB">
        <w:rPr>
          <w:b/>
          <w:bCs/>
        </w:rPr>
        <w:tab/>
      </w:r>
      <w:r w:rsidR="00A901C5">
        <w:rPr>
          <w:b/>
          <w:bCs/>
        </w:rPr>
        <w:tab/>
      </w:r>
      <w:r w:rsidR="00152ED7">
        <w:rPr>
          <w:b/>
          <w:bCs/>
        </w:rPr>
        <w:t>3</w:t>
      </w:r>
    </w:p>
    <w:p w14:paraId="65A8E52E" w14:textId="77777777" w:rsidR="00AE5BFB" w:rsidRDefault="00AE5BFB" w:rsidP="00AE5BFB">
      <w:pPr>
        <w:tabs>
          <w:tab w:val="left" w:pos="709"/>
          <w:tab w:val="left" w:pos="6480"/>
          <w:tab w:val="left" w:pos="7020"/>
        </w:tabs>
        <w:spacing w:line="360" w:lineRule="auto"/>
        <w:jc w:val="both"/>
        <w:rPr>
          <w:b/>
          <w:bCs/>
        </w:rPr>
      </w:pPr>
    </w:p>
    <w:p w14:paraId="1B6D01D6" w14:textId="6797FE00" w:rsidR="00AE5BFB" w:rsidRDefault="00AE5BFB" w:rsidP="00AE5BFB">
      <w:pPr>
        <w:tabs>
          <w:tab w:val="left" w:pos="709"/>
          <w:tab w:val="left" w:pos="6480"/>
          <w:tab w:val="left" w:pos="7020"/>
        </w:tabs>
        <w:spacing w:line="360" w:lineRule="auto"/>
        <w:jc w:val="both"/>
        <w:rPr>
          <w:b/>
          <w:bCs/>
        </w:rPr>
      </w:pPr>
      <w:r>
        <w:rPr>
          <w:b/>
          <w:bCs/>
        </w:rPr>
        <w:t>4.0</w:t>
      </w:r>
      <w:r>
        <w:rPr>
          <w:b/>
          <w:bCs/>
        </w:rPr>
        <w:tab/>
      </w:r>
      <w:r w:rsidR="00310390">
        <w:rPr>
          <w:b/>
          <w:bCs/>
        </w:rPr>
        <w:t>THE PROPOSAL</w:t>
      </w:r>
      <w:r>
        <w:rPr>
          <w:b/>
          <w:bCs/>
        </w:rPr>
        <w:tab/>
      </w:r>
      <w:r w:rsidR="00A901C5">
        <w:rPr>
          <w:b/>
          <w:bCs/>
        </w:rPr>
        <w:tab/>
      </w:r>
      <w:r w:rsidR="00152ED7">
        <w:rPr>
          <w:b/>
          <w:bCs/>
        </w:rPr>
        <w:t>3</w:t>
      </w:r>
    </w:p>
    <w:p w14:paraId="4BC5E7F8" w14:textId="23487BC0" w:rsidR="00310390" w:rsidRDefault="00310390" w:rsidP="00AE5BFB">
      <w:pPr>
        <w:tabs>
          <w:tab w:val="left" w:pos="709"/>
          <w:tab w:val="left" w:pos="6480"/>
          <w:tab w:val="left" w:pos="7020"/>
        </w:tabs>
        <w:spacing w:line="360" w:lineRule="auto"/>
        <w:jc w:val="both"/>
        <w:rPr>
          <w:b/>
          <w:bCs/>
        </w:rPr>
      </w:pPr>
    </w:p>
    <w:p w14:paraId="2EC0454D" w14:textId="6B39EF9B" w:rsidR="00310390" w:rsidRDefault="00310390" w:rsidP="00AE5BFB">
      <w:pPr>
        <w:tabs>
          <w:tab w:val="left" w:pos="709"/>
          <w:tab w:val="left" w:pos="6480"/>
          <w:tab w:val="left" w:pos="7020"/>
        </w:tabs>
        <w:spacing w:line="360" w:lineRule="auto"/>
        <w:jc w:val="both"/>
        <w:rPr>
          <w:b/>
        </w:rPr>
      </w:pPr>
      <w:r>
        <w:rPr>
          <w:b/>
          <w:bCs/>
        </w:rPr>
        <w:t>5.0</w:t>
      </w:r>
      <w:r>
        <w:rPr>
          <w:b/>
          <w:bCs/>
        </w:rPr>
        <w:tab/>
        <w:t>RELEVANT PLANNING POLICY FRAMEWORK</w:t>
      </w:r>
      <w:r>
        <w:rPr>
          <w:b/>
          <w:bCs/>
        </w:rPr>
        <w:tab/>
      </w:r>
      <w:r w:rsidR="00A901C5">
        <w:rPr>
          <w:b/>
          <w:bCs/>
        </w:rPr>
        <w:tab/>
      </w:r>
      <w:r w:rsidR="00152ED7">
        <w:rPr>
          <w:b/>
          <w:bCs/>
        </w:rPr>
        <w:t>4</w:t>
      </w:r>
    </w:p>
    <w:p w14:paraId="6187A8E7" w14:textId="77777777" w:rsidR="003B66E0" w:rsidRDefault="003B66E0" w:rsidP="001112F2">
      <w:pPr>
        <w:tabs>
          <w:tab w:val="left" w:pos="720"/>
          <w:tab w:val="left" w:pos="6480"/>
          <w:tab w:val="left" w:pos="7020"/>
        </w:tabs>
        <w:spacing w:line="360" w:lineRule="auto"/>
        <w:rPr>
          <w:b/>
        </w:rPr>
      </w:pPr>
    </w:p>
    <w:p w14:paraId="0B0299F0" w14:textId="21123B60" w:rsidR="00310390" w:rsidRDefault="00F13DAC" w:rsidP="001112F2">
      <w:pPr>
        <w:tabs>
          <w:tab w:val="left" w:pos="720"/>
          <w:tab w:val="left" w:pos="6480"/>
          <w:tab w:val="left" w:pos="7020"/>
        </w:tabs>
        <w:spacing w:line="360" w:lineRule="auto"/>
        <w:rPr>
          <w:b/>
        </w:rPr>
      </w:pPr>
      <w:r>
        <w:rPr>
          <w:b/>
        </w:rPr>
        <w:t>6.0</w:t>
      </w:r>
      <w:r>
        <w:rPr>
          <w:b/>
        </w:rPr>
        <w:tab/>
      </w:r>
      <w:r w:rsidR="00310390">
        <w:rPr>
          <w:b/>
        </w:rPr>
        <w:t>MAIN PLANNING CONSIDERATIONS</w:t>
      </w:r>
      <w:r w:rsidR="00380499">
        <w:rPr>
          <w:b/>
        </w:rPr>
        <w:tab/>
      </w:r>
      <w:r w:rsidR="00380499">
        <w:rPr>
          <w:b/>
        </w:rPr>
        <w:tab/>
        <w:t>11</w:t>
      </w:r>
    </w:p>
    <w:p w14:paraId="7677C870" w14:textId="77777777" w:rsidR="00310390" w:rsidRDefault="00310390" w:rsidP="001112F2">
      <w:pPr>
        <w:tabs>
          <w:tab w:val="left" w:pos="720"/>
          <w:tab w:val="left" w:pos="6480"/>
          <w:tab w:val="left" w:pos="7020"/>
        </w:tabs>
        <w:spacing w:line="360" w:lineRule="auto"/>
        <w:rPr>
          <w:b/>
        </w:rPr>
      </w:pPr>
    </w:p>
    <w:p w14:paraId="7C2122B3" w14:textId="188F7DB5" w:rsidR="00A17FD8" w:rsidRDefault="00310390" w:rsidP="001112F2">
      <w:pPr>
        <w:tabs>
          <w:tab w:val="left" w:pos="720"/>
          <w:tab w:val="left" w:pos="6480"/>
          <w:tab w:val="left" w:pos="7020"/>
        </w:tabs>
        <w:spacing w:line="360" w:lineRule="auto"/>
        <w:rPr>
          <w:b/>
        </w:rPr>
      </w:pPr>
      <w:r>
        <w:rPr>
          <w:b/>
        </w:rPr>
        <w:t>7.0</w:t>
      </w:r>
      <w:r>
        <w:rPr>
          <w:b/>
        </w:rPr>
        <w:tab/>
      </w:r>
      <w:r w:rsidR="00F13DAC">
        <w:rPr>
          <w:b/>
        </w:rPr>
        <w:t>SUMMARY AND CONCLUSIONS</w:t>
      </w:r>
      <w:r w:rsidR="00F13DAC">
        <w:rPr>
          <w:b/>
        </w:rPr>
        <w:tab/>
      </w:r>
      <w:r w:rsidR="00A901C5">
        <w:rPr>
          <w:b/>
        </w:rPr>
        <w:tab/>
      </w:r>
      <w:r w:rsidR="00152ED7">
        <w:rPr>
          <w:b/>
        </w:rPr>
        <w:t>15</w:t>
      </w:r>
    </w:p>
    <w:p w14:paraId="1E3D2836" w14:textId="77777777" w:rsidR="00704E07" w:rsidRDefault="00704E07">
      <w:pPr>
        <w:tabs>
          <w:tab w:val="left" w:pos="720"/>
          <w:tab w:val="left" w:pos="6480"/>
          <w:tab w:val="left" w:pos="7020"/>
        </w:tabs>
        <w:spacing w:line="360" w:lineRule="auto"/>
        <w:jc w:val="both"/>
        <w:rPr>
          <w:b/>
        </w:rPr>
      </w:pPr>
    </w:p>
    <w:p w14:paraId="2B3C6AC6" w14:textId="77777777" w:rsidR="00704E07" w:rsidRDefault="009123E8">
      <w:pPr>
        <w:tabs>
          <w:tab w:val="left" w:pos="720"/>
          <w:tab w:val="left" w:pos="6480"/>
          <w:tab w:val="left" w:pos="7020"/>
        </w:tabs>
        <w:spacing w:line="360" w:lineRule="auto"/>
        <w:jc w:val="both"/>
        <w:rPr>
          <w:b/>
        </w:rPr>
      </w:pPr>
      <w:r>
        <w:rPr>
          <w:b/>
        </w:rPr>
        <w:tab/>
      </w:r>
      <w:r>
        <w:rPr>
          <w:b/>
        </w:rPr>
        <w:tab/>
      </w:r>
    </w:p>
    <w:p w14:paraId="47D8E886" w14:textId="77777777" w:rsidR="00704E07" w:rsidRDefault="00704E07">
      <w:pPr>
        <w:rPr>
          <w:b/>
        </w:rPr>
      </w:pPr>
    </w:p>
    <w:p w14:paraId="7D2743F6" w14:textId="77777777" w:rsidR="00225AFC" w:rsidRDefault="00225AFC">
      <w:pPr>
        <w:spacing w:line="360" w:lineRule="auto"/>
        <w:jc w:val="both"/>
      </w:pPr>
    </w:p>
    <w:p w14:paraId="66673ED5" w14:textId="77777777" w:rsidR="00972E74" w:rsidRPr="00F376D8" w:rsidRDefault="00641A5D" w:rsidP="002D6740">
      <w:pPr>
        <w:numPr>
          <w:ilvl w:val="0"/>
          <w:numId w:val="1"/>
        </w:numPr>
        <w:spacing w:line="360" w:lineRule="auto"/>
        <w:jc w:val="both"/>
        <w:rPr>
          <w:b/>
        </w:rPr>
      </w:pPr>
      <w:r>
        <w:rPr>
          <w:b/>
        </w:rPr>
        <w:br w:type="page"/>
      </w:r>
      <w:r w:rsidR="00704E07" w:rsidRPr="00F376D8">
        <w:rPr>
          <w:b/>
        </w:rPr>
        <w:lastRenderedPageBreak/>
        <w:t>INTRODUCTION</w:t>
      </w:r>
    </w:p>
    <w:p w14:paraId="21E264FF" w14:textId="77777777" w:rsidR="00972E74" w:rsidRPr="00F376D8" w:rsidRDefault="00972E74" w:rsidP="002D6740">
      <w:pPr>
        <w:spacing w:line="360" w:lineRule="auto"/>
        <w:ind w:left="720"/>
        <w:jc w:val="both"/>
        <w:rPr>
          <w:b/>
        </w:rPr>
      </w:pPr>
    </w:p>
    <w:p w14:paraId="05494888" w14:textId="0DDFEAAE" w:rsidR="00972E74" w:rsidRPr="00F376D8" w:rsidRDefault="00067CDC" w:rsidP="002D6740">
      <w:pPr>
        <w:numPr>
          <w:ilvl w:val="1"/>
          <w:numId w:val="1"/>
        </w:numPr>
        <w:tabs>
          <w:tab w:val="clear" w:pos="1440"/>
          <w:tab w:val="num" w:pos="709"/>
        </w:tabs>
        <w:spacing w:line="360" w:lineRule="auto"/>
        <w:ind w:left="709" w:hanging="709"/>
        <w:jc w:val="both"/>
      </w:pPr>
      <w:r>
        <w:rPr>
          <w:rFonts w:eastAsia="Arial" w:cs="Arial"/>
          <w:szCs w:val="22"/>
        </w:rPr>
        <w:t>This Statement has been prepared on behalf of Mr and Mrs R Hooke, in support of their planning application for the erection of a new, detached dwelling house with integral garage at 8 Rectory Close,</w:t>
      </w:r>
      <w:r w:rsidR="009372B3">
        <w:rPr>
          <w:rFonts w:eastAsia="Arial" w:cs="Arial"/>
          <w:szCs w:val="22"/>
        </w:rPr>
        <w:t xml:space="preserve"> Wendlebury.  It should be read in conjunction with the Flood Risk Assessment (FRA) report produced by JBA Consultancy, which also supports this application.</w:t>
      </w:r>
    </w:p>
    <w:p w14:paraId="67703E3B" w14:textId="77777777" w:rsidR="00AE5BFB" w:rsidRPr="00F376D8" w:rsidRDefault="00AE5BFB" w:rsidP="002D6740">
      <w:pPr>
        <w:spacing w:line="360" w:lineRule="auto"/>
        <w:ind w:left="709"/>
        <w:jc w:val="both"/>
      </w:pPr>
    </w:p>
    <w:p w14:paraId="0C929FAB" w14:textId="58F06A83" w:rsidR="00972E74" w:rsidRPr="00F376D8" w:rsidRDefault="009372B3" w:rsidP="002D6740">
      <w:pPr>
        <w:numPr>
          <w:ilvl w:val="1"/>
          <w:numId w:val="1"/>
        </w:numPr>
        <w:tabs>
          <w:tab w:val="clear" w:pos="1440"/>
          <w:tab w:val="num" w:pos="709"/>
        </w:tabs>
        <w:spacing w:line="360" w:lineRule="auto"/>
        <w:ind w:left="709" w:hanging="709"/>
        <w:jc w:val="both"/>
        <w:rPr>
          <w:b/>
        </w:rPr>
      </w:pPr>
      <w:r>
        <w:rPr>
          <w:rFonts w:eastAsia="Arial" w:cs="Arial"/>
          <w:szCs w:val="22"/>
        </w:rPr>
        <w:t>This Statement will describe the background to this submission, the proposal in full and refer to the relevant raft of planning policies, both national and local, and the main planning considerations, that between them all, mitigate firmly in favour of support for the proposal and the case for planning permission being granted</w:t>
      </w:r>
      <w:r w:rsidR="00310390" w:rsidRPr="00F376D8">
        <w:rPr>
          <w:rFonts w:eastAsia="Arial" w:cs="Arial"/>
          <w:szCs w:val="22"/>
        </w:rPr>
        <w:t>.</w:t>
      </w:r>
    </w:p>
    <w:p w14:paraId="700415D9" w14:textId="77777777" w:rsidR="00AE5BFB" w:rsidRPr="00F376D8" w:rsidRDefault="00AE5BFB" w:rsidP="002D6740">
      <w:pPr>
        <w:spacing w:line="360" w:lineRule="auto"/>
        <w:ind w:left="709"/>
        <w:jc w:val="both"/>
      </w:pPr>
    </w:p>
    <w:p w14:paraId="3453328D" w14:textId="76C725BC" w:rsidR="009372B3" w:rsidRDefault="009372B3" w:rsidP="002D6740">
      <w:pPr>
        <w:numPr>
          <w:ilvl w:val="0"/>
          <w:numId w:val="1"/>
        </w:numPr>
        <w:spacing w:line="360" w:lineRule="auto"/>
        <w:jc w:val="both"/>
        <w:rPr>
          <w:b/>
        </w:rPr>
      </w:pPr>
      <w:r>
        <w:rPr>
          <w:b/>
        </w:rPr>
        <w:t>BACKGROUND</w:t>
      </w:r>
    </w:p>
    <w:p w14:paraId="5197229A" w14:textId="77777777" w:rsidR="009372B3" w:rsidRPr="009372B3" w:rsidRDefault="009372B3" w:rsidP="002D6740">
      <w:pPr>
        <w:spacing w:line="360" w:lineRule="auto"/>
        <w:ind w:left="720"/>
        <w:jc w:val="both"/>
        <w:rPr>
          <w:b/>
        </w:rPr>
      </w:pPr>
    </w:p>
    <w:p w14:paraId="50FF8752" w14:textId="161B959F" w:rsidR="009372B3" w:rsidRPr="009372B3" w:rsidRDefault="009372B3" w:rsidP="002D6740">
      <w:pPr>
        <w:numPr>
          <w:ilvl w:val="1"/>
          <w:numId w:val="1"/>
        </w:numPr>
        <w:tabs>
          <w:tab w:val="clear" w:pos="1440"/>
          <w:tab w:val="num" w:pos="720"/>
        </w:tabs>
        <w:spacing w:line="360" w:lineRule="auto"/>
        <w:ind w:left="720"/>
        <w:jc w:val="both"/>
        <w:rPr>
          <w:b/>
        </w:rPr>
      </w:pPr>
      <w:r>
        <w:t>A previous planning application (reference: 17/00742/F) for the erection of a detached dwelling on the site was refused last year in July 2017.</w:t>
      </w:r>
    </w:p>
    <w:p w14:paraId="3B47C54F" w14:textId="77777777" w:rsidR="009372B3" w:rsidRPr="009372B3" w:rsidRDefault="009372B3" w:rsidP="002D6740">
      <w:pPr>
        <w:spacing w:line="360" w:lineRule="auto"/>
        <w:ind w:left="720"/>
        <w:jc w:val="both"/>
        <w:rPr>
          <w:b/>
        </w:rPr>
      </w:pPr>
    </w:p>
    <w:p w14:paraId="50884067" w14:textId="6FB2E940" w:rsidR="009372B3" w:rsidRPr="0015551D" w:rsidRDefault="009372B3" w:rsidP="002D6740">
      <w:pPr>
        <w:numPr>
          <w:ilvl w:val="1"/>
          <w:numId w:val="1"/>
        </w:numPr>
        <w:tabs>
          <w:tab w:val="clear" w:pos="1440"/>
          <w:tab w:val="num" w:pos="720"/>
        </w:tabs>
        <w:spacing w:line="360" w:lineRule="auto"/>
        <w:ind w:left="720"/>
        <w:jc w:val="both"/>
        <w:rPr>
          <w:b/>
        </w:rPr>
      </w:pPr>
      <w:r>
        <w:t>The proposal then involved the demolition of the existing garage and the erection of a new dwelling in its place.  That part of the overall site being set to the east of the existing house, between it and no. 7 Rectory Close.  That proposal was refused for 3 reasons:</w:t>
      </w:r>
    </w:p>
    <w:p w14:paraId="6CE149A4" w14:textId="77777777" w:rsidR="0015551D" w:rsidRDefault="0015551D" w:rsidP="002D6740">
      <w:pPr>
        <w:pStyle w:val="ListParagraph"/>
        <w:spacing w:line="360" w:lineRule="auto"/>
        <w:rPr>
          <w:b/>
        </w:rPr>
      </w:pPr>
    </w:p>
    <w:p w14:paraId="69427BAD" w14:textId="3A9F7BB8" w:rsidR="0015551D" w:rsidRDefault="0015551D" w:rsidP="002D6740">
      <w:pPr>
        <w:spacing w:line="360" w:lineRule="auto"/>
        <w:ind w:left="1440" w:hanging="720"/>
        <w:jc w:val="both"/>
      </w:pPr>
      <w:r>
        <w:t>“1.</w:t>
      </w:r>
      <w:r>
        <w:tab/>
        <w:t>The proposed dwelling, by virtue of its siting and scale, would constitute a cramped form of development that would fail to sympathetically integrate into the built environment and would detract from the traditional loose-knit character of the area.  The proposal is therefore considered contrary to the provisions and aims of Policy ESD15 and Villages 1 of the Cherwell Local Plan 2011-2031 Part 1, Saved Policies C28 and C30 of the Cherwell Local Plan 1996 and Government guidance contained within the National Planning Policy Framework.</w:t>
      </w:r>
    </w:p>
    <w:p w14:paraId="135A1AB6" w14:textId="77777777" w:rsidR="0015551D" w:rsidRDefault="0015551D" w:rsidP="002D6740">
      <w:pPr>
        <w:spacing w:line="360" w:lineRule="auto"/>
        <w:ind w:left="1440" w:hanging="720"/>
        <w:jc w:val="both"/>
      </w:pPr>
    </w:p>
    <w:p w14:paraId="02BF7BEE" w14:textId="0BF67065" w:rsidR="0015551D" w:rsidRDefault="0015551D" w:rsidP="002D6740">
      <w:pPr>
        <w:spacing w:line="360" w:lineRule="auto"/>
        <w:ind w:left="1440" w:hanging="720"/>
        <w:jc w:val="both"/>
      </w:pPr>
      <w:r>
        <w:t>2.</w:t>
      </w:r>
      <w:r>
        <w:tab/>
        <w:t xml:space="preserve">The restricted outdoor amenity space is considered to result in a poor living environment for future occupiers of the proposed dwelling.  Therefore the proposal is contrary to the provisions and aims of Policy </w:t>
      </w:r>
      <w:r>
        <w:lastRenderedPageBreak/>
        <w:t>C30 of the Cherwell Local Plan 1996, Policy ESD15 of the Cherwell Local Plan 2011-2031 Part 1 and Government guidance within the National Planning Policy Framework.</w:t>
      </w:r>
    </w:p>
    <w:p w14:paraId="50918E16" w14:textId="77777777" w:rsidR="0015551D" w:rsidRDefault="0015551D" w:rsidP="002D6740">
      <w:pPr>
        <w:spacing w:line="360" w:lineRule="auto"/>
        <w:ind w:left="1440" w:hanging="720"/>
        <w:jc w:val="both"/>
      </w:pPr>
    </w:p>
    <w:p w14:paraId="7B04B383" w14:textId="7D0D7B2D" w:rsidR="0015551D" w:rsidRPr="0015551D" w:rsidRDefault="0015551D" w:rsidP="002D6740">
      <w:pPr>
        <w:spacing w:line="360" w:lineRule="auto"/>
        <w:ind w:left="1440" w:hanging="720"/>
        <w:jc w:val="both"/>
      </w:pPr>
      <w:r>
        <w:t>3.</w:t>
      </w:r>
      <w:r>
        <w:tab/>
        <w:t>The proposed development lies within Flood Zones 2 and 3 as identified by the Environment Agency and in the absence of a suitable Flood Risk Assessment it is not possible to consider the potential risk to the development from flooding.  The proposal is therefore contrary to Policy ESD6 of the Cherwell Local Plan 2011-2031 Part 1 and Government guidance contained within the National Planning Policy Framework.”</w:t>
      </w:r>
    </w:p>
    <w:p w14:paraId="3DAB2201" w14:textId="77777777" w:rsidR="009372B3" w:rsidRDefault="009372B3" w:rsidP="002D6740">
      <w:pPr>
        <w:pStyle w:val="ListParagraph"/>
        <w:spacing w:line="360" w:lineRule="auto"/>
        <w:rPr>
          <w:b/>
        </w:rPr>
      </w:pPr>
    </w:p>
    <w:p w14:paraId="446B9EAB" w14:textId="1D224DC5" w:rsidR="009372B3" w:rsidRDefault="009372B3" w:rsidP="002D6740">
      <w:pPr>
        <w:numPr>
          <w:ilvl w:val="1"/>
          <w:numId w:val="1"/>
        </w:numPr>
        <w:tabs>
          <w:tab w:val="clear" w:pos="1440"/>
          <w:tab w:val="num" w:pos="720"/>
        </w:tabs>
        <w:spacing w:line="360" w:lineRule="auto"/>
        <w:ind w:left="720"/>
        <w:jc w:val="both"/>
        <w:rPr>
          <w:b/>
        </w:rPr>
      </w:pPr>
      <w:r>
        <w:t>The current proposal is made mindful of those</w:t>
      </w:r>
      <w:r w:rsidR="00380499">
        <w:t xml:space="preserve"> stated reasons and re-assessed and</w:t>
      </w:r>
      <w:r>
        <w:t xml:space="preserve"> re-designed</w:t>
      </w:r>
      <w:r w:rsidR="0015551D">
        <w:t>, in a positive fashion, arrived at addressing squarely each of those reasons in its now submitted form.  I will go on to explain in this Statement.</w:t>
      </w:r>
    </w:p>
    <w:p w14:paraId="2E175798" w14:textId="77777777" w:rsidR="009372B3" w:rsidRDefault="009372B3" w:rsidP="002D6740">
      <w:pPr>
        <w:spacing w:line="360" w:lineRule="auto"/>
        <w:ind w:left="720"/>
        <w:jc w:val="both"/>
        <w:rPr>
          <w:b/>
        </w:rPr>
      </w:pPr>
    </w:p>
    <w:p w14:paraId="20B94F30" w14:textId="3848271A" w:rsidR="00172D38" w:rsidRPr="00F376D8" w:rsidRDefault="00454E54" w:rsidP="002D6740">
      <w:pPr>
        <w:numPr>
          <w:ilvl w:val="0"/>
          <w:numId w:val="1"/>
        </w:numPr>
        <w:spacing w:line="360" w:lineRule="auto"/>
        <w:jc w:val="both"/>
        <w:rPr>
          <w:b/>
        </w:rPr>
      </w:pPr>
      <w:r w:rsidRPr="00F376D8">
        <w:rPr>
          <w:b/>
        </w:rPr>
        <w:t>THE SITE</w:t>
      </w:r>
      <w:r w:rsidR="00B76FAF" w:rsidRPr="00F376D8">
        <w:rPr>
          <w:b/>
        </w:rPr>
        <w:t xml:space="preserve"> </w:t>
      </w:r>
      <w:r w:rsidR="00A901C5" w:rsidRPr="00F376D8">
        <w:rPr>
          <w:b/>
        </w:rPr>
        <w:t>AND SURROUNDINGS</w:t>
      </w:r>
    </w:p>
    <w:p w14:paraId="001FA4E1" w14:textId="77777777" w:rsidR="00172D38" w:rsidRPr="00F376D8" w:rsidRDefault="00172D38" w:rsidP="002D6740">
      <w:pPr>
        <w:spacing w:line="360" w:lineRule="auto"/>
        <w:ind w:left="720"/>
        <w:jc w:val="both"/>
        <w:rPr>
          <w:b/>
        </w:rPr>
      </w:pPr>
    </w:p>
    <w:p w14:paraId="5905074E" w14:textId="2AC7D5A8" w:rsidR="00172D38" w:rsidRPr="00F376D8" w:rsidRDefault="0015551D" w:rsidP="002D6740">
      <w:pPr>
        <w:numPr>
          <w:ilvl w:val="1"/>
          <w:numId w:val="1"/>
        </w:numPr>
        <w:tabs>
          <w:tab w:val="clear" w:pos="1440"/>
          <w:tab w:val="num" w:pos="709"/>
        </w:tabs>
        <w:spacing w:line="360" w:lineRule="auto"/>
        <w:ind w:left="709" w:hanging="709"/>
        <w:jc w:val="both"/>
        <w:rPr>
          <w:b/>
        </w:rPr>
      </w:pPr>
      <w:r>
        <w:t>8 Rectory Cloe is located in the turning head of a cul-de-sac.  Relative to its neighbours, it is the largest plot.</w:t>
      </w:r>
      <w:r w:rsidR="00454E54" w:rsidRPr="00F376D8">
        <w:t xml:space="preserve"> </w:t>
      </w:r>
    </w:p>
    <w:p w14:paraId="30F624B0" w14:textId="77777777" w:rsidR="00172D38" w:rsidRPr="00F376D8" w:rsidRDefault="00172D38" w:rsidP="002D6740">
      <w:pPr>
        <w:spacing w:line="360" w:lineRule="auto"/>
        <w:ind w:left="709"/>
        <w:jc w:val="both"/>
        <w:rPr>
          <w:b/>
        </w:rPr>
      </w:pPr>
    </w:p>
    <w:p w14:paraId="6DEA44A2" w14:textId="60FFE0C1" w:rsidR="00172D38" w:rsidRPr="00F376D8" w:rsidRDefault="0015551D" w:rsidP="002D6740">
      <w:pPr>
        <w:numPr>
          <w:ilvl w:val="1"/>
          <w:numId w:val="1"/>
        </w:numPr>
        <w:tabs>
          <w:tab w:val="clear" w:pos="1440"/>
          <w:tab w:val="num" w:pos="709"/>
        </w:tabs>
        <w:spacing w:line="360" w:lineRule="auto"/>
        <w:ind w:left="709" w:hanging="709"/>
        <w:jc w:val="both"/>
      </w:pPr>
      <w:r>
        <w:t>The existing house stands towards the eastern side of the plot, with a detached garage between it and no. 7 Rectory Close, and with a large garden area to its western part, occupying the majority of the available site area.  A lane way flanks its southern boundary between it and no. 9 Rectory Close, and leads to a Thames Water pumping station.  It is the western portion of the site where the new development is proposed.</w:t>
      </w:r>
    </w:p>
    <w:p w14:paraId="4F57ECBE" w14:textId="77777777" w:rsidR="001168A0" w:rsidRPr="00F376D8" w:rsidRDefault="001168A0" w:rsidP="002D6740">
      <w:pPr>
        <w:pStyle w:val="ListParagraph"/>
        <w:spacing w:line="360" w:lineRule="auto"/>
        <w:rPr>
          <w:b/>
        </w:rPr>
      </w:pPr>
    </w:p>
    <w:p w14:paraId="7B221275" w14:textId="780A3F2B" w:rsidR="00172D38" w:rsidRPr="00F376D8" w:rsidRDefault="0015551D" w:rsidP="002D6740">
      <w:pPr>
        <w:numPr>
          <w:ilvl w:val="1"/>
          <w:numId w:val="1"/>
        </w:numPr>
        <w:tabs>
          <w:tab w:val="clear" w:pos="1440"/>
          <w:tab w:val="num" w:pos="709"/>
        </w:tabs>
        <w:spacing w:line="360" w:lineRule="auto"/>
        <w:ind w:left="709" w:hanging="709"/>
        <w:jc w:val="both"/>
      </w:pPr>
      <w:r>
        <w:t>The predominant form of development in this area comprises of 2 storey, detached dwellings set loosely around the road/cul-de-sac layout.</w:t>
      </w:r>
    </w:p>
    <w:p w14:paraId="3CBB0D04" w14:textId="77777777" w:rsidR="007D66D7" w:rsidRPr="00F376D8" w:rsidRDefault="007D66D7" w:rsidP="002D6740">
      <w:pPr>
        <w:pStyle w:val="ListParagraph"/>
        <w:spacing w:line="360" w:lineRule="auto"/>
      </w:pPr>
    </w:p>
    <w:p w14:paraId="3C265353" w14:textId="255776FD" w:rsidR="0015551D" w:rsidRPr="0015551D" w:rsidRDefault="0015551D" w:rsidP="002D6740">
      <w:pPr>
        <w:numPr>
          <w:ilvl w:val="0"/>
          <w:numId w:val="1"/>
        </w:numPr>
        <w:spacing w:line="360" w:lineRule="auto"/>
        <w:jc w:val="both"/>
      </w:pPr>
      <w:r>
        <w:rPr>
          <w:b/>
        </w:rPr>
        <w:t>THE PROPOSAL</w:t>
      </w:r>
    </w:p>
    <w:p w14:paraId="00C1F94D" w14:textId="77777777" w:rsidR="0015551D" w:rsidRDefault="0015551D" w:rsidP="002D6740">
      <w:pPr>
        <w:spacing w:line="360" w:lineRule="auto"/>
        <w:ind w:left="720"/>
        <w:jc w:val="both"/>
      </w:pPr>
    </w:p>
    <w:p w14:paraId="277C879A" w14:textId="37F3CAFF" w:rsidR="0015551D" w:rsidRDefault="00F06942" w:rsidP="002D6740">
      <w:pPr>
        <w:numPr>
          <w:ilvl w:val="1"/>
          <w:numId w:val="1"/>
        </w:numPr>
        <w:tabs>
          <w:tab w:val="clear" w:pos="1440"/>
          <w:tab w:val="num" w:pos="720"/>
        </w:tabs>
        <w:spacing w:line="360" w:lineRule="auto"/>
        <w:ind w:left="720"/>
        <w:jc w:val="both"/>
      </w:pPr>
      <w:r>
        <w:t>The proposal involves the erection of a 2 storey, detached new dwelling, with integral garage, into the side, western part of the site, between the end side of the existing house and the lane way between it and no. 9 Rectory Close.</w:t>
      </w:r>
    </w:p>
    <w:p w14:paraId="1EBF6FEE" w14:textId="229ABAFA" w:rsidR="00F06942" w:rsidRDefault="00F06942" w:rsidP="002D6740">
      <w:pPr>
        <w:numPr>
          <w:ilvl w:val="1"/>
          <w:numId w:val="1"/>
        </w:numPr>
        <w:tabs>
          <w:tab w:val="clear" w:pos="1440"/>
          <w:tab w:val="num" w:pos="720"/>
        </w:tabs>
        <w:spacing w:line="360" w:lineRule="auto"/>
        <w:ind w:left="720"/>
        <w:jc w:val="both"/>
      </w:pPr>
      <w:r>
        <w:lastRenderedPageBreak/>
        <w:t>The new house is designed in a simple, traditional manner, with an overall pitched roof appearance, to match the look and form of the exiting other houses in the cul-de-sac at this point.  Vehicular access into the site would come off the western end of the turning head.</w:t>
      </w:r>
    </w:p>
    <w:p w14:paraId="1FD0ADF1" w14:textId="77777777" w:rsidR="00F06942" w:rsidRDefault="00F06942" w:rsidP="002D6740">
      <w:pPr>
        <w:spacing w:line="360" w:lineRule="auto"/>
        <w:ind w:left="720"/>
        <w:jc w:val="both"/>
      </w:pPr>
    </w:p>
    <w:p w14:paraId="2503DA0B" w14:textId="480E3E7B" w:rsidR="00F06942" w:rsidRDefault="00F06942" w:rsidP="002D6740">
      <w:pPr>
        <w:numPr>
          <w:ilvl w:val="1"/>
          <w:numId w:val="1"/>
        </w:numPr>
        <w:tabs>
          <w:tab w:val="clear" w:pos="1440"/>
          <w:tab w:val="num" w:pos="720"/>
        </w:tabs>
        <w:spacing w:line="360" w:lineRule="auto"/>
        <w:ind w:left="720"/>
        <w:jc w:val="both"/>
      </w:pPr>
      <w:r>
        <w:t xml:space="preserve">The new house is sited in a commensurate position in relation to the corresponding layout pattern of the other houses in the Close, loose knit and detached, with space around it, just like the existing housing </w:t>
      </w:r>
      <w:r w:rsidR="00380499">
        <w:t xml:space="preserve">presently </w:t>
      </w:r>
      <w:r>
        <w:t>stands arounds the Close.</w:t>
      </w:r>
    </w:p>
    <w:p w14:paraId="43AC1E0F" w14:textId="77777777" w:rsidR="00F06942" w:rsidRDefault="00F06942" w:rsidP="002D6740">
      <w:pPr>
        <w:pStyle w:val="ListParagraph"/>
        <w:spacing w:line="360" w:lineRule="auto"/>
      </w:pPr>
    </w:p>
    <w:p w14:paraId="6E56D938" w14:textId="657FCC33" w:rsidR="00F06942" w:rsidRDefault="00F06942" w:rsidP="002D6740">
      <w:pPr>
        <w:numPr>
          <w:ilvl w:val="1"/>
          <w:numId w:val="1"/>
        </w:numPr>
        <w:tabs>
          <w:tab w:val="clear" w:pos="1440"/>
          <w:tab w:val="num" w:pos="720"/>
        </w:tabs>
        <w:spacing w:line="360" w:lineRule="auto"/>
        <w:ind w:left="720"/>
        <w:jc w:val="both"/>
      </w:pPr>
      <w:r>
        <w:t>The proposed sub-division of the overall, existing plot leaves ample room for the host dwelling to retain a large rear cum side garden area and car parking, plus provides the new dwelling with a good sized rear garden of its own and its own car parking</w:t>
      </w:r>
      <w:r w:rsidR="00380499">
        <w:t xml:space="preserve"> too</w:t>
      </w:r>
      <w:r>
        <w:t>.</w:t>
      </w:r>
    </w:p>
    <w:p w14:paraId="5BFF87D8" w14:textId="77777777" w:rsidR="00F06942" w:rsidRDefault="00F06942" w:rsidP="002D6740">
      <w:pPr>
        <w:pStyle w:val="ListParagraph"/>
        <w:spacing w:line="360" w:lineRule="auto"/>
      </w:pPr>
    </w:p>
    <w:p w14:paraId="6BB36390" w14:textId="278B235E" w:rsidR="00F06942" w:rsidRPr="0015551D" w:rsidRDefault="00F06942" w:rsidP="002D6740">
      <w:pPr>
        <w:numPr>
          <w:ilvl w:val="1"/>
          <w:numId w:val="1"/>
        </w:numPr>
        <w:tabs>
          <w:tab w:val="clear" w:pos="1440"/>
          <w:tab w:val="num" w:pos="720"/>
        </w:tabs>
        <w:spacing w:line="360" w:lineRule="auto"/>
        <w:ind w:left="720"/>
        <w:jc w:val="both"/>
      </w:pPr>
      <w:r>
        <w:t>The previous scheme was criticised for appearing cramped and shoe-horned into its space, to the east of the existing house.  This current proposal moves the proposed new dwelling to the west of the plot where, by comparison, far more space is available on the site and now it reads as a comfortable and proportionate form of development, that fits with the prevailing more spacious pattern of housing layout around the Close.</w:t>
      </w:r>
    </w:p>
    <w:p w14:paraId="2C85B599" w14:textId="77777777" w:rsidR="0015551D" w:rsidRPr="0015551D" w:rsidRDefault="0015551D" w:rsidP="002D6740">
      <w:pPr>
        <w:spacing w:line="360" w:lineRule="auto"/>
        <w:ind w:left="720"/>
        <w:jc w:val="both"/>
      </w:pPr>
    </w:p>
    <w:p w14:paraId="50EF49D2" w14:textId="5541CFA5" w:rsidR="00961938" w:rsidRPr="00F376D8" w:rsidRDefault="00961938" w:rsidP="002D6740">
      <w:pPr>
        <w:numPr>
          <w:ilvl w:val="0"/>
          <w:numId w:val="1"/>
        </w:numPr>
        <w:spacing w:line="360" w:lineRule="auto"/>
        <w:jc w:val="both"/>
        <w:rPr>
          <w:b/>
        </w:rPr>
      </w:pPr>
      <w:r w:rsidRPr="00F376D8">
        <w:rPr>
          <w:b/>
        </w:rPr>
        <w:t>RELEVANT PLANNING POLICY FRAMEWORK</w:t>
      </w:r>
    </w:p>
    <w:p w14:paraId="06EFD555" w14:textId="77777777" w:rsidR="00961938" w:rsidRPr="00F376D8" w:rsidRDefault="00961938" w:rsidP="002D6740">
      <w:pPr>
        <w:spacing w:line="360" w:lineRule="auto"/>
        <w:jc w:val="both"/>
      </w:pPr>
    </w:p>
    <w:p w14:paraId="39D7E1C4" w14:textId="4B89B4EA" w:rsidR="00961938" w:rsidRPr="00F376D8" w:rsidRDefault="00961938" w:rsidP="002D6740">
      <w:pPr>
        <w:numPr>
          <w:ilvl w:val="1"/>
          <w:numId w:val="1"/>
        </w:numPr>
        <w:tabs>
          <w:tab w:val="clear" w:pos="1440"/>
          <w:tab w:val="num" w:pos="709"/>
        </w:tabs>
        <w:spacing w:line="360" w:lineRule="auto"/>
        <w:ind w:left="709" w:hanging="709"/>
        <w:jc w:val="both"/>
      </w:pPr>
      <w:r w:rsidRPr="00F376D8">
        <w:t>Section 38(6) of the Planning and Compulsory Purchase Act 2004</w:t>
      </w:r>
      <w:r w:rsidR="00062643" w:rsidRPr="00F376D8">
        <w:t xml:space="preserve">, taken with section 70(2) of the Town and Country Planning Act 1990, </w:t>
      </w:r>
      <w:r w:rsidRPr="00F376D8">
        <w:t>requires planning applications to be determined in accordance with the policies of the Development Plan unless material considerations dictate otherwise.</w:t>
      </w:r>
    </w:p>
    <w:p w14:paraId="29FCE569" w14:textId="77777777" w:rsidR="00961938" w:rsidRPr="00F376D8" w:rsidRDefault="00961938" w:rsidP="002D6740">
      <w:pPr>
        <w:spacing w:line="360" w:lineRule="auto"/>
        <w:ind w:left="709"/>
        <w:jc w:val="both"/>
      </w:pPr>
    </w:p>
    <w:p w14:paraId="42A27420" w14:textId="5CEC3128" w:rsidR="00062643" w:rsidRPr="00F376D8" w:rsidRDefault="00961938" w:rsidP="002D6740">
      <w:pPr>
        <w:numPr>
          <w:ilvl w:val="1"/>
          <w:numId w:val="1"/>
        </w:numPr>
        <w:tabs>
          <w:tab w:val="clear" w:pos="1440"/>
          <w:tab w:val="num" w:pos="709"/>
        </w:tabs>
        <w:spacing w:line="360" w:lineRule="auto"/>
        <w:ind w:left="709" w:hanging="709"/>
        <w:jc w:val="both"/>
      </w:pPr>
      <w:r w:rsidRPr="00F376D8">
        <w:t xml:space="preserve">The Development Plan for the area currently comprises </w:t>
      </w:r>
      <w:r w:rsidR="00062643" w:rsidRPr="00F376D8">
        <w:t xml:space="preserve">(a) </w:t>
      </w:r>
      <w:r w:rsidRPr="00F376D8">
        <w:t xml:space="preserve">those policies of the </w:t>
      </w:r>
      <w:r w:rsidR="009B2781" w:rsidRPr="00F376D8">
        <w:t>Cherwell Local Plan 1996 (</w:t>
      </w:r>
      <w:r w:rsidR="00062643" w:rsidRPr="00F376D8">
        <w:t>“</w:t>
      </w:r>
      <w:r w:rsidR="009B2781" w:rsidRPr="00F376D8">
        <w:t>CLP</w:t>
      </w:r>
      <w:r w:rsidR="00062643" w:rsidRPr="00F376D8">
        <w:t xml:space="preserve"> 1996”)</w:t>
      </w:r>
      <w:r w:rsidRPr="00F376D8">
        <w:t xml:space="preserve"> that have been saved by a direction of the Secretary of State pursuant to paragraph 1(3) of Schedule 8 to the Planning and Compulsory Purchase Act 2004</w:t>
      </w:r>
      <w:r w:rsidR="00062643" w:rsidRPr="00F376D8">
        <w:t>;</w:t>
      </w:r>
      <w:r w:rsidR="00970D87" w:rsidRPr="00F376D8">
        <w:t xml:space="preserve"> and</w:t>
      </w:r>
      <w:r w:rsidR="00062643" w:rsidRPr="00F376D8">
        <w:t xml:space="preserve"> (b)</w:t>
      </w:r>
      <w:r w:rsidR="00970D87" w:rsidRPr="00F376D8">
        <w:t xml:space="preserve"> </w:t>
      </w:r>
      <w:r w:rsidR="00A64181" w:rsidRPr="00F376D8">
        <w:t xml:space="preserve">those in </w:t>
      </w:r>
      <w:r w:rsidR="00970D87" w:rsidRPr="00F376D8">
        <w:t xml:space="preserve">the </w:t>
      </w:r>
      <w:r w:rsidR="009B2781" w:rsidRPr="00F376D8">
        <w:t>Cherwell Local Plan 2011-2031 Part 1 (</w:t>
      </w:r>
      <w:r w:rsidR="00062643" w:rsidRPr="00F376D8">
        <w:t>“</w:t>
      </w:r>
      <w:r w:rsidR="009B2781" w:rsidRPr="00F376D8">
        <w:t>CLP</w:t>
      </w:r>
      <w:r w:rsidR="00421BA1" w:rsidRPr="00F376D8">
        <w:t xml:space="preserve"> 203</w:t>
      </w:r>
      <w:r w:rsidR="00062643" w:rsidRPr="00F376D8">
        <w:t>1”</w:t>
      </w:r>
      <w:r w:rsidR="009B2781" w:rsidRPr="00F376D8">
        <w:t>).</w:t>
      </w:r>
      <w:r w:rsidR="00970D87" w:rsidRPr="00F376D8">
        <w:t xml:space="preserve">  </w:t>
      </w:r>
    </w:p>
    <w:p w14:paraId="5A22E3D4" w14:textId="77777777" w:rsidR="00062643" w:rsidRPr="00F376D8" w:rsidRDefault="00062643" w:rsidP="002D6740">
      <w:pPr>
        <w:tabs>
          <w:tab w:val="num" w:pos="1440"/>
        </w:tabs>
        <w:spacing w:line="360" w:lineRule="auto"/>
        <w:jc w:val="both"/>
      </w:pPr>
    </w:p>
    <w:p w14:paraId="65F9B260" w14:textId="71367262" w:rsidR="00961938" w:rsidRPr="00F376D8" w:rsidRDefault="00970D87" w:rsidP="002D6740">
      <w:pPr>
        <w:numPr>
          <w:ilvl w:val="1"/>
          <w:numId w:val="1"/>
        </w:numPr>
        <w:tabs>
          <w:tab w:val="clear" w:pos="1440"/>
          <w:tab w:val="num" w:pos="709"/>
        </w:tabs>
        <w:spacing w:line="360" w:lineRule="auto"/>
        <w:ind w:left="709" w:hanging="709"/>
        <w:jc w:val="both"/>
      </w:pPr>
      <w:r w:rsidRPr="00F376D8">
        <w:lastRenderedPageBreak/>
        <w:t>R</w:t>
      </w:r>
      <w:r w:rsidR="00961938" w:rsidRPr="00F376D8">
        <w:t xml:space="preserve">eference to the relevant saved policies of the </w:t>
      </w:r>
      <w:r w:rsidR="009B2781" w:rsidRPr="00F376D8">
        <w:t>C</w:t>
      </w:r>
      <w:r w:rsidR="00961938" w:rsidRPr="00F376D8">
        <w:t>LP</w:t>
      </w:r>
      <w:r w:rsidR="00062643" w:rsidRPr="00F376D8">
        <w:t xml:space="preserve"> 1996</w:t>
      </w:r>
      <w:r w:rsidRPr="00F376D8">
        <w:t xml:space="preserve"> and policies in the </w:t>
      </w:r>
      <w:r w:rsidR="009B2781" w:rsidRPr="00F376D8">
        <w:t>C</w:t>
      </w:r>
      <w:r w:rsidRPr="00F376D8">
        <w:t>LP</w:t>
      </w:r>
      <w:r w:rsidR="00062643" w:rsidRPr="00F376D8">
        <w:t xml:space="preserve"> 2011</w:t>
      </w:r>
      <w:r w:rsidR="00961938" w:rsidRPr="00F376D8">
        <w:t xml:space="preserve"> is made later </w:t>
      </w:r>
      <w:r w:rsidR="00201E10" w:rsidRPr="00F376D8">
        <w:t xml:space="preserve">in the </w:t>
      </w:r>
      <w:r w:rsidR="00961938" w:rsidRPr="00F376D8">
        <w:t>section of this Statement.  Before that, reference is made to the relevant national level planning policies</w:t>
      </w:r>
      <w:r w:rsidR="00201E10" w:rsidRPr="00F376D8">
        <w:t xml:space="preserve"> first</w:t>
      </w:r>
      <w:r w:rsidR="00961938" w:rsidRPr="00F376D8">
        <w:t>.</w:t>
      </w:r>
    </w:p>
    <w:p w14:paraId="373D06C9" w14:textId="77777777" w:rsidR="00961938" w:rsidRPr="00F376D8" w:rsidRDefault="00961938" w:rsidP="002D6740">
      <w:pPr>
        <w:pStyle w:val="ListParagraph"/>
        <w:spacing w:line="360" w:lineRule="auto"/>
      </w:pPr>
    </w:p>
    <w:p w14:paraId="3B3A14CD" w14:textId="08B80CBE" w:rsidR="00961938" w:rsidRPr="00F376D8" w:rsidRDefault="00961938" w:rsidP="002D6740">
      <w:pPr>
        <w:spacing w:line="360" w:lineRule="auto"/>
        <w:ind w:left="720"/>
        <w:jc w:val="both"/>
        <w:rPr>
          <w:b/>
        </w:rPr>
      </w:pPr>
      <w:r w:rsidRPr="00F376D8">
        <w:rPr>
          <w:b/>
        </w:rPr>
        <w:t xml:space="preserve">Government Planning </w:t>
      </w:r>
      <w:r w:rsidR="009B2781" w:rsidRPr="00F376D8">
        <w:rPr>
          <w:b/>
        </w:rPr>
        <w:t>Policy</w:t>
      </w:r>
    </w:p>
    <w:p w14:paraId="3E3CD6C3" w14:textId="77777777" w:rsidR="00961938" w:rsidRPr="00F376D8" w:rsidRDefault="00961938" w:rsidP="002D6740">
      <w:pPr>
        <w:pStyle w:val="ListParagraph"/>
        <w:spacing w:line="360" w:lineRule="auto"/>
      </w:pPr>
    </w:p>
    <w:p w14:paraId="3F07CBF5" w14:textId="0E2A8782" w:rsidR="00961938" w:rsidRPr="00F376D8" w:rsidRDefault="00961938" w:rsidP="002D6740">
      <w:pPr>
        <w:numPr>
          <w:ilvl w:val="1"/>
          <w:numId w:val="1"/>
        </w:numPr>
        <w:tabs>
          <w:tab w:val="clear" w:pos="1440"/>
          <w:tab w:val="num" w:pos="709"/>
        </w:tabs>
        <w:spacing w:line="360" w:lineRule="auto"/>
        <w:ind w:left="709" w:hanging="709"/>
        <w:jc w:val="both"/>
      </w:pPr>
      <w:r w:rsidRPr="00F376D8">
        <w:t>Government guidance as a material consideration relevant to the consideration of this appl</w:t>
      </w:r>
      <w:r w:rsidR="00421BA1" w:rsidRPr="00F376D8">
        <w:t>ication</w:t>
      </w:r>
      <w:r w:rsidRPr="00F376D8">
        <w:t xml:space="preserve"> can be found in the National Planning Policy Framework (NPPF) March 2012 and National Planning Practice Guidance (NPPG) March 2014.</w:t>
      </w:r>
    </w:p>
    <w:p w14:paraId="29285D08" w14:textId="77777777" w:rsidR="00961938" w:rsidRPr="00F376D8" w:rsidRDefault="00961938" w:rsidP="002D6740">
      <w:pPr>
        <w:spacing w:line="360" w:lineRule="auto"/>
        <w:jc w:val="both"/>
      </w:pPr>
    </w:p>
    <w:p w14:paraId="0C85CC62" w14:textId="77777777" w:rsidR="00961938" w:rsidRPr="00F376D8" w:rsidRDefault="00961938" w:rsidP="002D6740">
      <w:pPr>
        <w:numPr>
          <w:ilvl w:val="1"/>
          <w:numId w:val="1"/>
        </w:numPr>
        <w:tabs>
          <w:tab w:val="clear" w:pos="1440"/>
          <w:tab w:val="num" w:pos="709"/>
        </w:tabs>
        <w:spacing w:line="360" w:lineRule="auto"/>
        <w:ind w:left="720" w:hanging="709"/>
        <w:jc w:val="both"/>
        <w:rPr>
          <w:b/>
        </w:rPr>
      </w:pPr>
      <w:r w:rsidRPr="00F376D8">
        <w:t>At paragraph 1 the NPPF sets out the Government’s planning policies for England and how they are expected to be applied.</w:t>
      </w:r>
    </w:p>
    <w:p w14:paraId="791AD86E" w14:textId="77777777" w:rsidR="009B2781" w:rsidRPr="00F376D8" w:rsidRDefault="009B2781" w:rsidP="002D6740">
      <w:pPr>
        <w:spacing w:line="360" w:lineRule="auto"/>
        <w:ind w:left="720"/>
        <w:jc w:val="both"/>
        <w:rPr>
          <w:b/>
        </w:rPr>
      </w:pPr>
    </w:p>
    <w:p w14:paraId="55D6AE81" w14:textId="0A47A1E7" w:rsidR="00961938" w:rsidRPr="00F376D8" w:rsidRDefault="00961938" w:rsidP="002D6740">
      <w:pPr>
        <w:spacing w:line="360" w:lineRule="auto"/>
        <w:ind w:left="720"/>
        <w:jc w:val="both"/>
        <w:rPr>
          <w:b/>
        </w:rPr>
      </w:pPr>
      <w:r w:rsidRPr="00F376D8">
        <w:rPr>
          <w:b/>
        </w:rPr>
        <w:t>Achieving Sustainable Development</w:t>
      </w:r>
    </w:p>
    <w:p w14:paraId="27F176FD" w14:textId="77777777" w:rsidR="00961938" w:rsidRPr="00F376D8" w:rsidRDefault="00961938" w:rsidP="002D6740">
      <w:pPr>
        <w:pStyle w:val="ListParagraph"/>
        <w:spacing w:line="360" w:lineRule="auto"/>
      </w:pPr>
    </w:p>
    <w:p w14:paraId="756E7F81" w14:textId="7FB1C843" w:rsidR="00961938" w:rsidRPr="00F376D8" w:rsidRDefault="00961938" w:rsidP="002D6740">
      <w:pPr>
        <w:numPr>
          <w:ilvl w:val="1"/>
          <w:numId w:val="1"/>
        </w:numPr>
        <w:tabs>
          <w:tab w:val="clear" w:pos="1440"/>
          <w:tab w:val="num" w:pos="709"/>
        </w:tabs>
        <w:spacing w:line="360" w:lineRule="auto"/>
        <w:ind w:left="720"/>
        <w:jc w:val="both"/>
      </w:pPr>
      <w:r w:rsidRPr="00F376D8">
        <w:t xml:space="preserve">The NPPF </w:t>
      </w:r>
      <w:r w:rsidRPr="00F376D8">
        <w:rPr>
          <w:rFonts w:cs="Arial"/>
          <w:szCs w:val="22"/>
        </w:rPr>
        <w:t xml:space="preserve">at paragraph 6 states that the purpose of the planning system is to contribute to the achievement of sustainable development.  Paragraph 7 continues </w:t>
      </w:r>
      <w:r w:rsidR="00062643" w:rsidRPr="00F376D8">
        <w:rPr>
          <w:rFonts w:cs="Arial"/>
          <w:szCs w:val="22"/>
        </w:rPr>
        <w:t xml:space="preserve">by </w:t>
      </w:r>
      <w:r w:rsidRPr="00F376D8">
        <w:rPr>
          <w:rFonts w:cs="Arial"/>
          <w:szCs w:val="22"/>
        </w:rPr>
        <w:t>stat</w:t>
      </w:r>
      <w:r w:rsidR="00062643" w:rsidRPr="00F376D8">
        <w:rPr>
          <w:rFonts w:cs="Arial"/>
          <w:szCs w:val="22"/>
        </w:rPr>
        <w:t>ing</w:t>
      </w:r>
      <w:r w:rsidRPr="00F376D8">
        <w:rPr>
          <w:rFonts w:cs="Arial"/>
          <w:szCs w:val="22"/>
        </w:rPr>
        <w:t xml:space="preserve"> that there are three dimensions to sustainable development: economic, social and environmental, and that these dimensions give rise to the need for the planning system to perform a number of roles:</w:t>
      </w:r>
    </w:p>
    <w:p w14:paraId="593D5139" w14:textId="77777777" w:rsidR="00421BA1" w:rsidRPr="00F376D8" w:rsidRDefault="00421BA1" w:rsidP="002D6740">
      <w:pPr>
        <w:spacing w:line="360" w:lineRule="auto"/>
        <w:ind w:left="720"/>
        <w:jc w:val="both"/>
        <w:rPr>
          <w:rFonts w:cs="Arial"/>
          <w:szCs w:val="22"/>
        </w:rPr>
      </w:pPr>
    </w:p>
    <w:p w14:paraId="11D23807" w14:textId="77777777" w:rsidR="00421BA1" w:rsidRPr="00F376D8" w:rsidRDefault="00421BA1" w:rsidP="002D6740">
      <w:pPr>
        <w:numPr>
          <w:ilvl w:val="0"/>
          <w:numId w:val="6"/>
        </w:numPr>
        <w:tabs>
          <w:tab w:val="clear" w:pos="1440"/>
          <w:tab w:val="num" w:pos="1276"/>
        </w:tabs>
        <w:spacing w:line="360" w:lineRule="auto"/>
        <w:ind w:left="1276" w:hanging="567"/>
        <w:jc w:val="both"/>
        <w:rPr>
          <w:rFonts w:cs="Arial"/>
          <w:szCs w:val="22"/>
        </w:rPr>
      </w:pPr>
      <w:r w:rsidRPr="00F376D8">
        <w:rPr>
          <w:rFonts w:cs="Arial"/>
          <w:b/>
          <w:szCs w:val="22"/>
        </w:rPr>
        <w:t>An economic role</w:t>
      </w:r>
      <w:r w:rsidRPr="00F376D8">
        <w:rPr>
          <w:rFonts w:cs="Arial"/>
          <w:szCs w:val="22"/>
        </w:rPr>
        <w:t xml:space="preserve"> – contributing to building a strong, responsive and competitive economy, by ensuring that sufficient land of the right type is available in the right places and at the right time to support growth and innovation; and by identifying and coordinating development requirements, including the provision of infrastructure;</w:t>
      </w:r>
    </w:p>
    <w:p w14:paraId="48BC249B" w14:textId="77777777" w:rsidR="00421BA1" w:rsidRPr="00F376D8" w:rsidRDefault="00421BA1" w:rsidP="002D6740">
      <w:pPr>
        <w:tabs>
          <w:tab w:val="num" w:pos="1276"/>
        </w:tabs>
        <w:spacing w:line="360" w:lineRule="auto"/>
        <w:ind w:left="1276" w:hanging="567"/>
        <w:jc w:val="both"/>
        <w:rPr>
          <w:rFonts w:cs="Arial"/>
          <w:szCs w:val="22"/>
        </w:rPr>
      </w:pPr>
    </w:p>
    <w:p w14:paraId="74D533C2" w14:textId="77777777" w:rsidR="00421BA1" w:rsidRPr="00F376D8" w:rsidRDefault="00421BA1" w:rsidP="002D6740">
      <w:pPr>
        <w:numPr>
          <w:ilvl w:val="0"/>
          <w:numId w:val="6"/>
        </w:numPr>
        <w:tabs>
          <w:tab w:val="clear" w:pos="1440"/>
          <w:tab w:val="num" w:pos="1276"/>
        </w:tabs>
        <w:spacing w:line="360" w:lineRule="auto"/>
        <w:ind w:left="1276" w:hanging="567"/>
        <w:jc w:val="both"/>
        <w:rPr>
          <w:rFonts w:cs="Arial"/>
          <w:szCs w:val="22"/>
        </w:rPr>
      </w:pPr>
      <w:r w:rsidRPr="00F376D8">
        <w:rPr>
          <w:rFonts w:cs="Arial"/>
          <w:b/>
          <w:szCs w:val="22"/>
        </w:rPr>
        <w:t>A social role</w:t>
      </w:r>
      <w:r w:rsidRPr="00F376D8">
        <w:rPr>
          <w:rFonts w:cs="Arial"/>
          <w:szCs w:val="22"/>
        </w:rPr>
        <w:t xml:space="preserve"> – supporting strong, vibrant and healthy communities, by providing the supply of housing required to meet the needs of the present and future generations; and by creating a high quality environment, with accessible local services that reflect the community’s needs and support its health, social and cultural well-being; and</w:t>
      </w:r>
    </w:p>
    <w:p w14:paraId="322F976F" w14:textId="77777777" w:rsidR="00421BA1" w:rsidRPr="00F376D8" w:rsidRDefault="00421BA1" w:rsidP="002D6740">
      <w:pPr>
        <w:pStyle w:val="ListParagraph"/>
        <w:tabs>
          <w:tab w:val="num" w:pos="1276"/>
        </w:tabs>
        <w:spacing w:line="360" w:lineRule="auto"/>
        <w:ind w:left="1276" w:hanging="567"/>
        <w:rPr>
          <w:rFonts w:cs="Arial"/>
          <w:szCs w:val="22"/>
        </w:rPr>
      </w:pPr>
    </w:p>
    <w:p w14:paraId="66D13DD6" w14:textId="77777777" w:rsidR="00421BA1" w:rsidRPr="00F376D8" w:rsidRDefault="00421BA1" w:rsidP="002D6740">
      <w:pPr>
        <w:numPr>
          <w:ilvl w:val="0"/>
          <w:numId w:val="6"/>
        </w:numPr>
        <w:tabs>
          <w:tab w:val="clear" w:pos="1440"/>
          <w:tab w:val="num" w:pos="1276"/>
        </w:tabs>
        <w:spacing w:line="360" w:lineRule="auto"/>
        <w:ind w:left="1276" w:hanging="567"/>
        <w:jc w:val="both"/>
        <w:rPr>
          <w:rFonts w:cs="Arial"/>
          <w:szCs w:val="22"/>
        </w:rPr>
      </w:pPr>
      <w:r w:rsidRPr="00F376D8">
        <w:rPr>
          <w:rFonts w:cs="Arial"/>
          <w:b/>
          <w:szCs w:val="22"/>
        </w:rPr>
        <w:t>An environmental role</w:t>
      </w:r>
      <w:r w:rsidRPr="00F376D8">
        <w:rPr>
          <w:rFonts w:cs="Arial"/>
          <w:szCs w:val="22"/>
        </w:rPr>
        <w:t xml:space="preserve"> – contributing to protecting and enhancing our natural, built and historic environment; and, as part of this, helping to </w:t>
      </w:r>
      <w:r w:rsidRPr="00F376D8">
        <w:rPr>
          <w:rFonts w:cs="Arial"/>
          <w:szCs w:val="22"/>
        </w:rPr>
        <w:lastRenderedPageBreak/>
        <w:t>improve biodiversity, use natural resources prudently, minimise waste and pollution, and mitigate and adapt to climate change including moving to a low carbon economy.</w:t>
      </w:r>
    </w:p>
    <w:p w14:paraId="62BC6486" w14:textId="77777777" w:rsidR="00421BA1" w:rsidRPr="00F376D8" w:rsidRDefault="00421BA1" w:rsidP="002D6740">
      <w:pPr>
        <w:spacing w:line="360" w:lineRule="auto"/>
        <w:ind w:left="720"/>
        <w:jc w:val="both"/>
      </w:pPr>
    </w:p>
    <w:p w14:paraId="48782D3D" w14:textId="7D94140A" w:rsidR="00F06942" w:rsidRDefault="00961938" w:rsidP="002D6740">
      <w:pPr>
        <w:numPr>
          <w:ilvl w:val="1"/>
          <w:numId w:val="1"/>
        </w:numPr>
        <w:tabs>
          <w:tab w:val="clear" w:pos="1440"/>
          <w:tab w:val="num" w:pos="709"/>
        </w:tabs>
        <w:spacing w:line="360" w:lineRule="auto"/>
        <w:ind w:left="720"/>
        <w:jc w:val="both"/>
      </w:pPr>
      <w:r w:rsidRPr="00F376D8">
        <w:rPr>
          <w:rFonts w:cs="Arial"/>
          <w:szCs w:val="22"/>
        </w:rPr>
        <w:t xml:space="preserve">It is clear that if the </w:t>
      </w:r>
      <w:r w:rsidR="009B2781" w:rsidRPr="00F376D8">
        <w:rPr>
          <w:rFonts w:cs="Arial"/>
          <w:szCs w:val="22"/>
        </w:rPr>
        <w:t>proposal</w:t>
      </w:r>
      <w:r w:rsidRPr="00F376D8">
        <w:rPr>
          <w:rFonts w:cs="Arial"/>
          <w:szCs w:val="22"/>
        </w:rPr>
        <w:t xml:space="preserve"> is looked at </w:t>
      </w:r>
      <w:r w:rsidR="00062643" w:rsidRPr="00F376D8">
        <w:rPr>
          <w:rFonts w:cs="Arial"/>
          <w:szCs w:val="22"/>
        </w:rPr>
        <w:t xml:space="preserve">in light of each of these elements, </w:t>
      </w:r>
      <w:r w:rsidRPr="00F376D8">
        <w:rPr>
          <w:rFonts w:cs="Arial"/>
          <w:szCs w:val="22"/>
        </w:rPr>
        <w:t>it complies</w:t>
      </w:r>
      <w:r w:rsidR="00062643" w:rsidRPr="00F376D8">
        <w:rPr>
          <w:rFonts w:cs="Arial"/>
          <w:szCs w:val="22"/>
        </w:rPr>
        <w:t xml:space="preserve"> in full</w:t>
      </w:r>
      <w:r w:rsidRPr="00F376D8">
        <w:rPr>
          <w:rFonts w:cs="Arial"/>
          <w:szCs w:val="22"/>
        </w:rPr>
        <w:t xml:space="preserve"> with </w:t>
      </w:r>
      <w:r w:rsidR="00062643" w:rsidRPr="00F376D8">
        <w:rPr>
          <w:rFonts w:cs="Arial"/>
          <w:szCs w:val="22"/>
        </w:rPr>
        <w:t xml:space="preserve">the </w:t>
      </w:r>
      <w:r w:rsidRPr="00F376D8">
        <w:rPr>
          <w:rFonts w:cs="Arial"/>
          <w:szCs w:val="22"/>
        </w:rPr>
        <w:t xml:space="preserve">salient tests.  </w:t>
      </w:r>
      <w:r w:rsidRPr="00F376D8">
        <w:rPr>
          <w:rFonts w:cs="Arial"/>
          <w:color w:val="000000"/>
          <w:szCs w:val="22"/>
          <w:lang w:eastAsia="en-GB"/>
        </w:rPr>
        <w:t xml:space="preserve">It will </w:t>
      </w:r>
      <w:r w:rsidR="00062643" w:rsidRPr="00F376D8">
        <w:rPr>
          <w:rFonts w:cs="Arial"/>
          <w:color w:val="000000"/>
          <w:szCs w:val="22"/>
          <w:lang w:eastAsia="en-GB"/>
        </w:rPr>
        <w:t xml:space="preserve">undoubtedly </w:t>
      </w:r>
      <w:r w:rsidRPr="00F376D8">
        <w:rPr>
          <w:rFonts w:cs="Arial"/>
          <w:color w:val="000000"/>
          <w:szCs w:val="22"/>
          <w:lang w:eastAsia="en-GB"/>
        </w:rPr>
        <w:t>make a positive contribution to the local economy</w:t>
      </w:r>
      <w:r w:rsidR="00062643" w:rsidRPr="00F376D8">
        <w:rPr>
          <w:rFonts w:cs="Arial"/>
          <w:color w:val="000000"/>
          <w:szCs w:val="22"/>
          <w:lang w:eastAsia="en-GB"/>
        </w:rPr>
        <w:t>,</w:t>
      </w:r>
      <w:r w:rsidRPr="00F376D8">
        <w:rPr>
          <w:rFonts w:cs="Arial"/>
          <w:color w:val="000000"/>
          <w:szCs w:val="22"/>
          <w:lang w:eastAsia="en-GB"/>
        </w:rPr>
        <w:t xml:space="preserve"> both during the construction phase and thereafter by bringing new blood in to the village, who will help to support </w:t>
      </w:r>
      <w:r w:rsidR="009B2781" w:rsidRPr="00F376D8">
        <w:rPr>
          <w:rFonts w:cs="Arial"/>
          <w:color w:val="000000"/>
          <w:szCs w:val="22"/>
          <w:lang w:eastAsia="en-GB"/>
        </w:rPr>
        <w:t xml:space="preserve">the </w:t>
      </w:r>
      <w:r w:rsidRPr="00F376D8">
        <w:rPr>
          <w:rFonts w:cs="Arial"/>
          <w:color w:val="000000"/>
          <w:szCs w:val="22"/>
          <w:lang w:eastAsia="en-GB"/>
        </w:rPr>
        <w:t xml:space="preserve">local services, businesses and amenities in the local area.  In a related vein, it will perform a social role too by bringing new residents </w:t>
      </w:r>
      <w:r w:rsidR="00062643" w:rsidRPr="00F376D8">
        <w:rPr>
          <w:rFonts w:cs="Arial"/>
          <w:color w:val="000000"/>
          <w:szCs w:val="22"/>
          <w:lang w:eastAsia="en-GB"/>
        </w:rPr>
        <w:t xml:space="preserve">into the village </w:t>
      </w:r>
      <w:r w:rsidRPr="00F376D8">
        <w:rPr>
          <w:rFonts w:cs="Arial"/>
          <w:color w:val="000000"/>
          <w:szCs w:val="22"/>
          <w:lang w:eastAsia="en-GB"/>
        </w:rPr>
        <w:t xml:space="preserve">that will help to support the vitality of </w:t>
      </w:r>
      <w:r w:rsidR="00F06942">
        <w:rPr>
          <w:rFonts w:cs="Arial"/>
          <w:color w:val="000000"/>
          <w:szCs w:val="22"/>
          <w:lang w:eastAsia="en-GB"/>
        </w:rPr>
        <w:t>Wendlebury</w:t>
      </w:r>
      <w:r w:rsidRPr="00F376D8">
        <w:rPr>
          <w:rFonts w:cs="Arial"/>
          <w:color w:val="000000"/>
          <w:szCs w:val="22"/>
          <w:lang w:eastAsia="en-GB"/>
        </w:rPr>
        <w:t>, further supporting local services and facilities in the area.</w:t>
      </w:r>
      <w:r w:rsidR="00421BA1" w:rsidRPr="00F376D8">
        <w:rPr>
          <w:rFonts w:cs="Arial"/>
          <w:color w:val="000000"/>
          <w:szCs w:val="22"/>
          <w:lang w:eastAsia="en-GB"/>
        </w:rPr>
        <w:t xml:space="preserve">  </w:t>
      </w:r>
      <w:r w:rsidRPr="00F376D8">
        <w:rPr>
          <w:rFonts w:cs="Arial"/>
          <w:szCs w:val="22"/>
        </w:rPr>
        <w:t>In environmental terms, the site is in the right place</w:t>
      </w:r>
      <w:r w:rsidR="00062643" w:rsidRPr="00F376D8">
        <w:rPr>
          <w:rFonts w:cs="Arial"/>
          <w:szCs w:val="22"/>
        </w:rPr>
        <w:t xml:space="preserve"> for new housing for the village</w:t>
      </w:r>
      <w:r w:rsidR="00F06942">
        <w:rPr>
          <w:rFonts w:cs="Arial"/>
          <w:szCs w:val="22"/>
        </w:rPr>
        <w:t xml:space="preserve"> insofar as it plainly stands within the existing, developed rea of the village and does not extend the village boundaries out into the surrounding countryside beyond</w:t>
      </w:r>
      <w:r w:rsidR="009B2781" w:rsidRPr="00F376D8">
        <w:t>.</w:t>
      </w:r>
    </w:p>
    <w:p w14:paraId="69C81BDB" w14:textId="77777777" w:rsidR="00F06942" w:rsidRDefault="00F06942" w:rsidP="002D6740">
      <w:pPr>
        <w:spacing w:line="360" w:lineRule="auto"/>
        <w:ind w:left="720"/>
        <w:jc w:val="both"/>
      </w:pPr>
    </w:p>
    <w:p w14:paraId="2C846B53" w14:textId="77777777" w:rsidR="00850A7C" w:rsidRDefault="00421BA1" w:rsidP="002D6740">
      <w:pPr>
        <w:numPr>
          <w:ilvl w:val="1"/>
          <w:numId w:val="1"/>
        </w:numPr>
        <w:tabs>
          <w:tab w:val="clear" w:pos="1440"/>
          <w:tab w:val="num" w:pos="709"/>
        </w:tabs>
        <w:spacing w:line="360" w:lineRule="auto"/>
        <w:ind w:left="720"/>
        <w:jc w:val="both"/>
      </w:pPr>
      <w:r w:rsidRPr="00F376D8">
        <w:t>T</w:t>
      </w:r>
      <w:r w:rsidR="00062643" w:rsidRPr="00F376D8">
        <w:t>he</w:t>
      </w:r>
      <w:r w:rsidR="00A64181" w:rsidRPr="00F376D8">
        <w:t xml:space="preserve"> cross economic, social and environmental benefits are obvious and the proposal is therefore </w:t>
      </w:r>
      <w:r w:rsidR="00062643" w:rsidRPr="00F376D8">
        <w:t xml:space="preserve">rightly to be defined as a </w:t>
      </w:r>
      <w:r w:rsidR="00A64181" w:rsidRPr="00F376D8">
        <w:t>sustainable form of development.</w:t>
      </w:r>
    </w:p>
    <w:p w14:paraId="3B80BFE0" w14:textId="77777777" w:rsidR="00850A7C" w:rsidRDefault="00850A7C" w:rsidP="002D6740">
      <w:pPr>
        <w:pStyle w:val="ListParagraph"/>
        <w:spacing w:line="360" w:lineRule="auto"/>
      </w:pPr>
    </w:p>
    <w:p w14:paraId="4BA14AA0" w14:textId="77777777" w:rsidR="00850A7C" w:rsidRDefault="00062643" w:rsidP="002D6740">
      <w:pPr>
        <w:numPr>
          <w:ilvl w:val="1"/>
          <w:numId w:val="1"/>
        </w:numPr>
        <w:tabs>
          <w:tab w:val="clear" w:pos="1440"/>
          <w:tab w:val="num" w:pos="709"/>
        </w:tabs>
        <w:spacing w:line="360" w:lineRule="auto"/>
        <w:ind w:left="720"/>
        <w:jc w:val="both"/>
      </w:pPr>
      <w:r w:rsidRPr="00F376D8">
        <w:t xml:space="preserve">Paragraph 14 of the NPPF identifies: </w:t>
      </w:r>
      <w:r w:rsidR="00970D87" w:rsidRPr="00F376D8">
        <w:t>“At the heart of the NPPF is a presumption in favour of sustainable development, which should be seen as a golden thread running through both plan making and decision taking”.  It goes on to state that for plan making this means that local authorities should positively seek opportunities that arise to meet the development needs for their area and that local planning policies should be applied flexibly whenever possible.  It is submitted here that the benefits that accrue from the proposal, plainly represent a positive and sustainable development opportunity for the local area that should be properly supported.</w:t>
      </w:r>
    </w:p>
    <w:p w14:paraId="1C2EFF20" w14:textId="77777777" w:rsidR="00850A7C" w:rsidRDefault="00850A7C" w:rsidP="002D6740">
      <w:pPr>
        <w:pStyle w:val="ListParagraph"/>
        <w:spacing w:line="360" w:lineRule="auto"/>
      </w:pPr>
    </w:p>
    <w:p w14:paraId="32AC158E" w14:textId="77777777" w:rsidR="00850A7C" w:rsidRDefault="00970D87" w:rsidP="002D6740">
      <w:pPr>
        <w:numPr>
          <w:ilvl w:val="1"/>
          <w:numId w:val="1"/>
        </w:numPr>
        <w:tabs>
          <w:tab w:val="clear" w:pos="1440"/>
          <w:tab w:val="num" w:pos="709"/>
        </w:tabs>
        <w:spacing w:line="360" w:lineRule="auto"/>
        <w:ind w:left="720"/>
        <w:jc w:val="both"/>
      </w:pPr>
      <w:r w:rsidRPr="00F376D8">
        <w:t>Paragraph 15 of the NPPF is explicit in its statement that “policies in local plans should follow the approach of the presumption in favour of sustainable development so that it is clear that development which is sustainable can be approved without delay”.  It has already been demonstrated above that the proposal does plainly represent a sustainable form of development, by definition.</w:t>
      </w:r>
      <w:r w:rsidR="009B2781" w:rsidRPr="00F376D8">
        <w:t xml:space="preserve">  </w:t>
      </w:r>
    </w:p>
    <w:p w14:paraId="02ED707A" w14:textId="77777777" w:rsidR="00850A7C" w:rsidRDefault="00850A7C" w:rsidP="002D6740">
      <w:pPr>
        <w:pStyle w:val="ListParagraph"/>
        <w:spacing w:line="360" w:lineRule="auto"/>
      </w:pPr>
    </w:p>
    <w:p w14:paraId="3C90D066" w14:textId="0EC3A714" w:rsidR="00961938" w:rsidRDefault="00970D87" w:rsidP="002D6740">
      <w:pPr>
        <w:numPr>
          <w:ilvl w:val="1"/>
          <w:numId w:val="1"/>
        </w:numPr>
        <w:tabs>
          <w:tab w:val="clear" w:pos="1440"/>
          <w:tab w:val="num" w:pos="709"/>
        </w:tabs>
        <w:spacing w:line="360" w:lineRule="auto"/>
        <w:ind w:left="720"/>
        <w:jc w:val="both"/>
      </w:pPr>
      <w:r w:rsidRPr="00F376D8">
        <w:lastRenderedPageBreak/>
        <w:t>A list of “core planning principles” within the planning system are then identified in the NPPF that should “underpin both plan marking and decision taking” (paragraph 17).  Those considered most relevant to the term of this proposal include</w:t>
      </w:r>
      <w:r w:rsidR="00961938" w:rsidRPr="00F376D8">
        <w:t>:</w:t>
      </w:r>
    </w:p>
    <w:p w14:paraId="2F7E37DC" w14:textId="77777777" w:rsidR="00850A7C" w:rsidRDefault="00850A7C" w:rsidP="002D6740">
      <w:pPr>
        <w:pStyle w:val="ListParagraph"/>
        <w:spacing w:line="360" w:lineRule="auto"/>
      </w:pPr>
    </w:p>
    <w:p w14:paraId="5E0C94C9" w14:textId="77777777" w:rsidR="00850A7C" w:rsidRDefault="00850A7C" w:rsidP="002D6740">
      <w:pPr>
        <w:numPr>
          <w:ilvl w:val="0"/>
          <w:numId w:val="7"/>
        </w:numPr>
        <w:tabs>
          <w:tab w:val="clear" w:pos="2160"/>
          <w:tab w:val="num" w:pos="1276"/>
        </w:tabs>
        <w:spacing w:line="360" w:lineRule="auto"/>
        <w:ind w:left="1276" w:hanging="567"/>
        <w:jc w:val="both"/>
      </w:pPr>
      <w:r w:rsidRPr="00F376D8">
        <w:t>Always seek to secure high quality design and a good standard of amenity for all existing and future occupants of land and buildings;</w:t>
      </w:r>
    </w:p>
    <w:p w14:paraId="23B4D5BD" w14:textId="77777777" w:rsidR="00850A7C" w:rsidRPr="00F376D8" w:rsidRDefault="00850A7C" w:rsidP="002D6740">
      <w:pPr>
        <w:spacing w:line="360" w:lineRule="auto"/>
        <w:ind w:left="1276"/>
        <w:jc w:val="both"/>
      </w:pPr>
    </w:p>
    <w:p w14:paraId="6B786AA8" w14:textId="77777777" w:rsidR="00850A7C" w:rsidRPr="00F376D8" w:rsidRDefault="00850A7C" w:rsidP="002D6740">
      <w:pPr>
        <w:numPr>
          <w:ilvl w:val="0"/>
          <w:numId w:val="7"/>
        </w:numPr>
        <w:tabs>
          <w:tab w:val="clear" w:pos="2160"/>
          <w:tab w:val="num" w:pos="1276"/>
        </w:tabs>
        <w:spacing w:line="360" w:lineRule="auto"/>
        <w:ind w:left="1276" w:hanging="567"/>
        <w:jc w:val="both"/>
      </w:pPr>
      <w:r w:rsidRPr="00F376D8">
        <w:t>Proactively drive and support sustainable economic development and in doing so, every effort should be made objectively to identify and then meet the housing, business and other development needs of an area, and respond positively to wider opportunities for growth.</w:t>
      </w:r>
    </w:p>
    <w:p w14:paraId="05A09550" w14:textId="77777777" w:rsidR="00850A7C" w:rsidRPr="00F376D8" w:rsidRDefault="00850A7C" w:rsidP="002D6740">
      <w:pPr>
        <w:tabs>
          <w:tab w:val="num" w:pos="1276"/>
        </w:tabs>
        <w:spacing w:line="360" w:lineRule="auto"/>
        <w:ind w:left="1276" w:hanging="567"/>
        <w:jc w:val="both"/>
      </w:pPr>
    </w:p>
    <w:p w14:paraId="7C8CCF49" w14:textId="77777777" w:rsidR="00850A7C" w:rsidRPr="00F376D8" w:rsidRDefault="00850A7C" w:rsidP="002D6740">
      <w:pPr>
        <w:numPr>
          <w:ilvl w:val="0"/>
          <w:numId w:val="7"/>
        </w:numPr>
        <w:tabs>
          <w:tab w:val="clear" w:pos="2160"/>
          <w:tab w:val="num" w:pos="1276"/>
        </w:tabs>
        <w:spacing w:line="360" w:lineRule="auto"/>
        <w:ind w:left="1276" w:hanging="567"/>
        <w:jc w:val="both"/>
      </w:pPr>
      <w:r w:rsidRPr="00F376D8">
        <w:t>Not simply be about scrutiny, but instead be a creative exercise in finding ways to enhance and improve the places in which people live their lives;</w:t>
      </w:r>
    </w:p>
    <w:p w14:paraId="40F930AF" w14:textId="77777777" w:rsidR="00850A7C" w:rsidRPr="00F376D8" w:rsidRDefault="00850A7C" w:rsidP="002D6740">
      <w:pPr>
        <w:spacing w:line="360" w:lineRule="auto"/>
        <w:ind w:left="1276"/>
        <w:jc w:val="both"/>
      </w:pPr>
    </w:p>
    <w:p w14:paraId="32CD8B82" w14:textId="77777777" w:rsidR="00850A7C" w:rsidRPr="00F376D8" w:rsidRDefault="00850A7C" w:rsidP="002D6740">
      <w:pPr>
        <w:numPr>
          <w:ilvl w:val="0"/>
          <w:numId w:val="7"/>
        </w:numPr>
        <w:tabs>
          <w:tab w:val="clear" w:pos="2160"/>
          <w:tab w:val="num" w:pos="1276"/>
        </w:tabs>
        <w:spacing w:line="360" w:lineRule="auto"/>
        <w:ind w:left="1276" w:hanging="567"/>
        <w:jc w:val="both"/>
      </w:pPr>
      <w:r w:rsidRPr="00F376D8">
        <w:t>Take account of the different roles and character of different areas, promoting the vitality of our main urban areas and protecting the Green Belts around them;</w:t>
      </w:r>
    </w:p>
    <w:p w14:paraId="126DBD37" w14:textId="77777777" w:rsidR="00850A7C" w:rsidRPr="00F376D8" w:rsidRDefault="00850A7C" w:rsidP="002D6740">
      <w:pPr>
        <w:pStyle w:val="ListParagraph"/>
        <w:spacing w:line="360" w:lineRule="auto"/>
      </w:pPr>
    </w:p>
    <w:p w14:paraId="1700A94B" w14:textId="77777777" w:rsidR="00850A7C" w:rsidRPr="00F376D8" w:rsidRDefault="00850A7C" w:rsidP="002D6740">
      <w:pPr>
        <w:numPr>
          <w:ilvl w:val="0"/>
          <w:numId w:val="7"/>
        </w:numPr>
        <w:tabs>
          <w:tab w:val="clear" w:pos="2160"/>
          <w:tab w:val="num" w:pos="1276"/>
        </w:tabs>
        <w:spacing w:line="360" w:lineRule="auto"/>
        <w:ind w:left="1276" w:hanging="567"/>
        <w:jc w:val="both"/>
      </w:pPr>
      <w:r w:rsidRPr="00F376D8">
        <w:t xml:space="preserve">Actively manage patterns of growth to make the fullest possible use of public transport, walking and cycling, and focus significant development in locations which are or can be </w:t>
      </w:r>
      <w:r>
        <w:t>made sustainable.</w:t>
      </w:r>
    </w:p>
    <w:p w14:paraId="0F6B7293" w14:textId="77777777" w:rsidR="00850A7C" w:rsidRPr="00F376D8" w:rsidRDefault="00850A7C" w:rsidP="002D6740">
      <w:pPr>
        <w:pStyle w:val="ListParagraph"/>
        <w:tabs>
          <w:tab w:val="num" w:pos="1276"/>
        </w:tabs>
        <w:spacing w:line="360" w:lineRule="auto"/>
        <w:ind w:left="1276" w:hanging="567"/>
      </w:pPr>
    </w:p>
    <w:p w14:paraId="28171A17" w14:textId="77777777" w:rsidR="00850A7C" w:rsidRPr="00F376D8" w:rsidRDefault="00850A7C" w:rsidP="002D6740">
      <w:pPr>
        <w:spacing w:line="360" w:lineRule="auto"/>
        <w:ind w:left="720"/>
        <w:jc w:val="both"/>
      </w:pPr>
      <w:r w:rsidRPr="00F376D8">
        <w:t>The proposal and its related benefits satisfy each of the above criteria.</w:t>
      </w:r>
    </w:p>
    <w:p w14:paraId="7A14D056" w14:textId="77777777" w:rsidR="00850A7C" w:rsidRDefault="00850A7C" w:rsidP="002D6740">
      <w:pPr>
        <w:pStyle w:val="ListParagraph"/>
        <w:spacing w:line="360" w:lineRule="auto"/>
      </w:pPr>
    </w:p>
    <w:p w14:paraId="1DF187CF" w14:textId="72C9A05C" w:rsidR="00850A7C" w:rsidRDefault="00850A7C" w:rsidP="002D6740">
      <w:pPr>
        <w:numPr>
          <w:ilvl w:val="1"/>
          <w:numId w:val="1"/>
        </w:numPr>
        <w:tabs>
          <w:tab w:val="clear" w:pos="1440"/>
          <w:tab w:val="num" w:pos="709"/>
        </w:tabs>
        <w:spacing w:line="360" w:lineRule="auto"/>
        <w:ind w:left="720"/>
        <w:jc w:val="both"/>
      </w:pPr>
      <w:r>
        <w:t xml:space="preserve">Paragraph 32 of the NPPF deals with transport </w:t>
      </w:r>
      <w:r w:rsidR="00380499">
        <w:t xml:space="preserve">issues </w:t>
      </w:r>
      <w:r>
        <w:t>and makes clear that new development should only be refused or prevented on transport related grounds where the impacts of the development are ‘severe’.  The traffic generated by the 1 house proposed in this case cannot in any sensible way be regarded as ‘severe’.</w:t>
      </w:r>
    </w:p>
    <w:p w14:paraId="0766AA54" w14:textId="77777777" w:rsidR="00850A7C" w:rsidRDefault="00850A7C" w:rsidP="002D6740">
      <w:pPr>
        <w:spacing w:line="360" w:lineRule="auto"/>
        <w:ind w:left="720"/>
        <w:jc w:val="both"/>
      </w:pPr>
    </w:p>
    <w:p w14:paraId="5A475EEF" w14:textId="77777777" w:rsidR="00850A7C" w:rsidRDefault="00002626" w:rsidP="002D6740">
      <w:pPr>
        <w:numPr>
          <w:ilvl w:val="1"/>
          <w:numId w:val="1"/>
        </w:numPr>
        <w:tabs>
          <w:tab w:val="clear" w:pos="1440"/>
          <w:tab w:val="num" w:pos="709"/>
        </w:tabs>
        <w:spacing w:line="360" w:lineRule="auto"/>
        <w:ind w:left="720"/>
        <w:jc w:val="both"/>
      </w:pPr>
      <w:r w:rsidRPr="00F376D8">
        <w:t>Paragraph 49 states that new housing applications should be considered in the context of the presumption in favour of sustainable development.  As stated, the proposal is plainly a sustainable form of development.</w:t>
      </w:r>
      <w:r w:rsidR="00740F74" w:rsidRPr="00F376D8">
        <w:t xml:space="preserve">  </w:t>
      </w:r>
      <w:r w:rsidR="009750BD" w:rsidRPr="00F376D8">
        <w:t>As a proposal for new housing, a presumption in it</w:t>
      </w:r>
      <w:r w:rsidR="00850A7C">
        <w:t>s favour should therefore apply.</w:t>
      </w:r>
    </w:p>
    <w:p w14:paraId="5679E967" w14:textId="77777777" w:rsidR="00850A7C" w:rsidRDefault="00002626" w:rsidP="002D6740">
      <w:pPr>
        <w:numPr>
          <w:ilvl w:val="1"/>
          <w:numId w:val="1"/>
        </w:numPr>
        <w:tabs>
          <w:tab w:val="clear" w:pos="1440"/>
          <w:tab w:val="num" w:pos="709"/>
        </w:tabs>
        <w:spacing w:line="360" w:lineRule="auto"/>
        <w:ind w:left="720"/>
        <w:jc w:val="both"/>
      </w:pPr>
      <w:r w:rsidRPr="00F376D8">
        <w:lastRenderedPageBreak/>
        <w:t xml:space="preserve">Paragraph 50 requires that a wide choice of high quality homes should be made, across all tenures in order that opportunities for home ownership and the creation of sustainable inclusive and mixed communities is delivered.  The scheme </w:t>
      </w:r>
      <w:r w:rsidR="00740F74" w:rsidRPr="00F376D8">
        <w:t>does this</w:t>
      </w:r>
      <w:r w:rsidR="005D2931" w:rsidRPr="00F376D8">
        <w:t xml:space="preserve"> in its provision </w:t>
      </w:r>
      <w:r w:rsidR="00850A7C">
        <w:t xml:space="preserve">for a well-designed </w:t>
      </w:r>
      <w:r w:rsidR="005D2931" w:rsidRPr="00F376D8">
        <w:t>family use</w:t>
      </w:r>
      <w:r w:rsidR="00850A7C">
        <w:t xml:space="preserve"> property in the village</w:t>
      </w:r>
      <w:r w:rsidR="00740F74" w:rsidRPr="00F376D8">
        <w:t>.</w:t>
      </w:r>
    </w:p>
    <w:p w14:paraId="692BDAE4" w14:textId="77777777" w:rsidR="00850A7C" w:rsidRDefault="00850A7C" w:rsidP="002D6740">
      <w:pPr>
        <w:pStyle w:val="ListParagraph"/>
        <w:spacing w:line="360" w:lineRule="auto"/>
      </w:pPr>
    </w:p>
    <w:p w14:paraId="537B8C43" w14:textId="77777777" w:rsidR="00850A7C" w:rsidRDefault="00740F74" w:rsidP="002D6740">
      <w:pPr>
        <w:numPr>
          <w:ilvl w:val="1"/>
          <w:numId w:val="1"/>
        </w:numPr>
        <w:tabs>
          <w:tab w:val="clear" w:pos="1440"/>
          <w:tab w:val="num" w:pos="709"/>
        </w:tabs>
        <w:spacing w:line="360" w:lineRule="auto"/>
        <w:ind w:left="720"/>
        <w:jc w:val="both"/>
      </w:pPr>
      <w:r w:rsidRPr="00F376D8">
        <w:t>Paragraph 55 recognises that to promote sustainable development in rural areas, like</w:t>
      </w:r>
      <w:r w:rsidR="00850A7C">
        <w:t xml:space="preserve"> Wendlebury</w:t>
      </w:r>
      <w:r w:rsidRPr="00F376D8">
        <w:t xml:space="preserve">, housing should be located where it will enhance or maintain the vitality of rural communities.  The delivery of </w:t>
      </w:r>
      <w:r w:rsidR="00850A7C">
        <w:t xml:space="preserve">a </w:t>
      </w:r>
      <w:r w:rsidRPr="00F376D8">
        <w:t>new housing</w:t>
      </w:r>
      <w:r w:rsidR="00850A7C">
        <w:t xml:space="preserve"> unit</w:t>
      </w:r>
      <w:r w:rsidRPr="00F376D8">
        <w:t xml:space="preserve"> into this village</w:t>
      </w:r>
      <w:r w:rsidR="00850A7C">
        <w:t xml:space="preserve"> </w:t>
      </w:r>
      <w:r w:rsidRPr="00F376D8">
        <w:t>does just this</w:t>
      </w:r>
      <w:r w:rsidR="005D2931" w:rsidRPr="00F376D8">
        <w:t xml:space="preserve"> by providing </w:t>
      </w:r>
      <w:r w:rsidR="00850A7C">
        <w:t>a home</w:t>
      </w:r>
      <w:r w:rsidR="005D2931" w:rsidRPr="00F376D8">
        <w:t xml:space="preserve"> for </w:t>
      </w:r>
      <w:r w:rsidR="00850A7C">
        <w:t xml:space="preserve">a </w:t>
      </w:r>
      <w:r w:rsidR="005D2931" w:rsidRPr="00F376D8">
        <w:t>new famil</w:t>
      </w:r>
      <w:r w:rsidR="00850A7C">
        <w:t>y</w:t>
      </w:r>
      <w:r w:rsidR="005D2931" w:rsidRPr="00F376D8">
        <w:t>,</w:t>
      </w:r>
      <w:r w:rsidR="000D5748" w:rsidRPr="00F376D8">
        <w:t xml:space="preserve"> </w:t>
      </w:r>
      <w:r w:rsidR="005D2931" w:rsidRPr="00F376D8">
        <w:t>the occupants of which will come to make more use of the village’s services and facilities and better sustain them therefore for the future</w:t>
      </w:r>
      <w:r w:rsidRPr="00F376D8">
        <w:t>.</w:t>
      </w:r>
    </w:p>
    <w:p w14:paraId="0D6E83D6" w14:textId="77777777" w:rsidR="00850A7C" w:rsidRDefault="00850A7C" w:rsidP="002D6740">
      <w:pPr>
        <w:pStyle w:val="ListParagraph"/>
        <w:spacing w:line="360" w:lineRule="auto"/>
      </w:pPr>
    </w:p>
    <w:p w14:paraId="01829177" w14:textId="77777777" w:rsidR="00850A7C" w:rsidRDefault="009750BD" w:rsidP="002D6740">
      <w:pPr>
        <w:numPr>
          <w:ilvl w:val="1"/>
          <w:numId w:val="1"/>
        </w:numPr>
        <w:tabs>
          <w:tab w:val="clear" w:pos="1440"/>
          <w:tab w:val="num" w:pos="709"/>
        </w:tabs>
        <w:spacing w:line="360" w:lineRule="auto"/>
        <w:ind w:left="720"/>
        <w:jc w:val="both"/>
      </w:pPr>
      <w:r w:rsidRPr="00F376D8">
        <w:t xml:space="preserve">Paragraph 56 of the NPPF provides: </w:t>
      </w:r>
      <w:r w:rsidR="00002626" w:rsidRPr="00F376D8">
        <w:t xml:space="preserve">“The Government attaches great importance to the design of the built environment” and considers that “good design is a key aspect of sustainable development” and is “indivisible from good planning and should contribute positively to making places better for people”.  The </w:t>
      </w:r>
      <w:r w:rsidR="000D5748" w:rsidRPr="00F376D8">
        <w:t xml:space="preserve">proposal </w:t>
      </w:r>
      <w:r w:rsidR="00850A7C">
        <w:t xml:space="preserve">in this case is carefully designed and </w:t>
      </w:r>
      <w:r w:rsidR="00002626" w:rsidRPr="00F376D8">
        <w:t xml:space="preserve">produced in such a fashion so as to fit comfortably, and indeed positively with its local context and surroundings.  It </w:t>
      </w:r>
      <w:r w:rsidR="00740F74" w:rsidRPr="00F376D8">
        <w:t>would make</w:t>
      </w:r>
      <w:r w:rsidR="00002626" w:rsidRPr="00F376D8">
        <w:t xml:space="preserve"> for an appropriate design solution to the site and </w:t>
      </w:r>
      <w:r w:rsidR="0085570C" w:rsidRPr="00F376D8">
        <w:t>it’s</w:t>
      </w:r>
      <w:r w:rsidR="00002626" w:rsidRPr="00F376D8">
        <w:t xml:space="preserve"> identified local context.</w:t>
      </w:r>
      <w:r w:rsidRPr="00F376D8">
        <w:t xml:space="preserve"> </w:t>
      </w:r>
    </w:p>
    <w:p w14:paraId="4122B0E0" w14:textId="77777777" w:rsidR="00850A7C" w:rsidRDefault="00850A7C" w:rsidP="002D6740">
      <w:pPr>
        <w:pStyle w:val="ListParagraph"/>
        <w:spacing w:line="360" w:lineRule="auto"/>
      </w:pPr>
    </w:p>
    <w:p w14:paraId="19E5ED55" w14:textId="0913369C" w:rsidR="00002626" w:rsidRPr="00F376D8" w:rsidRDefault="00002626" w:rsidP="002D6740">
      <w:pPr>
        <w:numPr>
          <w:ilvl w:val="1"/>
          <w:numId w:val="1"/>
        </w:numPr>
        <w:tabs>
          <w:tab w:val="clear" w:pos="1440"/>
          <w:tab w:val="num" w:pos="709"/>
        </w:tabs>
        <w:spacing w:line="360" w:lineRule="auto"/>
        <w:ind w:left="720"/>
        <w:jc w:val="both"/>
      </w:pPr>
      <w:r w:rsidRPr="00F376D8">
        <w:t>The NPPF requires that planning decisions should aim to ensure new developments deliver high quality schemes, judged across a range of fronts (paragraph 58):</w:t>
      </w:r>
    </w:p>
    <w:p w14:paraId="6227EB7E" w14:textId="77777777" w:rsidR="00C063A1" w:rsidRPr="00F376D8" w:rsidRDefault="00C063A1" w:rsidP="002D6740">
      <w:pPr>
        <w:pStyle w:val="ListParagraph"/>
        <w:spacing w:line="360" w:lineRule="auto"/>
      </w:pPr>
    </w:p>
    <w:p w14:paraId="24CEA12F" w14:textId="77777777" w:rsidR="00002626" w:rsidRPr="00F376D8" w:rsidRDefault="00002626" w:rsidP="002D6740">
      <w:pPr>
        <w:numPr>
          <w:ilvl w:val="0"/>
          <w:numId w:val="8"/>
        </w:numPr>
        <w:tabs>
          <w:tab w:val="clear" w:pos="720"/>
          <w:tab w:val="num" w:pos="1276"/>
        </w:tabs>
        <w:spacing w:line="360" w:lineRule="auto"/>
        <w:ind w:left="1276" w:hanging="556"/>
        <w:jc w:val="both"/>
      </w:pPr>
      <w:r w:rsidRPr="00F376D8">
        <w:t>Will function well and add to the overall quality of the area, not just for the short term but over the lifetime of the development;</w:t>
      </w:r>
    </w:p>
    <w:p w14:paraId="260A509B" w14:textId="77777777" w:rsidR="00002626" w:rsidRPr="00F376D8" w:rsidRDefault="00002626" w:rsidP="002D6740">
      <w:pPr>
        <w:tabs>
          <w:tab w:val="num" w:pos="1276"/>
        </w:tabs>
        <w:spacing w:line="360" w:lineRule="auto"/>
        <w:ind w:left="1276" w:hanging="556"/>
        <w:jc w:val="both"/>
      </w:pPr>
    </w:p>
    <w:p w14:paraId="74C31D8D" w14:textId="77777777" w:rsidR="00002626" w:rsidRPr="00F376D8" w:rsidRDefault="00002626" w:rsidP="002D6740">
      <w:pPr>
        <w:numPr>
          <w:ilvl w:val="0"/>
          <w:numId w:val="8"/>
        </w:numPr>
        <w:tabs>
          <w:tab w:val="clear" w:pos="720"/>
          <w:tab w:val="num" w:pos="1276"/>
        </w:tabs>
        <w:spacing w:line="360" w:lineRule="auto"/>
        <w:ind w:left="1276" w:hanging="556"/>
        <w:jc w:val="both"/>
      </w:pPr>
      <w:r w:rsidRPr="00F376D8">
        <w:t>Establish a strong sense of place, using streetscapes and buildings to create attractive and comfortable places to live, work and visit;</w:t>
      </w:r>
    </w:p>
    <w:p w14:paraId="7C51A2DB" w14:textId="77777777" w:rsidR="00002626" w:rsidRPr="00F376D8" w:rsidRDefault="00002626" w:rsidP="002D6740">
      <w:pPr>
        <w:tabs>
          <w:tab w:val="num" w:pos="1276"/>
        </w:tabs>
        <w:spacing w:line="360" w:lineRule="auto"/>
        <w:ind w:left="1276" w:hanging="556"/>
        <w:jc w:val="both"/>
      </w:pPr>
    </w:p>
    <w:p w14:paraId="62E1967B" w14:textId="77777777" w:rsidR="00002626" w:rsidRPr="00F376D8" w:rsidRDefault="00002626" w:rsidP="002D6740">
      <w:pPr>
        <w:numPr>
          <w:ilvl w:val="0"/>
          <w:numId w:val="8"/>
        </w:numPr>
        <w:tabs>
          <w:tab w:val="clear" w:pos="720"/>
          <w:tab w:val="num" w:pos="1276"/>
        </w:tabs>
        <w:spacing w:line="360" w:lineRule="auto"/>
        <w:ind w:left="1276" w:hanging="556"/>
        <w:jc w:val="both"/>
      </w:pPr>
      <w:r w:rsidRPr="00F376D8">
        <w:t>Optimise the potential of the site to accommodate development;</w:t>
      </w:r>
    </w:p>
    <w:p w14:paraId="0356CE52" w14:textId="77777777" w:rsidR="00002626" w:rsidRPr="00F376D8" w:rsidRDefault="00002626" w:rsidP="002D6740">
      <w:pPr>
        <w:tabs>
          <w:tab w:val="num" w:pos="1276"/>
        </w:tabs>
        <w:spacing w:line="360" w:lineRule="auto"/>
        <w:ind w:left="1276" w:hanging="556"/>
        <w:jc w:val="both"/>
      </w:pPr>
    </w:p>
    <w:p w14:paraId="3435C6E7" w14:textId="77777777" w:rsidR="00002626" w:rsidRPr="00F376D8" w:rsidRDefault="00002626" w:rsidP="002D6740">
      <w:pPr>
        <w:numPr>
          <w:ilvl w:val="0"/>
          <w:numId w:val="8"/>
        </w:numPr>
        <w:tabs>
          <w:tab w:val="clear" w:pos="720"/>
          <w:tab w:val="num" w:pos="1276"/>
        </w:tabs>
        <w:spacing w:line="360" w:lineRule="auto"/>
        <w:ind w:left="1276" w:hanging="556"/>
        <w:jc w:val="both"/>
      </w:pPr>
      <w:r w:rsidRPr="00F376D8">
        <w:lastRenderedPageBreak/>
        <w:t>Respond to local character and history, and reflect the identity of local surroundings and materials, while not preventing or discouraging appropriate innovation;</w:t>
      </w:r>
    </w:p>
    <w:p w14:paraId="0E1C5EB8" w14:textId="77777777" w:rsidR="00002626" w:rsidRPr="00F376D8" w:rsidRDefault="00002626" w:rsidP="002D6740">
      <w:pPr>
        <w:pStyle w:val="ListParagraph"/>
        <w:tabs>
          <w:tab w:val="num" w:pos="1276"/>
        </w:tabs>
        <w:spacing w:line="360" w:lineRule="auto"/>
        <w:ind w:left="1276" w:hanging="556"/>
        <w:jc w:val="both"/>
      </w:pPr>
    </w:p>
    <w:p w14:paraId="716A614D" w14:textId="77777777" w:rsidR="00002626" w:rsidRPr="00F376D8" w:rsidRDefault="00002626" w:rsidP="002D6740">
      <w:pPr>
        <w:numPr>
          <w:ilvl w:val="0"/>
          <w:numId w:val="8"/>
        </w:numPr>
        <w:tabs>
          <w:tab w:val="clear" w:pos="720"/>
          <w:tab w:val="num" w:pos="1276"/>
        </w:tabs>
        <w:spacing w:line="360" w:lineRule="auto"/>
        <w:ind w:left="1276" w:hanging="556"/>
        <w:jc w:val="both"/>
      </w:pPr>
      <w:r w:rsidRPr="00F376D8">
        <w:t>Create safe and accessible environments where crime and disorder, and the fear of crime, do not undermine quality or life or community cohesion;</w:t>
      </w:r>
    </w:p>
    <w:p w14:paraId="1923CA79" w14:textId="77777777" w:rsidR="00002626" w:rsidRPr="00F376D8" w:rsidRDefault="00002626" w:rsidP="002D6740">
      <w:pPr>
        <w:tabs>
          <w:tab w:val="num" w:pos="1276"/>
        </w:tabs>
        <w:spacing w:line="360" w:lineRule="auto"/>
        <w:ind w:left="1276" w:hanging="556"/>
        <w:jc w:val="both"/>
      </w:pPr>
    </w:p>
    <w:p w14:paraId="0D1B5568" w14:textId="77777777" w:rsidR="00002626" w:rsidRPr="00F376D8" w:rsidRDefault="00002626" w:rsidP="002D6740">
      <w:pPr>
        <w:numPr>
          <w:ilvl w:val="0"/>
          <w:numId w:val="8"/>
        </w:numPr>
        <w:tabs>
          <w:tab w:val="clear" w:pos="720"/>
          <w:tab w:val="num" w:pos="1276"/>
        </w:tabs>
        <w:spacing w:line="360" w:lineRule="auto"/>
        <w:ind w:left="1276" w:hanging="556"/>
        <w:jc w:val="both"/>
      </w:pPr>
      <w:r w:rsidRPr="00F376D8">
        <w:t>Are visually attractive as a result of good architecture and appropriate landscaping.</w:t>
      </w:r>
    </w:p>
    <w:p w14:paraId="7B8C63C2" w14:textId="77777777" w:rsidR="000D5748" w:rsidRPr="00F376D8" w:rsidRDefault="000D5748" w:rsidP="002D6740">
      <w:pPr>
        <w:spacing w:line="360" w:lineRule="auto"/>
        <w:ind w:left="720"/>
        <w:jc w:val="both"/>
      </w:pPr>
    </w:p>
    <w:p w14:paraId="0CF67A4B" w14:textId="381F0FFB" w:rsidR="00002626" w:rsidRPr="00F376D8" w:rsidRDefault="00002626" w:rsidP="002D6740">
      <w:pPr>
        <w:spacing w:line="360" w:lineRule="auto"/>
        <w:ind w:left="720"/>
        <w:jc w:val="both"/>
      </w:pPr>
      <w:r w:rsidRPr="00F376D8">
        <w:t>The scheme is carefully designed</w:t>
      </w:r>
      <w:r w:rsidR="00740F74" w:rsidRPr="00F376D8">
        <w:t xml:space="preserve"> in its overall concept</w:t>
      </w:r>
      <w:r w:rsidRPr="00F376D8">
        <w:t xml:space="preserve"> to accord with all of these aims.</w:t>
      </w:r>
    </w:p>
    <w:p w14:paraId="66BE59F3" w14:textId="77777777" w:rsidR="00002626" w:rsidRPr="00F376D8" w:rsidRDefault="00002626" w:rsidP="002D6740">
      <w:pPr>
        <w:spacing w:line="360" w:lineRule="auto"/>
        <w:ind w:left="709"/>
        <w:jc w:val="both"/>
      </w:pPr>
    </w:p>
    <w:p w14:paraId="2F8D9CCA" w14:textId="179A49D2" w:rsidR="00002626" w:rsidRPr="00F376D8" w:rsidRDefault="00850A7C" w:rsidP="002D6740">
      <w:pPr>
        <w:pStyle w:val="ListParagraph"/>
        <w:numPr>
          <w:ilvl w:val="1"/>
          <w:numId w:val="1"/>
        </w:numPr>
        <w:tabs>
          <w:tab w:val="clear" w:pos="1440"/>
          <w:tab w:val="num" w:pos="720"/>
        </w:tabs>
        <w:spacing w:line="360" w:lineRule="auto"/>
        <w:ind w:left="720"/>
        <w:jc w:val="both"/>
      </w:pPr>
      <w:r>
        <w:t>Paragraphs 99 and 100 of the NPPF require all new development to meet the challenges of potential flooding issues.  The JBA Consulting FRA report has assessed the proposal in these terms and firmly concludes that the development poses no flood risk issues.</w:t>
      </w:r>
    </w:p>
    <w:p w14:paraId="66C4BF3B" w14:textId="77777777" w:rsidR="00002626" w:rsidRPr="00F376D8" w:rsidRDefault="00002626" w:rsidP="002D6740">
      <w:pPr>
        <w:spacing w:line="360" w:lineRule="auto"/>
        <w:ind w:left="709"/>
        <w:jc w:val="both"/>
      </w:pPr>
    </w:p>
    <w:p w14:paraId="33129B46" w14:textId="2E730FE8" w:rsidR="00002626" w:rsidRPr="00F376D8" w:rsidRDefault="00002626" w:rsidP="002D6740">
      <w:pPr>
        <w:tabs>
          <w:tab w:val="num" w:pos="709"/>
        </w:tabs>
        <w:spacing w:line="360" w:lineRule="auto"/>
        <w:ind w:left="709"/>
        <w:jc w:val="both"/>
        <w:rPr>
          <w:b/>
        </w:rPr>
      </w:pPr>
      <w:r w:rsidRPr="00F376D8">
        <w:rPr>
          <w:b/>
        </w:rPr>
        <w:t>Local Planning Policies</w:t>
      </w:r>
    </w:p>
    <w:p w14:paraId="6BDB8C31" w14:textId="77777777" w:rsidR="00002626" w:rsidRPr="00F376D8" w:rsidRDefault="00002626" w:rsidP="002D6740">
      <w:pPr>
        <w:pStyle w:val="ListParagraph"/>
        <w:spacing w:line="360" w:lineRule="auto"/>
      </w:pPr>
    </w:p>
    <w:p w14:paraId="609E23BE" w14:textId="4D4A1B38" w:rsidR="00002626" w:rsidRPr="00F376D8" w:rsidRDefault="001B0146" w:rsidP="002D6740">
      <w:pPr>
        <w:numPr>
          <w:ilvl w:val="1"/>
          <w:numId w:val="1"/>
        </w:numPr>
        <w:spacing w:line="360" w:lineRule="auto"/>
        <w:ind w:left="709" w:hanging="709"/>
        <w:jc w:val="both"/>
      </w:pPr>
      <w:r w:rsidRPr="00F376D8">
        <w:t xml:space="preserve">The </w:t>
      </w:r>
      <w:r w:rsidR="000D5748" w:rsidRPr="00F376D8">
        <w:t>relevant policies from the CLP2031 and CLP1996 are deemed to be those listed below, each with a brief commentary as relevant</w:t>
      </w:r>
      <w:r w:rsidRPr="00F376D8">
        <w:t>:</w:t>
      </w:r>
    </w:p>
    <w:p w14:paraId="2448884C" w14:textId="77777777" w:rsidR="000D5748" w:rsidRPr="00F376D8" w:rsidRDefault="000D5748" w:rsidP="002D6740">
      <w:pPr>
        <w:spacing w:line="360" w:lineRule="auto"/>
        <w:ind w:left="709"/>
        <w:jc w:val="both"/>
      </w:pPr>
    </w:p>
    <w:p w14:paraId="0DA19E69" w14:textId="0C46CA9C" w:rsidR="000D5748" w:rsidRPr="00F376D8" w:rsidRDefault="000D5748" w:rsidP="002D6740">
      <w:pPr>
        <w:spacing w:line="360" w:lineRule="auto"/>
        <w:ind w:left="709"/>
        <w:jc w:val="both"/>
      </w:pPr>
      <w:r w:rsidRPr="00F376D8">
        <w:rPr>
          <w:b/>
        </w:rPr>
        <w:t>CLP2031</w:t>
      </w:r>
    </w:p>
    <w:p w14:paraId="12D77973" w14:textId="77777777" w:rsidR="000D5748" w:rsidRPr="00F376D8" w:rsidRDefault="000D5748" w:rsidP="002D6740">
      <w:pPr>
        <w:spacing w:line="360" w:lineRule="auto"/>
        <w:ind w:left="709"/>
        <w:jc w:val="both"/>
      </w:pPr>
    </w:p>
    <w:p w14:paraId="2F0314FA" w14:textId="6B588B85" w:rsidR="000D5748" w:rsidRPr="00F376D8" w:rsidRDefault="000D5748" w:rsidP="002D6740">
      <w:pPr>
        <w:numPr>
          <w:ilvl w:val="1"/>
          <w:numId w:val="1"/>
        </w:numPr>
        <w:spacing w:line="360" w:lineRule="auto"/>
        <w:ind w:left="709" w:hanging="709"/>
        <w:jc w:val="both"/>
      </w:pPr>
      <w:r w:rsidRPr="00F376D8">
        <w:rPr>
          <w:rFonts w:eastAsia="Arial" w:cs="Arial"/>
        </w:rPr>
        <w:t>Policy PSD 1 sets out a Presumption in Favour of Sustainable Development.  As such Planning Applications that accord with the policies in the Local Plan will be approved without delay unless material considerations indicated otherwise.</w:t>
      </w:r>
      <w:r w:rsidR="00850A7C">
        <w:rPr>
          <w:rFonts w:eastAsia="Arial" w:cs="Arial"/>
        </w:rPr>
        <w:t xml:space="preserve">  It has already been stated above that the proposal represents a defined form of sustainable development and so should be readily supported without delay.</w:t>
      </w:r>
    </w:p>
    <w:p w14:paraId="49505FBC" w14:textId="77777777" w:rsidR="000D5748" w:rsidRPr="00F376D8" w:rsidRDefault="000D5748" w:rsidP="002D6740">
      <w:pPr>
        <w:spacing w:line="360" w:lineRule="auto"/>
        <w:ind w:left="709"/>
        <w:jc w:val="both"/>
      </w:pPr>
    </w:p>
    <w:p w14:paraId="5BB605D6" w14:textId="3F4E6E67" w:rsidR="000D5748" w:rsidRPr="00F376D8" w:rsidRDefault="000D5748" w:rsidP="002D6740">
      <w:pPr>
        <w:numPr>
          <w:ilvl w:val="1"/>
          <w:numId w:val="1"/>
        </w:numPr>
        <w:spacing w:line="360" w:lineRule="auto"/>
        <w:ind w:left="709" w:hanging="709"/>
        <w:jc w:val="both"/>
      </w:pPr>
      <w:r w:rsidRPr="00F376D8">
        <w:t>Policy BSC1 sets out the District Wide Housing Distribution which identifies that in the rest of the District outside of Bicester and Banbury the plan envisages the delivery of 5,392 of the 22,840 dwellings required between 2011 and 2031.  Th</w:t>
      </w:r>
      <w:r w:rsidR="00850A7C">
        <w:t xml:space="preserve">is </w:t>
      </w:r>
      <w:r w:rsidRPr="00F376D8">
        <w:t xml:space="preserve">is a windfall </w:t>
      </w:r>
      <w:r w:rsidR="00850A7C">
        <w:t>site opportunity that would contribute to that allowance.</w:t>
      </w:r>
    </w:p>
    <w:p w14:paraId="3EEE2B67" w14:textId="3C19CF7A" w:rsidR="00850A7C" w:rsidRDefault="004E3C77" w:rsidP="002D6740">
      <w:pPr>
        <w:numPr>
          <w:ilvl w:val="1"/>
          <w:numId w:val="1"/>
        </w:numPr>
        <w:spacing w:line="360" w:lineRule="auto"/>
        <w:ind w:left="709" w:hanging="709"/>
        <w:jc w:val="both"/>
      </w:pPr>
      <w:r>
        <w:lastRenderedPageBreak/>
        <w:t>Policy ESD6 requires site specific flood risk assessments to accompany new development proposals in Flood Zone areas 2</w:t>
      </w:r>
      <w:r w:rsidR="00380499">
        <w:t xml:space="preserve"> </w:t>
      </w:r>
      <w:r>
        <w:t>and 3.The application site is located within such an area and is accompanied by a full FRA.  The FRA demonstrates that the proposal presents no flood risk issues.</w:t>
      </w:r>
    </w:p>
    <w:p w14:paraId="757A8B96" w14:textId="77777777" w:rsidR="004E3C77" w:rsidRPr="00850A7C" w:rsidRDefault="004E3C77" w:rsidP="002D6740">
      <w:pPr>
        <w:spacing w:line="360" w:lineRule="auto"/>
        <w:ind w:left="709"/>
        <w:jc w:val="both"/>
      </w:pPr>
    </w:p>
    <w:p w14:paraId="3C688CD8" w14:textId="29FB83DD" w:rsidR="00B25354" w:rsidRPr="00F376D8" w:rsidRDefault="00B25354" w:rsidP="002D6740">
      <w:pPr>
        <w:numPr>
          <w:ilvl w:val="1"/>
          <w:numId w:val="1"/>
        </w:numPr>
        <w:spacing w:line="360" w:lineRule="auto"/>
        <w:ind w:left="709" w:hanging="709"/>
        <w:jc w:val="both"/>
      </w:pPr>
      <w:r w:rsidRPr="00F376D8">
        <w:rPr>
          <w:rFonts w:eastAsia="Arial" w:cs="Arial"/>
        </w:rPr>
        <w:t>Policy ESD15 discusses the Character of the Built and Historic Environment and recognises that successful design is founded upon an understanding and respect for an area’s unique built, natural and cultural context.  New development will be expected to complement and enhance the character of its context through sensitive siting, layout and high quality design.  New development proposals should (amongst others):</w:t>
      </w:r>
    </w:p>
    <w:p w14:paraId="6137E7B6" w14:textId="77777777" w:rsidR="00B25354" w:rsidRPr="00F376D8" w:rsidRDefault="00B25354" w:rsidP="002D6740">
      <w:pPr>
        <w:pStyle w:val="ListParagraph"/>
        <w:spacing w:line="360" w:lineRule="auto"/>
      </w:pPr>
    </w:p>
    <w:p w14:paraId="64606EF5" w14:textId="201D98D9" w:rsidR="00B25354" w:rsidRPr="00F376D8" w:rsidRDefault="00B25354" w:rsidP="002D6740">
      <w:pPr>
        <w:pStyle w:val="ListParagraph"/>
        <w:numPr>
          <w:ilvl w:val="1"/>
          <w:numId w:val="22"/>
        </w:numPr>
        <w:tabs>
          <w:tab w:val="left" w:pos="1276"/>
        </w:tabs>
        <w:spacing w:line="360" w:lineRule="auto"/>
        <w:ind w:left="1276" w:right="58" w:hanging="567"/>
        <w:jc w:val="both"/>
        <w:rPr>
          <w:rFonts w:eastAsia="Arial" w:cs="Arial"/>
        </w:rPr>
      </w:pPr>
      <w:r w:rsidRPr="00F376D8">
        <w:rPr>
          <w:rFonts w:eastAsia="Arial" w:cs="Arial"/>
        </w:rPr>
        <w:t>Contribute positively to an area’s character and identify by creating or reinforcing local distinctiveness and respecting local topography and landscape features.</w:t>
      </w:r>
    </w:p>
    <w:p w14:paraId="5DE086FA" w14:textId="77777777" w:rsidR="00B25354" w:rsidRPr="00F376D8" w:rsidRDefault="00B25354" w:rsidP="002D6740">
      <w:pPr>
        <w:pStyle w:val="ListParagraph"/>
        <w:tabs>
          <w:tab w:val="left" w:pos="1276"/>
        </w:tabs>
        <w:spacing w:line="360" w:lineRule="auto"/>
        <w:ind w:left="1276" w:right="58"/>
        <w:jc w:val="both"/>
        <w:rPr>
          <w:rFonts w:eastAsia="Arial" w:cs="Arial"/>
        </w:rPr>
      </w:pPr>
    </w:p>
    <w:p w14:paraId="628D9F1E" w14:textId="66846B10" w:rsidR="00B25354" w:rsidRPr="00F376D8" w:rsidRDefault="00B25354" w:rsidP="002D6740">
      <w:pPr>
        <w:pStyle w:val="ListParagraph"/>
        <w:numPr>
          <w:ilvl w:val="1"/>
          <w:numId w:val="22"/>
        </w:numPr>
        <w:tabs>
          <w:tab w:val="left" w:pos="1276"/>
        </w:tabs>
        <w:spacing w:line="360" w:lineRule="auto"/>
        <w:ind w:left="1276" w:right="57" w:hanging="567"/>
        <w:jc w:val="both"/>
        <w:rPr>
          <w:rFonts w:eastAsia="Arial" w:cs="Arial"/>
        </w:rPr>
      </w:pPr>
      <w:r w:rsidRPr="00F376D8">
        <w:rPr>
          <w:rFonts w:eastAsia="Arial" w:cs="Arial"/>
        </w:rPr>
        <w:t>Conserve, sustain and enhance designated and non-designated ‘heritage assets’ including buildings, features, archaeology, conservation areas and their settings and ensure new development is sensitively sited and integrated in accordance with advice in the NPPF and NPPG.</w:t>
      </w:r>
    </w:p>
    <w:p w14:paraId="4EAF3CE6" w14:textId="77777777" w:rsidR="00B25354" w:rsidRPr="00F376D8" w:rsidRDefault="00B25354" w:rsidP="002D6740">
      <w:pPr>
        <w:pStyle w:val="ListParagraph"/>
        <w:spacing w:line="360" w:lineRule="auto"/>
        <w:rPr>
          <w:rFonts w:eastAsia="Arial" w:cs="Arial"/>
        </w:rPr>
      </w:pPr>
    </w:p>
    <w:p w14:paraId="6E1E343D" w14:textId="30FE9126" w:rsidR="00B25354" w:rsidRPr="00F376D8" w:rsidRDefault="00B25354" w:rsidP="002D6740">
      <w:pPr>
        <w:pStyle w:val="ListParagraph"/>
        <w:numPr>
          <w:ilvl w:val="1"/>
          <w:numId w:val="22"/>
        </w:numPr>
        <w:tabs>
          <w:tab w:val="left" w:pos="1276"/>
        </w:tabs>
        <w:spacing w:line="360" w:lineRule="auto"/>
        <w:ind w:left="1276" w:right="58" w:hanging="567"/>
        <w:jc w:val="both"/>
        <w:rPr>
          <w:rFonts w:eastAsia="Arial" w:cs="Arial"/>
        </w:rPr>
      </w:pPr>
      <w:r w:rsidRPr="00F376D8">
        <w:rPr>
          <w:rFonts w:eastAsia="Arial" w:cs="Arial"/>
        </w:rPr>
        <w:t>Respect the traditional pattern of routes, spaces, blocks, plots, enclosures and the form, scale and massing of buildings.  Development should be designed to integrate with existing streets and public spaces and buildings configured to create clearly defined active public frontages.</w:t>
      </w:r>
    </w:p>
    <w:p w14:paraId="6F8D9095" w14:textId="77777777" w:rsidR="00B25354" w:rsidRPr="00F376D8" w:rsidRDefault="00B25354" w:rsidP="002D6740">
      <w:pPr>
        <w:pStyle w:val="ListParagraph"/>
        <w:tabs>
          <w:tab w:val="left" w:pos="1276"/>
        </w:tabs>
        <w:spacing w:line="360" w:lineRule="auto"/>
        <w:ind w:left="1276"/>
        <w:jc w:val="both"/>
      </w:pPr>
    </w:p>
    <w:p w14:paraId="0B1C8C1D" w14:textId="24F085FD" w:rsidR="00B25354" w:rsidRPr="004E3C77" w:rsidRDefault="00B25354" w:rsidP="002D6740">
      <w:pPr>
        <w:pStyle w:val="ListParagraph"/>
        <w:numPr>
          <w:ilvl w:val="1"/>
          <w:numId w:val="22"/>
        </w:numPr>
        <w:tabs>
          <w:tab w:val="left" w:pos="1276"/>
        </w:tabs>
        <w:spacing w:line="360" w:lineRule="auto"/>
        <w:ind w:left="1276" w:hanging="567"/>
        <w:jc w:val="both"/>
      </w:pPr>
      <w:r w:rsidRPr="00F376D8">
        <w:rPr>
          <w:rFonts w:eastAsia="Arial" w:cs="Arial"/>
        </w:rPr>
        <w:t>Consider the amenity of both existing and future development, including matters of privacy, outlook, natural lighting, ventilation and indoor and outdoor space.</w:t>
      </w:r>
    </w:p>
    <w:p w14:paraId="0F6E0B1E" w14:textId="77777777" w:rsidR="004E3C77" w:rsidRDefault="004E3C77" w:rsidP="002D6740">
      <w:pPr>
        <w:pStyle w:val="ListParagraph"/>
        <w:spacing w:line="360" w:lineRule="auto"/>
      </w:pPr>
    </w:p>
    <w:p w14:paraId="2744A4AB" w14:textId="45393E15" w:rsidR="004E3C77" w:rsidRPr="00F376D8" w:rsidRDefault="004E3C77" w:rsidP="002D6740">
      <w:pPr>
        <w:tabs>
          <w:tab w:val="left" w:pos="720"/>
        </w:tabs>
        <w:spacing w:line="360" w:lineRule="auto"/>
        <w:ind w:left="709"/>
        <w:jc w:val="both"/>
      </w:pPr>
      <w:r>
        <w:tab/>
        <w:t xml:space="preserve">The careful and considered site layout and overall </w:t>
      </w:r>
      <w:r w:rsidR="00380499">
        <w:t xml:space="preserve">proportionate </w:t>
      </w:r>
      <w:r>
        <w:t>design form of the proposal, satisfies all of these considerations.</w:t>
      </w:r>
    </w:p>
    <w:p w14:paraId="7F701D2F" w14:textId="77777777" w:rsidR="00B25354" w:rsidRPr="00F376D8" w:rsidRDefault="00B25354" w:rsidP="002D6740">
      <w:pPr>
        <w:pStyle w:val="ListParagraph"/>
        <w:spacing w:line="360" w:lineRule="auto"/>
      </w:pPr>
    </w:p>
    <w:p w14:paraId="522C930E" w14:textId="2636BCDE" w:rsidR="00B25354" w:rsidRPr="00F376D8" w:rsidRDefault="00B25354" w:rsidP="002D6740">
      <w:pPr>
        <w:numPr>
          <w:ilvl w:val="1"/>
          <w:numId w:val="1"/>
        </w:numPr>
        <w:spacing w:line="360" w:lineRule="auto"/>
        <w:ind w:left="709" w:hanging="709"/>
        <w:jc w:val="both"/>
      </w:pPr>
      <w:r w:rsidRPr="00380499">
        <w:rPr>
          <w:rFonts w:eastAsia="Arial" w:cs="Arial"/>
        </w:rPr>
        <w:t xml:space="preserve">Policy   Villages   1   provides   a   categorisation   of   villages   to   guide   the consideration of small-scale proposals for residential development. </w:t>
      </w:r>
      <w:r w:rsidR="00380499">
        <w:rPr>
          <w:rFonts w:eastAsia="Arial" w:cs="Arial"/>
        </w:rPr>
        <w:t xml:space="preserve"> </w:t>
      </w:r>
      <w:r w:rsidR="004E3C77" w:rsidRPr="00380499">
        <w:rPr>
          <w:rFonts w:eastAsia="Arial" w:cs="Arial"/>
        </w:rPr>
        <w:t xml:space="preserve">Wendlebury </w:t>
      </w:r>
      <w:r w:rsidRPr="00380499">
        <w:rPr>
          <w:rFonts w:eastAsia="Arial" w:cs="Arial"/>
        </w:rPr>
        <w:t xml:space="preserve">is categorised in Policy Villages 1 as a Category </w:t>
      </w:r>
      <w:r w:rsidR="004E3C77" w:rsidRPr="00380499">
        <w:rPr>
          <w:rFonts w:eastAsia="Arial" w:cs="Arial"/>
        </w:rPr>
        <w:t>C</w:t>
      </w:r>
      <w:r w:rsidRPr="00380499">
        <w:rPr>
          <w:rFonts w:eastAsia="Arial" w:cs="Arial"/>
        </w:rPr>
        <w:t xml:space="preserve"> ‘</w:t>
      </w:r>
      <w:r w:rsidR="004E3C77" w:rsidRPr="00380499">
        <w:rPr>
          <w:rFonts w:eastAsia="Arial" w:cs="Arial"/>
        </w:rPr>
        <w:t xml:space="preserve">All Other </w:t>
      </w:r>
      <w:r w:rsidRPr="00380499">
        <w:rPr>
          <w:rFonts w:eastAsia="Arial" w:cs="Arial"/>
        </w:rPr>
        <w:lastRenderedPageBreak/>
        <w:t>Village</w:t>
      </w:r>
      <w:r w:rsidR="004E3C77" w:rsidRPr="00380499">
        <w:rPr>
          <w:rFonts w:eastAsia="Arial" w:cs="Arial"/>
        </w:rPr>
        <w:t>s</w:t>
      </w:r>
      <w:r w:rsidRPr="00380499">
        <w:rPr>
          <w:rFonts w:eastAsia="Arial" w:cs="Arial"/>
        </w:rPr>
        <w:t xml:space="preserve">’ </w:t>
      </w:r>
      <w:r w:rsidR="004E3C77" w:rsidRPr="00380499">
        <w:rPr>
          <w:rFonts w:eastAsia="Arial" w:cs="Arial"/>
        </w:rPr>
        <w:t xml:space="preserve">location </w:t>
      </w:r>
      <w:r w:rsidRPr="00380499">
        <w:rPr>
          <w:rFonts w:eastAsia="Arial" w:cs="Arial"/>
        </w:rPr>
        <w:t>and as such is suitable for minor infilling and conversions.</w:t>
      </w:r>
      <w:r w:rsidR="004E3C77" w:rsidRPr="00380499">
        <w:rPr>
          <w:rFonts w:eastAsia="Arial" w:cs="Arial"/>
        </w:rPr>
        <w:t xml:space="preserve">  The proposal is plainly an infill type development and therefore policy compliant here.</w:t>
      </w:r>
    </w:p>
    <w:p w14:paraId="2A68DD88" w14:textId="77777777" w:rsidR="00B25354" w:rsidRPr="00F376D8" w:rsidRDefault="00B25354" w:rsidP="002D6740">
      <w:pPr>
        <w:pStyle w:val="ListParagraph"/>
        <w:spacing w:line="360" w:lineRule="auto"/>
        <w:jc w:val="both"/>
      </w:pPr>
    </w:p>
    <w:p w14:paraId="1A44CE1D" w14:textId="5CA3FCAF" w:rsidR="000B10CA" w:rsidRPr="00F376D8" w:rsidRDefault="000B10CA" w:rsidP="002D6740">
      <w:pPr>
        <w:spacing w:line="360" w:lineRule="auto"/>
        <w:ind w:left="709"/>
        <w:jc w:val="both"/>
      </w:pPr>
      <w:r w:rsidRPr="00F376D8">
        <w:rPr>
          <w:b/>
        </w:rPr>
        <w:t>CLP 1996</w:t>
      </w:r>
    </w:p>
    <w:p w14:paraId="1A21B0B9" w14:textId="77777777" w:rsidR="000B10CA" w:rsidRPr="00F376D8" w:rsidRDefault="000B10CA" w:rsidP="002D6740">
      <w:pPr>
        <w:spacing w:line="360" w:lineRule="auto"/>
        <w:ind w:left="709"/>
        <w:jc w:val="both"/>
      </w:pPr>
    </w:p>
    <w:p w14:paraId="416AA47F" w14:textId="7C307B37" w:rsidR="00B25354" w:rsidRPr="00F376D8" w:rsidRDefault="000B10CA" w:rsidP="002D6740">
      <w:pPr>
        <w:numPr>
          <w:ilvl w:val="1"/>
          <w:numId w:val="1"/>
        </w:numPr>
        <w:spacing w:line="360" w:lineRule="auto"/>
        <w:ind w:left="709" w:hanging="709"/>
        <w:jc w:val="both"/>
      </w:pPr>
      <w:r w:rsidRPr="00F376D8">
        <w:rPr>
          <w:rFonts w:eastAsia="Arial" w:cs="Arial"/>
        </w:rPr>
        <w:t>A large majority of the CLP policies were replaced with adoption of the CLP2031.  A few policies remain relevant to this proposal.</w:t>
      </w:r>
    </w:p>
    <w:p w14:paraId="287211C2" w14:textId="77777777" w:rsidR="000B10CA" w:rsidRPr="00F376D8" w:rsidRDefault="000B10CA" w:rsidP="002D6740">
      <w:pPr>
        <w:spacing w:line="360" w:lineRule="auto"/>
        <w:ind w:left="709"/>
        <w:jc w:val="both"/>
      </w:pPr>
    </w:p>
    <w:p w14:paraId="5F718637" w14:textId="2A5D7F65" w:rsidR="000D5748" w:rsidRPr="00F376D8" w:rsidRDefault="00E45FAB" w:rsidP="002D6740">
      <w:pPr>
        <w:numPr>
          <w:ilvl w:val="1"/>
          <w:numId w:val="1"/>
        </w:numPr>
        <w:spacing w:line="360" w:lineRule="auto"/>
        <w:ind w:left="709" w:hanging="709"/>
        <w:jc w:val="both"/>
      </w:pPr>
      <w:r w:rsidRPr="00F376D8">
        <w:rPr>
          <w:rFonts w:eastAsia="Arial" w:cs="Arial"/>
        </w:rPr>
        <w:t>Policy C28 seeks to control new development to ensure that the standards of layout, design and external appearance, are sympathetic to the character of the urban or rura</w:t>
      </w:r>
      <w:r w:rsidR="004E3C77">
        <w:rPr>
          <w:rFonts w:eastAsia="Arial" w:cs="Arial"/>
        </w:rPr>
        <w:t>l context of that development</w:t>
      </w:r>
      <w:r w:rsidRPr="00F376D8">
        <w:rPr>
          <w:rFonts w:eastAsia="Arial" w:cs="Arial"/>
        </w:rPr>
        <w:t>.</w:t>
      </w:r>
    </w:p>
    <w:p w14:paraId="00DAB142" w14:textId="77777777" w:rsidR="00E45FAB" w:rsidRPr="00F376D8" w:rsidRDefault="00E45FAB" w:rsidP="002D6740">
      <w:pPr>
        <w:pStyle w:val="ListParagraph"/>
        <w:spacing w:line="360" w:lineRule="auto"/>
      </w:pPr>
    </w:p>
    <w:p w14:paraId="668E6C39" w14:textId="08BD1C7F" w:rsidR="00E45FAB" w:rsidRPr="004E3C77" w:rsidRDefault="00E45FAB" w:rsidP="002D6740">
      <w:pPr>
        <w:numPr>
          <w:ilvl w:val="1"/>
          <w:numId w:val="1"/>
        </w:numPr>
        <w:spacing w:line="360" w:lineRule="auto"/>
        <w:ind w:left="709" w:hanging="709"/>
        <w:jc w:val="both"/>
      </w:pPr>
      <w:r w:rsidRPr="00CD25C1">
        <w:rPr>
          <w:rFonts w:eastAsia="Arial" w:cs="Arial"/>
        </w:rPr>
        <w:t>Policy C30 states that design control will be exercised to ensure that new housing development is compatible with the appearance, character, layout scale and density of existing dwellings in the vicinity and that new housing development provides standards of amenity and privacy acceptable to the Local Planning Authority.</w:t>
      </w:r>
    </w:p>
    <w:p w14:paraId="2530497B" w14:textId="77777777" w:rsidR="004E3C77" w:rsidRDefault="004E3C77" w:rsidP="002D6740">
      <w:pPr>
        <w:pStyle w:val="ListParagraph"/>
        <w:spacing w:line="360" w:lineRule="auto"/>
      </w:pPr>
    </w:p>
    <w:p w14:paraId="5FED144A" w14:textId="7C9FB347" w:rsidR="004E3C77" w:rsidRPr="00CD25C1" w:rsidRDefault="004E3C77" w:rsidP="002D6740">
      <w:pPr>
        <w:numPr>
          <w:ilvl w:val="1"/>
          <w:numId w:val="1"/>
        </w:numPr>
        <w:spacing w:line="360" w:lineRule="auto"/>
        <w:ind w:left="709" w:hanging="709"/>
        <w:jc w:val="both"/>
      </w:pPr>
      <w:r>
        <w:t>Policies C28 and C30 are conventionally read together, given their combined design ethos.  As stated already, the proposal is carefully designed, in a simple, vernacular fashion, that matches the appearance of other exiting development in the Close and laid out on site in an entirely complementary fashion to the pattern of existing houses.</w:t>
      </w:r>
    </w:p>
    <w:p w14:paraId="01AD8098" w14:textId="77777777" w:rsidR="00E45FAB" w:rsidRPr="00CD25C1" w:rsidRDefault="00E45FAB" w:rsidP="002D6740">
      <w:pPr>
        <w:pStyle w:val="ListParagraph"/>
        <w:spacing w:line="360" w:lineRule="auto"/>
      </w:pPr>
    </w:p>
    <w:p w14:paraId="4B6BCD3D" w14:textId="15ADAAD9" w:rsidR="00E45FAB" w:rsidRPr="00CD25C1" w:rsidRDefault="00E45FAB" w:rsidP="002D6740">
      <w:pPr>
        <w:numPr>
          <w:ilvl w:val="0"/>
          <w:numId w:val="1"/>
        </w:numPr>
        <w:spacing w:line="360" w:lineRule="auto"/>
        <w:jc w:val="both"/>
      </w:pPr>
      <w:r w:rsidRPr="00CD25C1">
        <w:rPr>
          <w:b/>
        </w:rPr>
        <w:t>MAIN PLANNING CONSIDERATIONS</w:t>
      </w:r>
    </w:p>
    <w:p w14:paraId="47314D22" w14:textId="77777777" w:rsidR="00E45FAB" w:rsidRPr="00CD25C1" w:rsidRDefault="00E45FAB" w:rsidP="002D6740">
      <w:pPr>
        <w:spacing w:line="360" w:lineRule="auto"/>
        <w:ind w:left="720"/>
        <w:jc w:val="both"/>
        <w:rPr>
          <w:b/>
        </w:rPr>
      </w:pPr>
    </w:p>
    <w:p w14:paraId="4968DD67" w14:textId="5702A044" w:rsidR="00E45FAB" w:rsidRPr="00CD25C1" w:rsidRDefault="00E45FAB" w:rsidP="002D6740">
      <w:pPr>
        <w:spacing w:line="360" w:lineRule="auto"/>
        <w:ind w:left="720"/>
        <w:jc w:val="both"/>
        <w:rPr>
          <w:b/>
        </w:rPr>
      </w:pPr>
      <w:r w:rsidRPr="00CD25C1">
        <w:rPr>
          <w:b/>
        </w:rPr>
        <w:t>Principle</w:t>
      </w:r>
    </w:p>
    <w:p w14:paraId="1ACB4778" w14:textId="77777777" w:rsidR="00E45FAB" w:rsidRPr="00CD25C1" w:rsidRDefault="00E45FAB" w:rsidP="002D6740">
      <w:pPr>
        <w:spacing w:line="360" w:lineRule="auto"/>
        <w:ind w:left="720"/>
        <w:jc w:val="both"/>
        <w:rPr>
          <w:b/>
        </w:rPr>
      </w:pPr>
    </w:p>
    <w:p w14:paraId="0C09C763" w14:textId="7068EC2D" w:rsidR="00E45FAB" w:rsidRPr="00CD25C1" w:rsidRDefault="00F376D8" w:rsidP="002D6740">
      <w:pPr>
        <w:numPr>
          <w:ilvl w:val="1"/>
          <w:numId w:val="1"/>
        </w:numPr>
        <w:spacing w:line="360" w:lineRule="auto"/>
        <w:ind w:left="709" w:hanging="709"/>
        <w:jc w:val="both"/>
      </w:pPr>
      <w:r w:rsidRPr="00CD25C1">
        <w:rPr>
          <w:rFonts w:eastAsia="Arial" w:cs="Arial"/>
        </w:rPr>
        <w:t>Section 38(6) of the Planning and Compulsory Purchase Act 2004, taken with Section 70(2) of the Town and Country Planning Act 1990 requires that applications should be determined in accordance with the Development Plan unless material considerations indicate otherwise.</w:t>
      </w:r>
    </w:p>
    <w:p w14:paraId="29E61E94" w14:textId="77777777" w:rsidR="00F376D8" w:rsidRPr="00CD25C1" w:rsidRDefault="00F376D8" w:rsidP="002D6740">
      <w:pPr>
        <w:spacing w:line="360" w:lineRule="auto"/>
        <w:ind w:left="709"/>
        <w:jc w:val="both"/>
      </w:pPr>
    </w:p>
    <w:p w14:paraId="04396BB8" w14:textId="1CF3ED4F" w:rsidR="00F376D8" w:rsidRPr="00CD25C1" w:rsidRDefault="00F376D8" w:rsidP="002D6740">
      <w:pPr>
        <w:numPr>
          <w:ilvl w:val="1"/>
          <w:numId w:val="1"/>
        </w:numPr>
        <w:spacing w:line="360" w:lineRule="auto"/>
        <w:ind w:left="709" w:hanging="709"/>
        <w:jc w:val="both"/>
      </w:pPr>
      <w:r w:rsidRPr="00CD25C1">
        <w:rPr>
          <w:rFonts w:eastAsia="Arial" w:cs="Arial"/>
        </w:rPr>
        <w:t xml:space="preserve">Policy PSD1 sets out a Presumption in Favour of Sustainable Development and recognises that where planning applications accord with policies in the Local </w:t>
      </w:r>
      <w:r w:rsidRPr="00CD25C1">
        <w:rPr>
          <w:rFonts w:eastAsia="Arial" w:cs="Arial"/>
        </w:rPr>
        <w:lastRenderedPageBreak/>
        <w:t>Plan, they should be approved unless material considerations indicate otherwise.</w:t>
      </w:r>
    </w:p>
    <w:p w14:paraId="3B3A0F8E" w14:textId="77777777" w:rsidR="00F376D8" w:rsidRPr="00CD25C1" w:rsidRDefault="00F376D8" w:rsidP="002D6740">
      <w:pPr>
        <w:pStyle w:val="ListParagraph"/>
        <w:spacing w:line="360" w:lineRule="auto"/>
      </w:pPr>
    </w:p>
    <w:p w14:paraId="54E39E3B" w14:textId="6AE6A16F" w:rsidR="00F376D8" w:rsidRPr="00CD25C1" w:rsidRDefault="00F376D8" w:rsidP="002D6740">
      <w:pPr>
        <w:numPr>
          <w:ilvl w:val="1"/>
          <w:numId w:val="1"/>
        </w:numPr>
        <w:spacing w:line="360" w:lineRule="auto"/>
        <w:ind w:left="709" w:hanging="709"/>
        <w:jc w:val="both"/>
      </w:pPr>
      <w:r w:rsidRPr="00CD25C1">
        <w:rPr>
          <w:rFonts w:eastAsia="Arial" w:cs="Arial"/>
        </w:rPr>
        <w:t xml:space="preserve">Policy Villages 1 provides a categorisation of the District’s Villages </w:t>
      </w:r>
      <w:r w:rsidR="004E3C77">
        <w:rPr>
          <w:rFonts w:eastAsia="Arial" w:cs="Arial"/>
        </w:rPr>
        <w:t>and sets out that Category C villages</w:t>
      </w:r>
      <w:r w:rsidR="00380499">
        <w:rPr>
          <w:rFonts w:eastAsia="Arial" w:cs="Arial"/>
        </w:rPr>
        <w:t>, like Wendlebury,</w:t>
      </w:r>
      <w:r w:rsidR="004E3C77">
        <w:rPr>
          <w:rFonts w:eastAsia="Arial" w:cs="Arial"/>
        </w:rPr>
        <w:t xml:space="preserve"> can accommodate ‘infill’ development.</w:t>
      </w:r>
    </w:p>
    <w:p w14:paraId="016CDE2D" w14:textId="77777777" w:rsidR="00F376D8" w:rsidRPr="00CD25C1" w:rsidRDefault="00F376D8" w:rsidP="002D6740">
      <w:pPr>
        <w:pStyle w:val="ListParagraph"/>
        <w:spacing w:line="360" w:lineRule="auto"/>
      </w:pPr>
    </w:p>
    <w:p w14:paraId="3619AC54" w14:textId="6EE8FBD3" w:rsidR="00F805FF" w:rsidRPr="00CD25C1" w:rsidRDefault="004E3C77" w:rsidP="002D6740">
      <w:pPr>
        <w:numPr>
          <w:ilvl w:val="1"/>
          <w:numId w:val="1"/>
        </w:numPr>
        <w:spacing w:line="360" w:lineRule="auto"/>
        <w:ind w:left="709" w:hanging="709"/>
        <w:jc w:val="both"/>
      </w:pPr>
      <w:r>
        <w:rPr>
          <w:rFonts w:eastAsia="Arial" w:cs="Arial"/>
        </w:rPr>
        <w:t>The supporting text to Policy Villages 1 at paragraph C.264 states that infilling refers to the development of a small gap in an otherwise continuous built-up frontage.  It is plainly obvious that the proposed siting of the new house, in the generous space to the west of the host property, between it and no. 9 Rectory Close, presents a clear infill plot, by definition.  The careful siting of the new house and its proportionate size, in turn, permit for it to then fit in with the pattern of housing layout in the Close, as a complementary infill development.</w:t>
      </w:r>
    </w:p>
    <w:p w14:paraId="7CF0E728" w14:textId="77777777" w:rsidR="00F805FF" w:rsidRPr="00CD25C1" w:rsidRDefault="00F805FF" w:rsidP="002D6740">
      <w:pPr>
        <w:pStyle w:val="ListParagraph"/>
        <w:spacing w:line="360" w:lineRule="auto"/>
        <w:rPr>
          <w:rFonts w:eastAsia="Arial" w:cs="Arial"/>
        </w:rPr>
      </w:pPr>
    </w:p>
    <w:p w14:paraId="2D5CD15B" w14:textId="280276AF" w:rsidR="0008634D" w:rsidRPr="00CD25C1" w:rsidRDefault="0008634D" w:rsidP="002D6740">
      <w:pPr>
        <w:numPr>
          <w:ilvl w:val="1"/>
          <w:numId w:val="1"/>
        </w:numPr>
        <w:spacing w:line="360" w:lineRule="auto"/>
        <w:ind w:left="709" w:hanging="731"/>
        <w:jc w:val="both"/>
      </w:pPr>
      <w:r w:rsidRPr="00CD25C1">
        <w:t>Whilst it is recognised</w:t>
      </w:r>
      <w:r w:rsidR="00210FED">
        <w:t xml:space="preserve"> in this too </w:t>
      </w:r>
      <w:r w:rsidRPr="00CD25C1">
        <w:t>that the Council ha</w:t>
      </w:r>
      <w:r w:rsidR="00267D5F">
        <w:t>s</w:t>
      </w:r>
      <w:r w:rsidRPr="00CD25C1">
        <w:t xml:space="preserve"> a five year housing land supply, this does not preclude development coming forward which would result in an excess of five years supply if it is deemed to be appropriate development.  This is </w:t>
      </w:r>
      <w:r w:rsidR="00267D5F">
        <w:t>deemed</w:t>
      </w:r>
      <w:r w:rsidRPr="00CD25C1">
        <w:t xml:space="preserve"> the case here.</w:t>
      </w:r>
    </w:p>
    <w:p w14:paraId="6ADC6670" w14:textId="77777777" w:rsidR="00F705B1" w:rsidRPr="00CD25C1" w:rsidRDefault="00F705B1" w:rsidP="002D6740">
      <w:pPr>
        <w:pStyle w:val="ListParagraph"/>
        <w:spacing w:line="360" w:lineRule="auto"/>
      </w:pPr>
    </w:p>
    <w:p w14:paraId="62A3B690" w14:textId="40D9CD24" w:rsidR="00F705B1" w:rsidRPr="00CD25C1" w:rsidRDefault="00380499" w:rsidP="002D6740">
      <w:pPr>
        <w:numPr>
          <w:ilvl w:val="1"/>
          <w:numId w:val="1"/>
        </w:numPr>
        <w:spacing w:line="360" w:lineRule="auto"/>
        <w:ind w:left="709" w:hanging="731"/>
        <w:jc w:val="both"/>
      </w:pPr>
      <w:r>
        <w:t>In light of the foregoing, t</w:t>
      </w:r>
      <w:r w:rsidR="00F705B1" w:rsidRPr="00CD25C1">
        <w:t xml:space="preserve">he principle of the residential development of the site must be beyond reasonable dispute.  </w:t>
      </w:r>
      <w:r w:rsidR="0017112D" w:rsidRPr="00CD25C1">
        <w:t>T</w:t>
      </w:r>
      <w:r w:rsidR="00F705B1" w:rsidRPr="00CD25C1">
        <w:t>he details and other material considerations</w:t>
      </w:r>
      <w:r w:rsidR="0017112D" w:rsidRPr="00CD25C1">
        <w:t xml:space="preserve"> beyond this general principle </w:t>
      </w:r>
      <w:r w:rsidR="0008634D" w:rsidRPr="00CD25C1">
        <w:t xml:space="preserve">can then be assessed against the other relevant policies in the Development Plan, to form a view as to whether the proposal comprises a sustainable form of development, and therefore should be approved.  </w:t>
      </w:r>
      <w:r w:rsidR="00F705B1" w:rsidRPr="00CD25C1">
        <w:t>The principle</w:t>
      </w:r>
      <w:r w:rsidR="0017112D" w:rsidRPr="00CD25C1">
        <w:t xml:space="preserve"> of residential development</w:t>
      </w:r>
      <w:r w:rsidR="00F705B1" w:rsidRPr="00CD25C1">
        <w:t>,</w:t>
      </w:r>
      <w:r w:rsidR="0017112D" w:rsidRPr="00CD25C1">
        <w:t xml:space="preserve"> however,</w:t>
      </w:r>
      <w:r w:rsidR="00201E10" w:rsidRPr="00CD25C1">
        <w:t xml:space="preserve"> based on the underpinning and prevailing planning policy context,</w:t>
      </w:r>
      <w:r w:rsidR="00F705B1" w:rsidRPr="00CD25C1">
        <w:t xml:space="preserve"> should not be </w:t>
      </w:r>
      <w:r w:rsidR="0017112D" w:rsidRPr="00CD25C1">
        <w:t>in</w:t>
      </w:r>
      <w:r w:rsidR="00F705B1" w:rsidRPr="00CD25C1">
        <w:t xml:space="preserve"> </w:t>
      </w:r>
      <w:r w:rsidR="00210FED">
        <w:t xml:space="preserve">reasonable </w:t>
      </w:r>
      <w:r w:rsidR="00F705B1" w:rsidRPr="00CD25C1">
        <w:t>contention.</w:t>
      </w:r>
    </w:p>
    <w:p w14:paraId="0D551438" w14:textId="77777777" w:rsidR="00170E72" w:rsidRDefault="00170E72" w:rsidP="002D6740">
      <w:pPr>
        <w:pStyle w:val="ListParagraph"/>
        <w:spacing w:line="360" w:lineRule="auto"/>
      </w:pPr>
    </w:p>
    <w:p w14:paraId="065BED27" w14:textId="575510F0" w:rsidR="00210FED" w:rsidRDefault="00210FED" w:rsidP="002D6740">
      <w:pPr>
        <w:pStyle w:val="ListParagraph"/>
        <w:spacing w:line="360" w:lineRule="auto"/>
        <w:rPr>
          <w:b/>
        </w:rPr>
      </w:pPr>
      <w:r>
        <w:rPr>
          <w:b/>
        </w:rPr>
        <w:t xml:space="preserve">Design </w:t>
      </w:r>
    </w:p>
    <w:p w14:paraId="7577B58E" w14:textId="77777777" w:rsidR="00210FED" w:rsidRPr="00210FED" w:rsidRDefault="00210FED" w:rsidP="002D6740">
      <w:pPr>
        <w:pStyle w:val="ListParagraph"/>
        <w:spacing w:line="360" w:lineRule="auto"/>
        <w:rPr>
          <w:b/>
        </w:rPr>
      </w:pPr>
    </w:p>
    <w:p w14:paraId="59CFA0B5" w14:textId="50301C40" w:rsidR="00170E72" w:rsidRPr="00210FED" w:rsidRDefault="00170E72" w:rsidP="002D6740">
      <w:pPr>
        <w:numPr>
          <w:ilvl w:val="1"/>
          <w:numId w:val="1"/>
        </w:numPr>
        <w:spacing w:line="360" w:lineRule="auto"/>
        <w:ind w:left="709" w:hanging="731"/>
        <w:jc w:val="both"/>
      </w:pPr>
      <w:r w:rsidRPr="00CD25C1">
        <w:rPr>
          <w:rFonts w:eastAsia="Arial" w:cs="Arial"/>
        </w:rPr>
        <w:t>Polic</w:t>
      </w:r>
      <w:r w:rsidR="00210FED">
        <w:rPr>
          <w:rFonts w:eastAsia="Arial" w:cs="Arial"/>
        </w:rPr>
        <w:t>ies</w:t>
      </w:r>
      <w:r w:rsidRPr="00CD25C1">
        <w:rPr>
          <w:rFonts w:eastAsia="Arial" w:cs="Arial"/>
        </w:rPr>
        <w:t xml:space="preserve"> ESD15 </w:t>
      </w:r>
      <w:r w:rsidR="00210FED">
        <w:rPr>
          <w:rFonts w:eastAsia="Arial" w:cs="Arial"/>
        </w:rPr>
        <w:t xml:space="preserve">of the CLP2031 and C28 and C30 of the CLP1996, between them set out </w:t>
      </w:r>
      <w:r w:rsidRPr="00CD25C1">
        <w:rPr>
          <w:rFonts w:eastAsia="Arial" w:cs="Arial"/>
        </w:rPr>
        <w:t xml:space="preserve">that new development will be expected to complement and enhance the character of its context through sensitive siting, layout and high quality design.  New development proposals should contribute positively to an </w:t>
      </w:r>
      <w:r w:rsidRPr="00CD25C1">
        <w:rPr>
          <w:rFonts w:eastAsia="Arial" w:cs="Arial"/>
        </w:rPr>
        <w:lastRenderedPageBreak/>
        <w:t>area’s character and identify by creating or reinforcing local distinctiveness and respecting the traditional pattern</w:t>
      </w:r>
      <w:r w:rsidR="00210FED">
        <w:rPr>
          <w:rFonts w:eastAsia="Arial" w:cs="Arial"/>
        </w:rPr>
        <w:t xml:space="preserve"> of development</w:t>
      </w:r>
      <w:r w:rsidRPr="00CD25C1">
        <w:rPr>
          <w:rFonts w:eastAsia="Arial" w:cs="Arial"/>
        </w:rPr>
        <w:t>.</w:t>
      </w:r>
    </w:p>
    <w:p w14:paraId="2601E66F" w14:textId="77777777" w:rsidR="00210FED" w:rsidRPr="00210FED" w:rsidRDefault="00210FED" w:rsidP="002D6740">
      <w:pPr>
        <w:spacing w:line="360" w:lineRule="auto"/>
        <w:ind w:left="709"/>
        <w:jc w:val="both"/>
      </w:pPr>
    </w:p>
    <w:p w14:paraId="60B8A0E9" w14:textId="075E78D1" w:rsidR="00210FED" w:rsidRDefault="000D17D4" w:rsidP="002D6740">
      <w:pPr>
        <w:numPr>
          <w:ilvl w:val="1"/>
          <w:numId w:val="1"/>
        </w:numPr>
        <w:spacing w:line="360" w:lineRule="auto"/>
        <w:ind w:left="709" w:hanging="731"/>
        <w:jc w:val="both"/>
      </w:pPr>
      <w:r>
        <w:t>As set out above, since the previously refused scheme on site, the proposed development has been moved over to the western part of the site, where the plot affords much greater space for any new building to take place.  Unlike its predecessor scheme, given the space between the respective flanks of the host property and no. 9 Rectory Close, it cannot reasonably be said to appear as cramped or over-developed in any way.  The proposed house footprint has good space around it and a ‘breathing-space’ indeed that, in fairness, the previous proposal on the eastern part of the site did not really demonstrate.  It now has a far more natural and spacious siting and one which fits and relates well to the prevailing pattern of house layouts within the Close.</w:t>
      </w:r>
    </w:p>
    <w:p w14:paraId="4E4DAE56" w14:textId="77777777" w:rsidR="000D17D4" w:rsidRDefault="000D17D4" w:rsidP="002D6740">
      <w:pPr>
        <w:pStyle w:val="ListParagraph"/>
        <w:spacing w:line="360" w:lineRule="auto"/>
      </w:pPr>
    </w:p>
    <w:p w14:paraId="18156208" w14:textId="0CF3EC8B" w:rsidR="000D17D4" w:rsidRDefault="000D17D4" w:rsidP="002D6740">
      <w:pPr>
        <w:numPr>
          <w:ilvl w:val="1"/>
          <w:numId w:val="1"/>
        </w:numPr>
        <w:spacing w:line="360" w:lineRule="auto"/>
        <w:ind w:left="709" w:hanging="731"/>
        <w:jc w:val="both"/>
      </w:pPr>
      <w:r>
        <w:t>It is noted from the previously refused scheme that the overall design appearance (of a simple, traditional 2 storey form) was not opposed in rejecting that former proposal, only the siting in effect (as countered above) was.  Thus, the vernacular design appearance of the new dwelling is kept in this latest iteration and it is reasonably assumed that no such design objections to that si</w:t>
      </w:r>
      <w:r w:rsidR="00380499">
        <w:t>mp</w:t>
      </w:r>
      <w:r>
        <w:t>le, traditional treatment are on this occasion raised.</w:t>
      </w:r>
    </w:p>
    <w:p w14:paraId="08D8F8EA" w14:textId="77777777" w:rsidR="000D17D4" w:rsidRDefault="000D17D4" w:rsidP="002D6740">
      <w:pPr>
        <w:pStyle w:val="ListParagraph"/>
        <w:spacing w:line="360" w:lineRule="auto"/>
      </w:pPr>
    </w:p>
    <w:p w14:paraId="30A6D955" w14:textId="64A635FA" w:rsidR="000D17D4" w:rsidRDefault="000D17D4" w:rsidP="002D6740">
      <w:pPr>
        <w:numPr>
          <w:ilvl w:val="1"/>
          <w:numId w:val="1"/>
        </w:numPr>
        <w:spacing w:line="360" w:lineRule="auto"/>
        <w:ind w:left="709" w:hanging="731"/>
        <w:jc w:val="both"/>
      </w:pPr>
      <w:r>
        <w:t>It was in fairness contested that the previous scheme demonstrated in the Council’s view a ‘restricted outdoor amenity space’ for the then proposed new house.  On this occasion by clear contrast, the new house gets a commensurately well-proportioned rear garden space, approaching 20m in depth and 12m wide.  A rear garden area of approximately 200m</w:t>
      </w:r>
      <w:r>
        <w:rPr>
          <w:vertAlign w:val="superscript"/>
        </w:rPr>
        <w:t>2</w:t>
      </w:r>
      <w:r>
        <w:t>, which cannot sensibly by any reasonable consideration be deemed somehow sub-standard or “restricted”.</w:t>
      </w:r>
    </w:p>
    <w:p w14:paraId="5614524D" w14:textId="77777777" w:rsidR="000D17D4" w:rsidRDefault="000D17D4" w:rsidP="002D6740">
      <w:pPr>
        <w:pStyle w:val="ListParagraph"/>
        <w:spacing w:line="360" w:lineRule="auto"/>
      </w:pPr>
    </w:p>
    <w:p w14:paraId="56E0AE73" w14:textId="3E4C2B45" w:rsidR="000D17D4" w:rsidRDefault="000D17D4" w:rsidP="002D6740">
      <w:pPr>
        <w:numPr>
          <w:ilvl w:val="1"/>
          <w:numId w:val="1"/>
        </w:numPr>
        <w:spacing w:line="360" w:lineRule="auto"/>
        <w:ind w:left="709" w:hanging="731"/>
        <w:jc w:val="both"/>
      </w:pPr>
      <w:r>
        <w:t>At the same time, lest it now arise, the existing house retains an even larger rear garden area, where there cannot properly be any credible contention to its size.</w:t>
      </w:r>
    </w:p>
    <w:p w14:paraId="1D077F60" w14:textId="77777777" w:rsidR="000D17D4" w:rsidRDefault="000D17D4" w:rsidP="002D6740">
      <w:pPr>
        <w:pStyle w:val="ListParagraph"/>
        <w:spacing w:line="360" w:lineRule="auto"/>
      </w:pPr>
    </w:p>
    <w:p w14:paraId="012C56B8" w14:textId="72618ADC" w:rsidR="000D17D4" w:rsidRDefault="000D17D4" w:rsidP="002D6740">
      <w:pPr>
        <w:numPr>
          <w:ilvl w:val="1"/>
          <w:numId w:val="1"/>
        </w:numPr>
        <w:spacing w:line="360" w:lineRule="auto"/>
        <w:ind w:left="709" w:hanging="731"/>
        <w:jc w:val="both"/>
      </w:pPr>
      <w:r>
        <w:t xml:space="preserve">The proposed siting of the new house is not unneighbourly in any material sense either, in relation the one potentially impacted property of no. 9 Rectory Close.  It is set positioned well separate from it and in relative locational terms, </w:t>
      </w:r>
      <w:r>
        <w:lastRenderedPageBreak/>
        <w:t>to its north.  Accordingly, there can be no proper question of loss of light or sun as a consequence.  The new house is designed with a blank facing flank wall elevation with no windows looking to no. 9.  So there is no loss of privacy to contend either.  On a general point here, the broad main outlook of no. 9, as it looks out to the west at the rear, across w</w:t>
      </w:r>
      <w:r w:rsidR="00380499">
        <w:t>ide</w:t>
      </w:r>
      <w:r>
        <w:t>-ranging countryside vi</w:t>
      </w:r>
      <w:r w:rsidR="00380499">
        <w:t>ew</w:t>
      </w:r>
      <w:r>
        <w:t>s, is not compromised by the positioning of the new house either.  There are no determinant neighbour impact issues to consider.</w:t>
      </w:r>
    </w:p>
    <w:p w14:paraId="0B24C6C5" w14:textId="77777777" w:rsidR="000D17D4" w:rsidRDefault="000D17D4" w:rsidP="002D6740">
      <w:pPr>
        <w:pStyle w:val="ListParagraph"/>
        <w:spacing w:line="360" w:lineRule="auto"/>
      </w:pPr>
    </w:p>
    <w:p w14:paraId="5771A823" w14:textId="7B1B39FE" w:rsidR="000D17D4" w:rsidRDefault="000D17D4" w:rsidP="002D6740">
      <w:pPr>
        <w:numPr>
          <w:ilvl w:val="1"/>
          <w:numId w:val="1"/>
        </w:numPr>
        <w:spacing w:line="360" w:lineRule="auto"/>
        <w:ind w:left="709" w:hanging="731"/>
        <w:jc w:val="both"/>
      </w:pPr>
      <w:r>
        <w:t>The short point in all of this being – the carefully considered re-design of the current submission, across all of its component design elements, must surely be regarded in any sensible planning judgement, to be entirely acceptable in all salient design considerations.</w:t>
      </w:r>
    </w:p>
    <w:p w14:paraId="0602C8BB" w14:textId="77777777" w:rsidR="000D17D4" w:rsidRDefault="000D17D4" w:rsidP="002D6740">
      <w:pPr>
        <w:pStyle w:val="ListParagraph"/>
        <w:spacing w:line="360" w:lineRule="auto"/>
      </w:pPr>
    </w:p>
    <w:p w14:paraId="6DB9A52E" w14:textId="33DB5A84" w:rsidR="000D17D4" w:rsidRPr="000D17D4" w:rsidRDefault="000D17D4" w:rsidP="002D6740">
      <w:pPr>
        <w:spacing w:line="360" w:lineRule="auto"/>
        <w:ind w:left="709"/>
        <w:jc w:val="both"/>
        <w:rPr>
          <w:b/>
        </w:rPr>
      </w:pPr>
      <w:r>
        <w:rPr>
          <w:b/>
        </w:rPr>
        <w:t>Transport</w:t>
      </w:r>
    </w:p>
    <w:p w14:paraId="5E8CB6A3" w14:textId="77777777" w:rsidR="000D17D4" w:rsidRDefault="000D17D4" w:rsidP="002D6740">
      <w:pPr>
        <w:pStyle w:val="ListParagraph"/>
        <w:spacing w:line="360" w:lineRule="auto"/>
      </w:pPr>
    </w:p>
    <w:p w14:paraId="752DDA43" w14:textId="10F04F36" w:rsidR="000D17D4" w:rsidRDefault="000D17D4" w:rsidP="002D6740">
      <w:pPr>
        <w:numPr>
          <w:ilvl w:val="1"/>
          <w:numId w:val="1"/>
        </w:numPr>
        <w:spacing w:line="360" w:lineRule="auto"/>
        <w:ind w:left="709" w:hanging="731"/>
        <w:jc w:val="both"/>
      </w:pPr>
      <w:r>
        <w:t>There is little</w:t>
      </w:r>
      <w:r w:rsidR="002D57F1">
        <w:t xml:space="preserve"> to say on this matter.  The Highway Authority raised ‘no objections; to the previous application on site for a single house, and given the close similarities between the two proposals (previous and current), both for a single new house, none are expected either on this occasion.</w:t>
      </w:r>
    </w:p>
    <w:p w14:paraId="2FB5B0E9" w14:textId="77777777" w:rsidR="002D57F1" w:rsidRDefault="002D57F1" w:rsidP="002D6740">
      <w:pPr>
        <w:spacing w:line="360" w:lineRule="auto"/>
        <w:ind w:left="709"/>
        <w:jc w:val="both"/>
      </w:pPr>
    </w:p>
    <w:p w14:paraId="68509E4D" w14:textId="77D5F0FF" w:rsidR="002D57F1" w:rsidRDefault="002D57F1" w:rsidP="002D6740">
      <w:pPr>
        <w:spacing w:line="360" w:lineRule="auto"/>
        <w:ind w:left="709"/>
        <w:jc w:val="both"/>
      </w:pPr>
      <w:r>
        <w:rPr>
          <w:b/>
        </w:rPr>
        <w:t>Flooding</w:t>
      </w:r>
    </w:p>
    <w:p w14:paraId="658B5E98" w14:textId="77777777" w:rsidR="002D57F1" w:rsidRPr="002D57F1" w:rsidRDefault="002D57F1" w:rsidP="002D6740">
      <w:pPr>
        <w:spacing w:line="360" w:lineRule="auto"/>
        <w:ind w:left="709"/>
        <w:jc w:val="both"/>
      </w:pPr>
    </w:p>
    <w:p w14:paraId="6E1B7DCA" w14:textId="26C225B6" w:rsidR="002D57F1" w:rsidRDefault="002D57F1" w:rsidP="002D6740">
      <w:pPr>
        <w:numPr>
          <w:ilvl w:val="1"/>
          <w:numId w:val="1"/>
        </w:numPr>
        <w:spacing w:line="360" w:lineRule="auto"/>
        <w:ind w:left="709" w:hanging="731"/>
        <w:jc w:val="both"/>
      </w:pPr>
      <w:r>
        <w:t>The previous application on site was refused on flooding grounds, on the basis a FRA was not supplied with the proposal.</w:t>
      </w:r>
    </w:p>
    <w:p w14:paraId="012D7529" w14:textId="77777777" w:rsidR="002D57F1" w:rsidRDefault="002D57F1" w:rsidP="002D6740">
      <w:pPr>
        <w:spacing w:line="360" w:lineRule="auto"/>
        <w:ind w:left="709"/>
        <w:jc w:val="both"/>
      </w:pPr>
    </w:p>
    <w:p w14:paraId="36138AD7" w14:textId="226766CE" w:rsidR="002D57F1" w:rsidRDefault="002D57F1" w:rsidP="002D6740">
      <w:pPr>
        <w:numPr>
          <w:ilvl w:val="1"/>
          <w:numId w:val="1"/>
        </w:numPr>
        <w:spacing w:line="360" w:lineRule="auto"/>
        <w:ind w:left="709" w:hanging="731"/>
        <w:jc w:val="both"/>
      </w:pPr>
      <w:r>
        <w:t>On this occasion, a full FRA has been commissioned and produced in support of this latest application.  The reader is commended to read it in full.</w:t>
      </w:r>
    </w:p>
    <w:p w14:paraId="73DFB5E3" w14:textId="77777777" w:rsidR="002D57F1" w:rsidRDefault="002D57F1" w:rsidP="002D6740">
      <w:pPr>
        <w:pStyle w:val="ListParagraph"/>
        <w:spacing w:line="360" w:lineRule="auto"/>
      </w:pPr>
    </w:p>
    <w:p w14:paraId="6399E808" w14:textId="160EC3BC" w:rsidR="002D57F1" w:rsidRDefault="002D57F1" w:rsidP="002D6740">
      <w:pPr>
        <w:numPr>
          <w:ilvl w:val="1"/>
          <w:numId w:val="1"/>
        </w:numPr>
        <w:spacing w:line="360" w:lineRule="auto"/>
        <w:ind w:left="709" w:hanging="731"/>
        <w:jc w:val="both"/>
      </w:pPr>
      <w:r>
        <w:t>Suffice to say here, the report concludes that there are no flooding related issues that would prevent the proposed development fr</w:t>
      </w:r>
      <w:r w:rsidR="00380499">
        <w:t>o</w:t>
      </w:r>
      <w:r>
        <w:t>m proceeding, subject to its recommendations, which can be addressed and secured by way of appropriate planning conditions, to which the applicants would be entirely prepared to be bound.</w:t>
      </w:r>
    </w:p>
    <w:p w14:paraId="2BA523F6" w14:textId="77777777" w:rsidR="002D57F1" w:rsidRDefault="002D57F1" w:rsidP="002D6740">
      <w:pPr>
        <w:pStyle w:val="ListParagraph"/>
        <w:spacing w:line="360" w:lineRule="auto"/>
      </w:pPr>
    </w:p>
    <w:p w14:paraId="6A0E0B42" w14:textId="6C8443AF" w:rsidR="002D57F1" w:rsidRDefault="002D57F1" w:rsidP="002D6740">
      <w:pPr>
        <w:numPr>
          <w:ilvl w:val="1"/>
          <w:numId w:val="1"/>
        </w:numPr>
        <w:spacing w:line="360" w:lineRule="auto"/>
        <w:ind w:left="709" w:hanging="731"/>
        <w:jc w:val="both"/>
      </w:pPr>
      <w:r>
        <w:t>That then squarely deals with the flooding reason raised against the previous scheme.</w:t>
      </w:r>
    </w:p>
    <w:p w14:paraId="25E565EF" w14:textId="1F3EAA7E" w:rsidR="002D57F1" w:rsidRPr="00CD25C1" w:rsidRDefault="002D57F1" w:rsidP="002D6740">
      <w:pPr>
        <w:numPr>
          <w:ilvl w:val="1"/>
          <w:numId w:val="1"/>
        </w:numPr>
        <w:spacing w:line="360" w:lineRule="auto"/>
        <w:ind w:left="709" w:hanging="731"/>
        <w:jc w:val="both"/>
      </w:pPr>
      <w:bookmarkStart w:id="0" w:name="_GoBack"/>
      <w:bookmarkEnd w:id="0"/>
      <w:r>
        <w:lastRenderedPageBreak/>
        <w:t>No other issues at dispute now remain.</w:t>
      </w:r>
    </w:p>
    <w:p w14:paraId="38BB9C48" w14:textId="77777777" w:rsidR="00170E72" w:rsidRPr="00CD25C1" w:rsidRDefault="00170E72" w:rsidP="002D6740">
      <w:pPr>
        <w:pStyle w:val="ListParagraph"/>
        <w:spacing w:line="360" w:lineRule="auto"/>
      </w:pPr>
    </w:p>
    <w:p w14:paraId="5D141402" w14:textId="77777777" w:rsidR="00A17FD8" w:rsidRPr="00CD25C1" w:rsidRDefault="00A17FD8" w:rsidP="002D6740">
      <w:pPr>
        <w:numPr>
          <w:ilvl w:val="0"/>
          <w:numId w:val="1"/>
        </w:numPr>
        <w:spacing w:line="360" w:lineRule="auto"/>
        <w:jc w:val="both"/>
      </w:pPr>
      <w:r w:rsidRPr="00CD25C1">
        <w:rPr>
          <w:b/>
        </w:rPr>
        <w:t>SUMMARY AND CONCLUSIONS</w:t>
      </w:r>
    </w:p>
    <w:p w14:paraId="66507D4C" w14:textId="77777777" w:rsidR="00A17FD8" w:rsidRDefault="00A17FD8" w:rsidP="002D6740">
      <w:pPr>
        <w:spacing w:line="360" w:lineRule="auto"/>
        <w:ind w:left="720"/>
        <w:jc w:val="both"/>
      </w:pPr>
    </w:p>
    <w:p w14:paraId="38E3AE04" w14:textId="0586A7BC" w:rsidR="00A17FD8" w:rsidRDefault="00A17FD8" w:rsidP="002D6740">
      <w:pPr>
        <w:numPr>
          <w:ilvl w:val="1"/>
          <w:numId w:val="1"/>
        </w:numPr>
        <w:spacing w:line="360" w:lineRule="auto"/>
        <w:ind w:left="709" w:hanging="709"/>
        <w:jc w:val="both"/>
      </w:pPr>
      <w:r>
        <w:t>This Statement</w:t>
      </w:r>
      <w:r w:rsidR="000E2708">
        <w:t xml:space="preserve"> </w:t>
      </w:r>
      <w:r>
        <w:t>set</w:t>
      </w:r>
      <w:r w:rsidR="00696872">
        <w:t>s</w:t>
      </w:r>
      <w:r>
        <w:t xml:space="preserve"> out how the </w:t>
      </w:r>
      <w:r w:rsidR="00696872">
        <w:t xml:space="preserve">submitted </w:t>
      </w:r>
      <w:r>
        <w:t xml:space="preserve">proposal complies fully with </w:t>
      </w:r>
      <w:r w:rsidR="000E2708">
        <w:t xml:space="preserve">all </w:t>
      </w:r>
      <w:r>
        <w:t>the salient tests of the relevant national and local level planning policies</w:t>
      </w:r>
      <w:r w:rsidR="00696872">
        <w:t xml:space="preserve"> identified and discussed herein.  It would deliver a</w:t>
      </w:r>
      <w:r w:rsidR="002D57F1">
        <w:t>n</w:t>
      </w:r>
      <w:r w:rsidR="00696872">
        <w:t xml:space="preserve"> </w:t>
      </w:r>
      <w:r w:rsidR="002D57F1">
        <w:t xml:space="preserve">identified </w:t>
      </w:r>
      <w:r w:rsidR="00696872">
        <w:t>sustainable form of development, for which a presumption in favour of its permission, lies.</w:t>
      </w:r>
    </w:p>
    <w:p w14:paraId="74B6DD26" w14:textId="77777777" w:rsidR="00201E10" w:rsidRDefault="00201E10" w:rsidP="002D6740">
      <w:pPr>
        <w:spacing w:line="360" w:lineRule="auto"/>
        <w:ind w:left="709"/>
        <w:jc w:val="both"/>
      </w:pPr>
    </w:p>
    <w:p w14:paraId="77DD1997" w14:textId="3BB15AE2" w:rsidR="00201E10" w:rsidRDefault="002D57F1" w:rsidP="002D6740">
      <w:pPr>
        <w:numPr>
          <w:ilvl w:val="1"/>
          <w:numId w:val="1"/>
        </w:numPr>
        <w:spacing w:line="360" w:lineRule="auto"/>
        <w:ind w:left="709" w:hanging="709"/>
        <w:jc w:val="both"/>
      </w:pPr>
      <w:r>
        <w:t xml:space="preserve">Wendlebury </w:t>
      </w:r>
      <w:r w:rsidR="00201E10">
        <w:t xml:space="preserve">is a village settlement where new residential </w:t>
      </w:r>
      <w:r w:rsidR="00FC7869">
        <w:t xml:space="preserve">development </w:t>
      </w:r>
      <w:r>
        <w:t xml:space="preserve">in the form of infilling </w:t>
      </w:r>
      <w:r w:rsidR="000E2708">
        <w:t>is appropriate in principle</w:t>
      </w:r>
      <w:r>
        <w:t>.  The proposal is an infill form of development.</w:t>
      </w:r>
    </w:p>
    <w:p w14:paraId="5D2C46C7" w14:textId="77777777" w:rsidR="00217AFF" w:rsidRDefault="00217AFF" w:rsidP="002D6740">
      <w:pPr>
        <w:spacing w:line="360" w:lineRule="auto"/>
        <w:ind w:left="709"/>
        <w:jc w:val="both"/>
      </w:pPr>
      <w:r>
        <w:t xml:space="preserve"> </w:t>
      </w:r>
    </w:p>
    <w:p w14:paraId="143D8CFB" w14:textId="654BE0FA" w:rsidR="00201E10" w:rsidRDefault="002D57F1" w:rsidP="002D6740">
      <w:pPr>
        <w:numPr>
          <w:ilvl w:val="1"/>
          <w:numId w:val="1"/>
        </w:numPr>
        <w:spacing w:line="360" w:lineRule="auto"/>
        <w:ind w:left="709" w:hanging="709"/>
        <w:jc w:val="both"/>
      </w:pPr>
      <w:r>
        <w:t xml:space="preserve">All of the various </w:t>
      </w:r>
      <w:r w:rsidR="00201E10">
        <w:t>design</w:t>
      </w:r>
      <w:r w:rsidR="000E2708">
        <w:t xml:space="preserve"> </w:t>
      </w:r>
      <w:r w:rsidR="00201E10">
        <w:t>aspects of the proposal are</w:t>
      </w:r>
      <w:r w:rsidR="000E2708">
        <w:t xml:space="preserve"> </w:t>
      </w:r>
      <w:r>
        <w:t xml:space="preserve">now </w:t>
      </w:r>
      <w:r w:rsidR="000E2708">
        <w:t xml:space="preserve">demonstrated to be </w:t>
      </w:r>
      <w:r w:rsidR="00201E10">
        <w:t xml:space="preserve">acceptable </w:t>
      </w:r>
      <w:r>
        <w:t xml:space="preserve">and </w:t>
      </w:r>
      <w:r w:rsidR="00696872">
        <w:t>the proposal would produce a characterful form of development, that would assimilate well with the identified characteristics of the</w:t>
      </w:r>
      <w:r>
        <w:t xml:space="preserve"> Close and fit with the prevailing pattern of development evident in it.</w:t>
      </w:r>
    </w:p>
    <w:p w14:paraId="64D65E2B" w14:textId="77777777" w:rsidR="00201E10" w:rsidRDefault="00201E10" w:rsidP="002D6740">
      <w:pPr>
        <w:pStyle w:val="ListParagraph"/>
        <w:spacing w:line="360" w:lineRule="auto"/>
      </w:pPr>
    </w:p>
    <w:p w14:paraId="3BEE5CA4" w14:textId="22AD301C" w:rsidR="00201E10" w:rsidRDefault="002D57F1" w:rsidP="002D6740">
      <w:pPr>
        <w:numPr>
          <w:ilvl w:val="1"/>
          <w:numId w:val="1"/>
        </w:numPr>
        <w:spacing w:line="360" w:lineRule="auto"/>
        <w:ind w:left="709" w:hanging="709"/>
        <w:jc w:val="both"/>
      </w:pPr>
      <w:r>
        <w:t>Both the proposed and host properties would, respectively, be provided with and retain, spacious and proportionate amenity areas.</w:t>
      </w:r>
    </w:p>
    <w:p w14:paraId="097F0CA4" w14:textId="77777777" w:rsidR="00696872" w:rsidRDefault="00696872" w:rsidP="002D6740">
      <w:pPr>
        <w:pStyle w:val="ListParagraph"/>
        <w:spacing w:line="360" w:lineRule="auto"/>
      </w:pPr>
    </w:p>
    <w:p w14:paraId="38680470" w14:textId="597AC9EC" w:rsidR="00696872" w:rsidRDefault="00696872" w:rsidP="002D6740">
      <w:pPr>
        <w:numPr>
          <w:ilvl w:val="1"/>
          <w:numId w:val="1"/>
        </w:numPr>
        <w:spacing w:line="360" w:lineRule="auto"/>
        <w:ind w:left="709" w:hanging="709"/>
        <w:jc w:val="both"/>
      </w:pPr>
      <w:r>
        <w:t>There are no flooding or transport issues that arise in an</w:t>
      </w:r>
      <w:r w:rsidR="00267D5F">
        <w:t>y</w:t>
      </w:r>
      <w:r>
        <w:t xml:space="preserve"> manner, such that they would preclude the proposed development from being found acceptable.</w:t>
      </w:r>
    </w:p>
    <w:p w14:paraId="547A8B6C" w14:textId="77777777" w:rsidR="00267D5F" w:rsidRDefault="00267D5F" w:rsidP="002D6740">
      <w:pPr>
        <w:pStyle w:val="ListParagraph"/>
        <w:spacing w:line="360" w:lineRule="auto"/>
      </w:pPr>
    </w:p>
    <w:p w14:paraId="6FF6FA92" w14:textId="286C89BE" w:rsidR="00201E10" w:rsidRDefault="00201E10" w:rsidP="002D6740">
      <w:pPr>
        <w:numPr>
          <w:ilvl w:val="1"/>
          <w:numId w:val="1"/>
        </w:numPr>
        <w:spacing w:line="360" w:lineRule="auto"/>
        <w:ind w:left="709" w:hanging="709"/>
        <w:jc w:val="both"/>
      </w:pPr>
      <w:r>
        <w:t xml:space="preserve">In light of all of the foregoing, </w:t>
      </w:r>
      <w:r w:rsidR="00ED664D">
        <w:t xml:space="preserve">it is reasonably hoped that the Council will feel able </w:t>
      </w:r>
      <w:r w:rsidR="002D57F1">
        <w:t xml:space="preserve">on this occasion </w:t>
      </w:r>
      <w:r w:rsidR="00ED664D">
        <w:t xml:space="preserve">to support this </w:t>
      </w:r>
      <w:r w:rsidR="002D57F1">
        <w:t xml:space="preserve">latest </w:t>
      </w:r>
      <w:r w:rsidR="00ED664D">
        <w:t xml:space="preserve">application, </w:t>
      </w:r>
      <w:r>
        <w:t>subject to any reasonable conditions</w:t>
      </w:r>
      <w:r w:rsidR="00ED664D">
        <w:t xml:space="preserve">, and </w:t>
      </w:r>
      <w:r w:rsidR="002D57F1">
        <w:t xml:space="preserve">to </w:t>
      </w:r>
      <w:r w:rsidR="00ED664D">
        <w:t>grant planning permission</w:t>
      </w:r>
      <w:r w:rsidR="002D57F1">
        <w:t xml:space="preserve"> as applied for</w:t>
      </w:r>
      <w:r>
        <w:t>.</w:t>
      </w:r>
    </w:p>
    <w:sectPr w:rsidR="00201E10" w:rsidSect="002F6E04">
      <w:headerReference w:type="even" r:id="rId8"/>
      <w:headerReference w:type="default" r:id="rId9"/>
      <w:footerReference w:type="even" r:id="rId10"/>
      <w:footerReference w:type="default" r:id="rId11"/>
      <w:headerReference w:type="first" r:id="rId12"/>
      <w:footerReference w:type="first" r:id="rId13"/>
      <w:pgSz w:w="11906" w:h="16838" w:code="9"/>
      <w:pgMar w:top="1618" w:right="1797" w:bottom="1440" w:left="17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F551C" w14:textId="77777777" w:rsidR="00B25354" w:rsidRDefault="00B25354">
      <w:r>
        <w:separator/>
      </w:r>
    </w:p>
  </w:endnote>
  <w:endnote w:type="continuationSeparator" w:id="0">
    <w:p w14:paraId="09B609CB" w14:textId="77777777" w:rsidR="00B25354" w:rsidRDefault="00B2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6238" w14:textId="77777777" w:rsidR="00B25354" w:rsidRDefault="00B2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7C1B4" w14:textId="77777777" w:rsidR="00B25354" w:rsidRDefault="00B25354">
    <w:pPr>
      <w:pStyle w:val="Footer"/>
      <w:ind w:right="360"/>
    </w:pPr>
  </w:p>
  <w:p w14:paraId="6C97BD32" w14:textId="77777777" w:rsidR="00B25354" w:rsidRDefault="00B253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298B7" w14:textId="09E744BA" w:rsidR="00B25354" w:rsidRPr="00152ED7" w:rsidRDefault="00067CDC" w:rsidP="00696872">
    <w:pPr>
      <w:pStyle w:val="Footer"/>
      <w:pBdr>
        <w:top w:val="single" w:sz="4" w:space="1" w:color="auto"/>
      </w:pBdr>
      <w:tabs>
        <w:tab w:val="clear" w:pos="4153"/>
        <w:tab w:val="clear" w:pos="8306"/>
        <w:tab w:val="left" w:pos="8080"/>
      </w:tabs>
      <w:ind w:right="-52"/>
      <w:rPr>
        <w:sz w:val="24"/>
      </w:rPr>
    </w:pPr>
    <w:r w:rsidRPr="00152ED7">
      <w:rPr>
        <w:sz w:val="24"/>
      </w:rPr>
      <w:t>8 Rectory Close, Wendlebury, Oxfordshire</w:t>
    </w:r>
    <w:r w:rsidR="00696872" w:rsidRPr="00152ED7">
      <w:rPr>
        <w:sz w:val="24"/>
      </w:rPr>
      <w:tab/>
    </w:r>
    <w:r w:rsidR="00696872" w:rsidRPr="00152ED7">
      <w:rPr>
        <w:sz w:val="24"/>
      </w:rPr>
      <w:fldChar w:fldCharType="begin"/>
    </w:r>
    <w:r w:rsidR="00696872" w:rsidRPr="00152ED7">
      <w:rPr>
        <w:sz w:val="24"/>
      </w:rPr>
      <w:instrText xml:space="preserve"> PAGE   \* MERGEFORMAT </w:instrText>
    </w:r>
    <w:r w:rsidR="00696872" w:rsidRPr="00152ED7">
      <w:rPr>
        <w:sz w:val="24"/>
      </w:rPr>
      <w:fldChar w:fldCharType="separate"/>
    </w:r>
    <w:r w:rsidR="00380499">
      <w:rPr>
        <w:noProof/>
        <w:sz w:val="24"/>
      </w:rPr>
      <w:t>15</w:t>
    </w:r>
    <w:r w:rsidR="00696872" w:rsidRPr="00152ED7">
      <w:rPr>
        <w:noProof/>
        <w:sz w:val="24"/>
      </w:rPr>
      <w:fldChar w:fldCharType="end"/>
    </w:r>
  </w:p>
  <w:p w14:paraId="726CF4E5" w14:textId="77777777" w:rsidR="00CD25C1" w:rsidRDefault="00CD25C1" w:rsidP="00696872">
    <w:pPr>
      <w:pStyle w:val="Footer"/>
      <w:tabs>
        <w:tab w:val="clear" w:pos="8306"/>
      </w:tabs>
      <w:ind w:right="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BCD5" w14:textId="77777777" w:rsidR="00152ED7" w:rsidRDefault="0015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EEACE" w14:textId="77777777" w:rsidR="00B25354" w:rsidRDefault="00B25354">
      <w:r>
        <w:separator/>
      </w:r>
    </w:p>
  </w:footnote>
  <w:footnote w:type="continuationSeparator" w:id="0">
    <w:p w14:paraId="7C5A460F" w14:textId="77777777" w:rsidR="00B25354" w:rsidRDefault="00B2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C027" w14:textId="77777777" w:rsidR="00152ED7" w:rsidRDefault="00152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BBB4" w14:textId="6E6ED8E9" w:rsidR="00B25354" w:rsidRPr="00067CDC" w:rsidRDefault="00B25354" w:rsidP="00067CDC">
    <w:pPr>
      <w:pBdr>
        <w:bottom w:val="single" w:sz="4" w:space="1" w:color="auto"/>
      </w:pBdr>
      <w:tabs>
        <w:tab w:val="left" w:pos="142"/>
      </w:tabs>
      <w:rPr>
        <w:noProof/>
        <w:sz w:val="24"/>
        <w:szCs w:val="24"/>
        <w:lang w:eastAsia="en-GB"/>
      </w:rPr>
    </w:pPr>
    <w:r>
      <w:rPr>
        <w:bCs/>
        <w:sz w:val="20"/>
      </w:rPr>
      <w:t>Planning</w:t>
    </w:r>
    <w:r w:rsidR="00067CDC">
      <w:rPr>
        <w:bCs/>
        <w:sz w:val="20"/>
      </w:rPr>
      <w:t>, Design &amp; Access</w:t>
    </w:r>
    <w:r>
      <w:rPr>
        <w:bCs/>
        <w:sz w:val="20"/>
      </w:rPr>
      <w:t xml:space="preserve"> Statement</w:t>
    </w:r>
    <w:r w:rsidR="00067CDC">
      <w:rPr>
        <w:bCs/>
        <w:sz w:val="20"/>
      </w:rPr>
      <w:tab/>
    </w:r>
    <w:r w:rsidR="00067CDC">
      <w:rPr>
        <w:bCs/>
        <w:sz w:val="20"/>
      </w:rPr>
      <w:tab/>
    </w:r>
    <w:r w:rsidR="00067CDC">
      <w:rPr>
        <w:bCs/>
        <w:sz w:val="20"/>
      </w:rPr>
      <w:tab/>
    </w:r>
    <w:r w:rsidR="00067CDC">
      <w:rPr>
        <w:bCs/>
        <w:sz w:val="20"/>
      </w:rPr>
      <w:tab/>
    </w:r>
    <w:r w:rsidR="00067CDC">
      <w:rPr>
        <w:bCs/>
        <w:sz w:val="20"/>
      </w:rPr>
      <w:tab/>
    </w:r>
    <w:r w:rsidR="00067CDC" w:rsidRPr="00C4153F">
      <w:rPr>
        <w:noProof/>
        <w:sz w:val="24"/>
        <w:szCs w:val="24"/>
        <w:lang w:eastAsia="en-GB"/>
      </w:rPr>
      <w:drawing>
        <wp:inline distT="0" distB="0" distL="0" distR="0" wp14:anchorId="456AE49D" wp14:editId="30D13EFE">
          <wp:extent cx="1125855" cy="204470"/>
          <wp:effectExtent l="0" t="0" r="0" b="5080"/>
          <wp:docPr id="2" name="Picture 2" descr="C:\Users\LStone\Documents\ODDS\Divisional Day 2014\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ne\Documents\ODDS\Divisional Day 2014\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204470"/>
                  </a:xfrm>
                  <a:prstGeom prst="rect">
                    <a:avLst/>
                  </a:prstGeom>
                  <a:noFill/>
                  <a:ln>
                    <a:noFill/>
                  </a:ln>
                </pic:spPr>
              </pic:pic>
            </a:graphicData>
          </a:graphic>
        </wp:inline>
      </w:drawing>
    </w:r>
  </w:p>
  <w:p w14:paraId="2929220A" w14:textId="77777777" w:rsidR="00B25354" w:rsidRDefault="00B253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39A7" w14:textId="77777777" w:rsidR="00152ED7" w:rsidRDefault="0015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155"/>
    <w:multiLevelType w:val="hybridMultilevel"/>
    <w:tmpl w:val="52E6976C"/>
    <w:lvl w:ilvl="0" w:tplc="1B389D1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C9720B9"/>
    <w:multiLevelType w:val="multilevel"/>
    <w:tmpl w:val="4A94714E"/>
    <w:lvl w:ilvl="0">
      <w:start w:val="4"/>
      <w:numFmt w:val="decimal"/>
      <w:lvlText w:val="%1.0"/>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F6E14E2"/>
    <w:multiLevelType w:val="hybridMultilevel"/>
    <w:tmpl w:val="8D0C7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10070"/>
    <w:multiLevelType w:val="hybridMultilevel"/>
    <w:tmpl w:val="DDC67CD8"/>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6850228"/>
    <w:multiLevelType w:val="hybridMultilevel"/>
    <w:tmpl w:val="25965624"/>
    <w:lvl w:ilvl="0" w:tplc="0D1C5D9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4F27066"/>
    <w:multiLevelType w:val="hybridMultilevel"/>
    <w:tmpl w:val="122EC77E"/>
    <w:lvl w:ilvl="0" w:tplc="421237E8">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80130D6"/>
    <w:multiLevelType w:val="hybridMultilevel"/>
    <w:tmpl w:val="8A3EF7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B2E1A36"/>
    <w:multiLevelType w:val="hybridMultilevel"/>
    <w:tmpl w:val="671622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F253001"/>
    <w:multiLevelType w:val="hybridMultilevel"/>
    <w:tmpl w:val="A30A65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CE76E4"/>
    <w:multiLevelType w:val="hybridMultilevel"/>
    <w:tmpl w:val="CA22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A13DA"/>
    <w:multiLevelType w:val="hybridMultilevel"/>
    <w:tmpl w:val="E0B4F0E8"/>
    <w:lvl w:ilvl="0" w:tplc="08090001">
      <w:start w:val="1"/>
      <w:numFmt w:val="bullet"/>
      <w:lvlText w:val=""/>
      <w:lvlJc w:val="left"/>
      <w:pPr>
        <w:ind w:left="1429" w:hanging="360"/>
      </w:pPr>
      <w:rPr>
        <w:rFonts w:ascii="Symbol" w:hAnsi="Symbol" w:hint="default"/>
      </w:rPr>
    </w:lvl>
    <w:lvl w:ilvl="1" w:tplc="84DA2CEE">
      <w:numFmt w:val="bullet"/>
      <w:lvlText w:val="-"/>
      <w:lvlJc w:val="left"/>
      <w:pPr>
        <w:ind w:left="2359" w:hanging="570"/>
      </w:pPr>
      <w:rPr>
        <w:rFonts w:ascii="Arial" w:eastAsia="Arial"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30845D5"/>
    <w:multiLevelType w:val="hybridMultilevel"/>
    <w:tmpl w:val="9F5C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682E"/>
    <w:multiLevelType w:val="multilevel"/>
    <w:tmpl w:val="E904D850"/>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46A57AD3"/>
    <w:multiLevelType w:val="hybridMultilevel"/>
    <w:tmpl w:val="6E484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1E18"/>
    <w:multiLevelType w:val="hybridMultilevel"/>
    <w:tmpl w:val="7408C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56A8D"/>
    <w:multiLevelType w:val="hybridMultilevel"/>
    <w:tmpl w:val="25965624"/>
    <w:lvl w:ilvl="0" w:tplc="0D1C5D9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34A4947"/>
    <w:multiLevelType w:val="hybridMultilevel"/>
    <w:tmpl w:val="DA50D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AE3D60"/>
    <w:multiLevelType w:val="hybridMultilevel"/>
    <w:tmpl w:val="A3E282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CEB4BA0"/>
    <w:multiLevelType w:val="hybridMultilevel"/>
    <w:tmpl w:val="0D20C0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D6C1430"/>
    <w:multiLevelType w:val="hybridMultilevel"/>
    <w:tmpl w:val="329C0A36"/>
    <w:lvl w:ilvl="0" w:tplc="06FA025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6FEB6703"/>
    <w:multiLevelType w:val="hybridMultilevel"/>
    <w:tmpl w:val="3528B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3587F"/>
    <w:multiLevelType w:val="hybridMultilevel"/>
    <w:tmpl w:val="819EF6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196850"/>
    <w:multiLevelType w:val="hybridMultilevel"/>
    <w:tmpl w:val="3DB49A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BE00552"/>
    <w:multiLevelType w:val="hybridMultilevel"/>
    <w:tmpl w:val="80AAA05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C634119"/>
    <w:multiLevelType w:val="hybridMultilevel"/>
    <w:tmpl w:val="50B8F7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CAB0A77"/>
    <w:multiLevelType w:val="multilevel"/>
    <w:tmpl w:val="0DEA063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CE36697"/>
    <w:multiLevelType w:val="multilevel"/>
    <w:tmpl w:val="6B564CB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12"/>
  </w:num>
  <w:num w:numId="3">
    <w:abstractNumId w:val="9"/>
  </w:num>
  <w:num w:numId="4">
    <w:abstractNumId w:val="5"/>
  </w:num>
  <w:num w:numId="5">
    <w:abstractNumId w:val="17"/>
  </w:num>
  <w:num w:numId="6">
    <w:abstractNumId w:val="24"/>
  </w:num>
  <w:num w:numId="7">
    <w:abstractNumId w:val="7"/>
  </w:num>
  <w:num w:numId="8">
    <w:abstractNumId w:val="13"/>
  </w:num>
  <w:num w:numId="9">
    <w:abstractNumId w:val="25"/>
  </w:num>
  <w:num w:numId="10">
    <w:abstractNumId w:val="22"/>
  </w:num>
  <w:num w:numId="11">
    <w:abstractNumId w:val="4"/>
  </w:num>
  <w:num w:numId="12">
    <w:abstractNumId w:val="19"/>
  </w:num>
  <w:num w:numId="13">
    <w:abstractNumId w:val="15"/>
  </w:num>
  <w:num w:numId="14">
    <w:abstractNumId w:val="10"/>
  </w:num>
  <w:num w:numId="15">
    <w:abstractNumId w:val="18"/>
  </w:num>
  <w:num w:numId="16">
    <w:abstractNumId w:val="6"/>
  </w:num>
  <w:num w:numId="17">
    <w:abstractNumId w:val="0"/>
  </w:num>
  <w:num w:numId="18">
    <w:abstractNumId w:val="1"/>
  </w:num>
  <w:num w:numId="19">
    <w:abstractNumId w:val="23"/>
  </w:num>
  <w:num w:numId="20">
    <w:abstractNumId w:val="3"/>
  </w:num>
  <w:num w:numId="21">
    <w:abstractNumId w:val="14"/>
  </w:num>
  <w:num w:numId="22">
    <w:abstractNumId w:val="20"/>
  </w:num>
  <w:num w:numId="23">
    <w:abstractNumId w:val="2"/>
  </w:num>
  <w:num w:numId="24">
    <w:abstractNumId w:val="16"/>
  </w:num>
  <w:num w:numId="25">
    <w:abstractNumId w:val="21"/>
  </w:num>
  <w:num w:numId="26">
    <w:abstractNumId w:val="8"/>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07"/>
    <w:rsid w:val="00001A13"/>
    <w:rsid w:val="00002626"/>
    <w:rsid w:val="0001075E"/>
    <w:rsid w:val="0001096F"/>
    <w:rsid w:val="000129DC"/>
    <w:rsid w:val="000138AA"/>
    <w:rsid w:val="0001456D"/>
    <w:rsid w:val="00015785"/>
    <w:rsid w:val="00021C24"/>
    <w:rsid w:val="000248EA"/>
    <w:rsid w:val="00026B5C"/>
    <w:rsid w:val="00030651"/>
    <w:rsid w:val="00031386"/>
    <w:rsid w:val="00044926"/>
    <w:rsid w:val="000453DC"/>
    <w:rsid w:val="00053066"/>
    <w:rsid w:val="000565A6"/>
    <w:rsid w:val="0005728C"/>
    <w:rsid w:val="000578B8"/>
    <w:rsid w:val="00062643"/>
    <w:rsid w:val="00064E01"/>
    <w:rsid w:val="000656E1"/>
    <w:rsid w:val="00066E3F"/>
    <w:rsid w:val="00067CDC"/>
    <w:rsid w:val="00076C59"/>
    <w:rsid w:val="00082FA3"/>
    <w:rsid w:val="00083CA8"/>
    <w:rsid w:val="0008634D"/>
    <w:rsid w:val="000907FF"/>
    <w:rsid w:val="00094AD2"/>
    <w:rsid w:val="0009732F"/>
    <w:rsid w:val="000A0A00"/>
    <w:rsid w:val="000A0B35"/>
    <w:rsid w:val="000A3A1F"/>
    <w:rsid w:val="000A636E"/>
    <w:rsid w:val="000B09B0"/>
    <w:rsid w:val="000B0B61"/>
    <w:rsid w:val="000B10CA"/>
    <w:rsid w:val="000B1C7D"/>
    <w:rsid w:val="000B200C"/>
    <w:rsid w:val="000B6312"/>
    <w:rsid w:val="000B77F1"/>
    <w:rsid w:val="000C2134"/>
    <w:rsid w:val="000C2D26"/>
    <w:rsid w:val="000C5B90"/>
    <w:rsid w:val="000C610B"/>
    <w:rsid w:val="000C65FF"/>
    <w:rsid w:val="000C667E"/>
    <w:rsid w:val="000C731B"/>
    <w:rsid w:val="000D15CD"/>
    <w:rsid w:val="000D1740"/>
    <w:rsid w:val="000D17D4"/>
    <w:rsid w:val="000D5748"/>
    <w:rsid w:val="000D5C1C"/>
    <w:rsid w:val="000D6B33"/>
    <w:rsid w:val="000D76A7"/>
    <w:rsid w:val="000D7D14"/>
    <w:rsid w:val="000E2708"/>
    <w:rsid w:val="000E2915"/>
    <w:rsid w:val="000E295E"/>
    <w:rsid w:val="000E2C78"/>
    <w:rsid w:val="000E2DA0"/>
    <w:rsid w:val="000F0D3C"/>
    <w:rsid w:val="000F114F"/>
    <w:rsid w:val="000F4AD6"/>
    <w:rsid w:val="000F4C77"/>
    <w:rsid w:val="000F754D"/>
    <w:rsid w:val="00105B7A"/>
    <w:rsid w:val="00106C13"/>
    <w:rsid w:val="001112F2"/>
    <w:rsid w:val="00114CD8"/>
    <w:rsid w:val="001168A0"/>
    <w:rsid w:val="00116D1B"/>
    <w:rsid w:val="001175D9"/>
    <w:rsid w:val="00117EAB"/>
    <w:rsid w:val="001218DC"/>
    <w:rsid w:val="001229AB"/>
    <w:rsid w:val="001279B3"/>
    <w:rsid w:val="00131F30"/>
    <w:rsid w:val="001509F6"/>
    <w:rsid w:val="00152A20"/>
    <w:rsid w:val="00152ED7"/>
    <w:rsid w:val="0015551D"/>
    <w:rsid w:val="00160379"/>
    <w:rsid w:val="00161E00"/>
    <w:rsid w:val="00170609"/>
    <w:rsid w:val="00170E72"/>
    <w:rsid w:val="0017112D"/>
    <w:rsid w:val="00172D38"/>
    <w:rsid w:val="001763F9"/>
    <w:rsid w:val="00176AF6"/>
    <w:rsid w:val="00177550"/>
    <w:rsid w:val="00182651"/>
    <w:rsid w:val="00186BB4"/>
    <w:rsid w:val="00190E46"/>
    <w:rsid w:val="001930B1"/>
    <w:rsid w:val="001A2965"/>
    <w:rsid w:val="001A3036"/>
    <w:rsid w:val="001A393B"/>
    <w:rsid w:val="001A4888"/>
    <w:rsid w:val="001A5C69"/>
    <w:rsid w:val="001A7F7C"/>
    <w:rsid w:val="001B0146"/>
    <w:rsid w:val="001B1F43"/>
    <w:rsid w:val="001B7B88"/>
    <w:rsid w:val="001C3D89"/>
    <w:rsid w:val="001C7208"/>
    <w:rsid w:val="001D1DB8"/>
    <w:rsid w:val="001D24C9"/>
    <w:rsid w:val="001D6F7C"/>
    <w:rsid w:val="001D7FCD"/>
    <w:rsid w:val="001E05B0"/>
    <w:rsid w:val="001E1454"/>
    <w:rsid w:val="001E1A0D"/>
    <w:rsid w:val="001E3394"/>
    <w:rsid w:val="001E33D7"/>
    <w:rsid w:val="001E3DEB"/>
    <w:rsid w:val="001E405C"/>
    <w:rsid w:val="001F1D74"/>
    <w:rsid w:val="001F561A"/>
    <w:rsid w:val="00200868"/>
    <w:rsid w:val="00201E10"/>
    <w:rsid w:val="002024DB"/>
    <w:rsid w:val="00210FED"/>
    <w:rsid w:val="002115F1"/>
    <w:rsid w:val="00213C9A"/>
    <w:rsid w:val="00214C75"/>
    <w:rsid w:val="00215542"/>
    <w:rsid w:val="00217066"/>
    <w:rsid w:val="002176AA"/>
    <w:rsid w:val="00217AFF"/>
    <w:rsid w:val="00225AFC"/>
    <w:rsid w:val="00225C72"/>
    <w:rsid w:val="00226331"/>
    <w:rsid w:val="00226392"/>
    <w:rsid w:val="00232527"/>
    <w:rsid w:val="00232E56"/>
    <w:rsid w:val="00242DEB"/>
    <w:rsid w:val="00244FE2"/>
    <w:rsid w:val="00245991"/>
    <w:rsid w:val="0024739D"/>
    <w:rsid w:val="00256D15"/>
    <w:rsid w:val="00261F0D"/>
    <w:rsid w:val="00267D5F"/>
    <w:rsid w:val="0028057A"/>
    <w:rsid w:val="00284AF9"/>
    <w:rsid w:val="00284FED"/>
    <w:rsid w:val="00286BCD"/>
    <w:rsid w:val="00290EE1"/>
    <w:rsid w:val="002A00AA"/>
    <w:rsid w:val="002A354E"/>
    <w:rsid w:val="002A557A"/>
    <w:rsid w:val="002A759C"/>
    <w:rsid w:val="002B27D9"/>
    <w:rsid w:val="002B79BE"/>
    <w:rsid w:val="002C0865"/>
    <w:rsid w:val="002C2DFD"/>
    <w:rsid w:val="002C4172"/>
    <w:rsid w:val="002D40F9"/>
    <w:rsid w:val="002D57F1"/>
    <w:rsid w:val="002D6740"/>
    <w:rsid w:val="002E0E93"/>
    <w:rsid w:val="002E30AB"/>
    <w:rsid w:val="002E4ED3"/>
    <w:rsid w:val="002E576A"/>
    <w:rsid w:val="002F07E0"/>
    <w:rsid w:val="002F4536"/>
    <w:rsid w:val="002F5058"/>
    <w:rsid w:val="002F6E04"/>
    <w:rsid w:val="00301B76"/>
    <w:rsid w:val="00306BE3"/>
    <w:rsid w:val="00310390"/>
    <w:rsid w:val="0031558A"/>
    <w:rsid w:val="00324707"/>
    <w:rsid w:val="00334C93"/>
    <w:rsid w:val="0033552D"/>
    <w:rsid w:val="00340758"/>
    <w:rsid w:val="003438D0"/>
    <w:rsid w:val="00346265"/>
    <w:rsid w:val="0034698B"/>
    <w:rsid w:val="003514FE"/>
    <w:rsid w:val="00351598"/>
    <w:rsid w:val="00352051"/>
    <w:rsid w:val="00352231"/>
    <w:rsid w:val="00364DB4"/>
    <w:rsid w:val="00370049"/>
    <w:rsid w:val="003724E3"/>
    <w:rsid w:val="0037620C"/>
    <w:rsid w:val="00380499"/>
    <w:rsid w:val="00385E9A"/>
    <w:rsid w:val="0039082D"/>
    <w:rsid w:val="00394198"/>
    <w:rsid w:val="00395BDF"/>
    <w:rsid w:val="003A2D43"/>
    <w:rsid w:val="003A3ADC"/>
    <w:rsid w:val="003A5E42"/>
    <w:rsid w:val="003A6C96"/>
    <w:rsid w:val="003B056D"/>
    <w:rsid w:val="003B0764"/>
    <w:rsid w:val="003B1674"/>
    <w:rsid w:val="003B2582"/>
    <w:rsid w:val="003B41D6"/>
    <w:rsid w:val="003B66E0"/>
    <w:rsid w:val="003B751C"/>
    <w:rsid w:val="003C1E9B"/>
    <w:rsid w:val="003C5D34"/>
    <w:rsid w:val="003C7F7E"/>
    <w:rsid w:val="003D0C39"/>
    <w:rsid w:val="003D20F3"/>
    <w:rsid w:val="003D5FD8"/>
    <w:rsid w:val="003D6DBA"/>
    <w:rsid w:val="003D7352"/>
    <w:rsid w:val="003E4B06"/>
    <w:rsid w:val="003E4C96"/>
    <w:rsid w:val="003F4B68"/>
    <w:rsid w:val="003F5E6A"/>
    <w:rsid w:val="003F631E"/>
    <w:rsid w:val="00401AE1"/>
    <w:rsid w:val="00403983"/>
    <w:rsid w:val="0040404C"/>
    <w:rsid w:val="00410152"/>
    <w:rsid w:val="00412E03"/>
    <w:rsid w:val="00414C35"/>
    <w:rsid w:val="00421BA1"/>
    <w:rsid w:val="00421EC8"/>
    <w:rsid w:val="00427CD7"/>
    <w:rsid w:val="00432C58"/>
    <w:rsid w:val="00432E5E"/>
    <w:rsid w:val="00433C43"/>
    <w:rsid w:val="0043450D"/>
    <w:rsid w:val="00441198"/>
    <w:rsid w:val="0044176E"/>
    <w:rsid w:val="004417A3"/>
    <w:rsid w:val="004422B1"/>
    <w:rsid w:val="00443940"/>
    <w:rsid w:val="004443CE"/>
    <w:rsid w:val="0044734C"/>
    <w:rsid w:val="00453049"/>
    <w:rsid w:val="0045363B"/>
    <w:rsid w:val="00454E54"/>
    <w:rsid w:val="00464CB3"/>
    <w:rsid w:val="00467B65"/>
    <w:rsid w:val="00470D8C"/>
    <w:rsid w:val="004739D3"/>
    <w:rsid w:val="004806FD"/>
    <w:rsid w:val="0048411B"/>
    <w:rsid w:val="004842D5"/>
    <w:rsid w:val="00485C5E"/>
    <w:rsid w:val="0048795C"/>
    <w:rsid w:val="00492A13"/>
    <w:rsid w:val="00492B56"/>
    <w:rsid w:val="00493688"/>
    <w:rsid w:val="004944E3"/>
    <w:rsid w:val="004A03C6"/>
    <w:rsid w:val="004A3814"/>
    <w:rsid w:val="004A74AA"/>
    <w:rsid w:val="004A77AB"/>
    <w:rsid w:val="004B13E5"/>
    <w:rsid w:val="004B436F"/>
    <w:rsid w:val="004C1D06"/>
    <w:rsid w:val="004C1F16"/>
    <w:rsid w:val="004C2601"/>
    <w:rsid w:val="004C74A0"/>
    <w:rsid w:val="004C7972"/>
    <w:rsid w:val="004D3220"/>
    <w:rsid w:val="004E3C77"/>
    <w:rsid w:val="004F0371"/>
    <w:rsid w:val="004F29C6"/>
    <w:rsid w:val="004F6BAA"/>
    <w:rsid w:val="004F72FE"/>
    <w:rsid w:val="004F759C"/>
    <w:rsid w:val="004F7E9F"/>
    <w:rsid w:val="00505B24"/>
    <w:rsid w:val="005072E8"/>
    <w:rsid w:val="00511E0E"/>
    <w:rsid w:val="00512C0E"/>
    <w:rsid w:val="00514693"/>
    <w:rsid w:val="00521561"/>
    <w:rsid w:val="00523AE6"/>
    <w:rsid w:val="00523CCF"/>
    <w:rsid w:val="0052497F"/>
    <w:rsid w:val="005259BE"/>
    <w:rsid w:val="005274EC"/>
    <w:rsid w:val="00531B25"/>
    <w:rsid w:val="00534850"/>
    <w:rsid w:val="00537DFB"/>
    <w:rsid w:val="005470CE"/>
    <w:rsid w:val="00547555"/>
    <w:rsid w:val="00553B62"/>
    <w:rsid w:val="00564F4D"/>
    <w:rsid w:val="0057048B"/>
    <w:rsid w:val="00570836"/>
    <w:rsid w:val="00571009"/>
    <w:rsid w:val="005717B6"/>
    <w:rsid w:val="0057494D"/>
    <w:rsid w:val="00574B04"/>
    <w:rsid w:val="00575135"/>
    <w:rsid w:val="00575A3E"/>
    <w:rsid w:val="0058499A"/>
    <w:rsid w:val="00584D00"/>
    <w:rsid w:val="00585DFC"/>
    <w:rsid w:val="00592ECC"/>
    <w:rsid w:val="0059471A"/>
    <w:rsid w:val="005973F9"/>
    <w:rsid w:val="005A01F5"/>
    <w:rsid w:val="005A063E"/>
    <w:rsid w:val="005B2EC0"/>
    <w:rsid w:val="005B322A"/>
    <w:rsid w:val="005B3E30"/>
    <w:rsid w:val="005C1D7B"/>
    <w:rsid w:val="005C4D6B"/>
    <w:rsid w:val="005C4E8E"/>
    <w:rsid w:val="005C6DC1"/>
    <w:rsid w:val="005D2931"/>
    <w:rsid w:val="005D2982"/>
    <w:rsid w:val="005E0BA9"/>
    <w:rsid w:val="005E1CA1"/>
    <w:rsid w:val="005E2BCE"/>
    <w:rsid w:val="005E4D36"/>
    <w:rsid w:val="005E5728"/>
    <w:rsid w:val="005E5C22"/>
    <w:rsid w:val="005E6577"/>
    <w:rsid w:val="005E6B49"/>
    <w:rsid w:val="005F1220"/>
    <w:rsid w:val="005F262C"/>
    <w:rsid w:val="005F4F8C"/>
    <w:rsid w:val="005F5D19"/>
    <w:rsid w:val="00600366"/>
    <w:rsid w:val="00601D95"/>
    <w:rsid w:val="00602E36"/>
    <w:rsid w:val="00606376"/>
    <w:rsid w:val="006066F5"/>
    <w:rsid w:val="00610211"/>
    <w:rsid w:val="00611954"/>
    <w:rsid w:val="0061621A"/>
    <w:rsid w:val="00623B18"/>
    <w:rsid w:val="00625612"/>
    <w:rsid w:val="006274D3"/>
    <w:rsid w:val="006337CF"/>
    <w:rsid w:val="00635A75"/>
    <w:rsid w:val="00636C98"/>
    <w:rsid w:val="00641134"/>
    <w:rsid w:val="00641A5D"/>
    <w:rsid w:val="00654D84"/>
    <w:rsid w:val="0065638A"/>
    <w:rsid w:val="00656524"/>
    <w:rsid w:val="00662E92"/>
    <w:rsid w:val="00663168"/>
    <w:rsid w:val="00663CF8"/>
    <w:rsid w:val="00675FAE"/>
    <w:rsid w:val="00676450"/>
    <w:rsid w:val="00682B5D"/>
    <w:rsid w:val="006844F4"/>
    <w:rsid w:val="0069104F"/>
    <w:rsid w:val="006934B7"/>
    <w:rsid w:val="0069613E"/>
    <w:rsid w:val="00696872"/>
    <w:rsid w:val="006A2A6F"/>
    <w:rsid w:val="006A2D12"/>
    <w:rsid w:val="006A4B97"/>
    <w:rsid w:val="006B4E0F"/>
    <w:rsid w:val="006B7B07"/>
    <w:rsid w:val="006C08A7"/>
    <w:rsid w:val="006C45AD"/>
    <w:rsid w:val="006C46D3"/>
    <w:rsid w:val="006C4A22"/>
    <w:rsid w:val="006C5F01"/>
    <w:rsid w:val="006C75AB"/>
    <w:rsid w:val="006D0D2B"/>
    <w:rsid w:val="006D1D6C"/>
    <w:rsid w:val="006D248F"/>
    <w:rsid w:val="006D2692"/>
    <w:rsid w:val="006D4159"/>
    <w:rsid w:val="006E649E"/>
    <w:rsid w:val="006E6E63"/>
    <w:rsid w:val="006F52A5"/>
    <w:rsid w:val="006F66EB"/>
    <w:rsid w:val="00704E07"/>
    <w:rsid w:val="00705128"/>
    <w:rsid w:val="00710D0E"/>
    <w:rsid w:val="0071294C"/>
    <w:rsid w:val="00713C46"/>
    <w:rsid w:val="007153A2"/>
    <w:rsid w:val="007156DC"/>
    <w:rsid w:val="00720709"/>
    <w:rsid w:val="007217D0"/>
    <w:rsid w:val="00732015"/>
    <w:rsid w:val="00740CEA"/>
    <w:rsid w:val="00740F74"/>
    <w:rsid w:val="0074538F"/>
    <w:rsid w:val="00750ED0"/>
    <w:rsid w:val="00754767"/>
    <w:rsid w:val="00755705"/>
    <w:rsid w:val="00755849"/>
    <w:rsid w:val="00761556"/>
    <w:rsid w:val="0077084F"/>
    <w:rsid w:val="007717A7"/>
    <w:rsid w:val="0077511F"/>
    <w:rsid w:val="007761E8"/>
    <w:rsid w:val="00783A6A"/>
    <w:rsid w:val="00787AD1"/>
    <w:rsid w:val="00790975"/>
    <w:rsid w:val="007A18DE"/>
    <w:rsid w:val="007A210B"/>
    <w:rsid w:val="007A4671"/>
    <w:rsid w:val="007A5387"/>
    <w:rsid w:val="007B0CFB"/>
    <w:rsid w:val="007B2D1D"/>
    <w:rsid w:val="007B5CF9"/>
    <w:rsid w:val="007B6D5D"/>
    <w:rsid w:val="007C0607"/>
    <w:rsid w:val="007C1F8F"/>
    <w:rsid w:val="007D0F29"/>
    <w:rsid w:val="007D256C"/>
    <w:rsid w:val="007D66D7"/>
    <w:rsid w:val="007D6A51"/>
    <w:rsid w:val="007D6E5D"/>
    <w:rsid w:val="007D7C01"/>
    <w:rsid w:val="007E0DD0"/>
    <w:rsid w:val="007E1BB7"/>
    <w:rsid w:val="007E2789"/>
    <w:rsid w:val="007E4E1D"/>
    <w:rsid w:val="007E5EE3"/>
    <w:rsid w:val="007E5F98"/>
    <w:rsid w:val="007E66C9"/>
    <w:rsid w:val="007E721F"/>
    <w:rsid w:val="007F135B"/>
    <w:rsid w:val="007F4C91"/>
    <w:rsid w:val="007F63A0"/>
    <w:rsid w:val="007F7349"/>
    <w:rsid w:val="0080066C"/>
    <w:rsid w:val="00801C83"/>
    <w:rsid w:val="00803992"/>
    <w:rsid w:val="008123B4"/>
    <w:rsid w:val="00814490"/>
    <w:rsid w:val="008149A6"/>
    <w:rsid w:val="00816B49"/>
    <w:rsid w:val="0081757E"/>
    <w:rsid w:val="00825F1B"/>
    <w:rsid w:val="008265E8"/>
    <w:rsid w:val="00826EEF"/>
    <w:rsid w:val="00827F5B"/>
    <w:rsid w:val="008305EB"/>
    <w:rsid w:val="00831EC8"/>
    <w:rsid w:val="00835762"/>
    <w:rsid w:val="00836456"/>
    <w:rsid w:val="00850003"/>
    <w:rsid w:val="00850A7C"/>
    <w:rsid w:val="00851989"/>
    <w:rsid w:val="0085570C"/>
    <w:rsid w:val="00857DC0"/>
    <w:rsid w:val="00860296"/>
    <w:rsid w:val="00864AD8"/>
    <w:rsid w:val="00870A90"/>
    <w:rsid w:val="008718EC"/>
    <w:rsid w:val="00876666"/>
    <w:rsid w:val="0088089F"/>
    <w:rsid w:val="008810B3"/>
    <w:rsid w:val="00882E04"/>
    <w:rsid w:val="00894A32"/>
    <w:rsid w:val="00895216"/>
    <w:rsid w:val="008A1D19"/>
    <w:rsid w:val="008A6C9E"/>
    <w:rsid w:val="008B3C3D"/>
    <w:rsid w:val="008C0F40"/>
    <w:rsid w:val="008C4841"/>
    <w:rsid w:val="008D0A7D"/>
    <w:rsid w:val="008D4C65"/>
    <w:rsid w:val="008E209F"/>
    <w:rsid w:val="008E7089"/>
    <w:rsid w:val="008E79A5"/>
    <w:rsid w:val="008E7CD1"/>
    <w:rsid w:val="008F0CA6"/>
    <w:rsid w:val="008F0FC5"/>
    <w:rsid w:val="008F1418"/>
    <w:rsid w:val="008F45C2"/>
    <w:rsid w:val="008F5294"/>
    <w:rsid w:val="008F5B6A"/>
    <w:rsid w:val="0090141E"/>
    <w:rsid w:val="009035CE"/>
    <w:rsid w:val="00904133"/>
    <w:rsid w:val="009123E8"/>
    <w:rsid w:val="00915317"/>
    <w:rsid w:val="00915EF4"/>
    <w:rsid w:val="0092238F"/>
    <w:rsid w:val="00926B70"/>
    <w:rsid w:val="009304E7"/>
    <w:rsid w:val="0093246A"/>
    <w:rsid w:val="00935B06"/>
    <w:rsid w:val="00936D55"/>
    <w:rsid w:val="009372B3"/>
    <w:rsid w:val="009430BC"/>
    <w:rsid w:val="00951217"/>
    <w:rsid w:val="009515CA"/>
    <w:rsid w:val="00952D31"/>
    <w:rsid w:val="009610FD"/>
    <w:rsid w:val="00961938"/>
    <w:rsid w:val="00970D87"/>
    <w:rsid w:val="00972E74"/>
    <w:rsid w:val="009750BD"/>
    <w:rsid w:val="00977E3B"/>
    <w:rsid w:val="00984CA2"/>
    <w:rsid w:val="00985240"/>
    <w:rsid w:val="0098534E"/>
    <w:rsid w:val="00986CE3"/>
    <w:rsid w:val="00993A3B"/>
    <w:rsid w:val="009A0F8C"/>
    <w:rsid w:val="009A3434"/>
    <w:rsid w:val="009A372E"/>
    <w:rsid w:val="009A5180"/>
    <w:rsid w:val="009B0DE5"/>
    <w:rsid w:val="009B2781"/>
    <w:rsid w:val="009B2EA7"/>
    <w:rsid w:val="009C3132"/>
    <w:rsid w:val="009C484E"/>
    <w:rsid w:val="009C5D22"/>
    <w:rsid w:val="009C647F"/>
    <w:rsid w:val="009D2117"/>
    <w:rsid w:val="009D2772"/>
    <w:rsid w:val="009D2BBB"/>
    <w:rsid w:val="009E0B4C"/>
    <w:rsid w:val="009E295D"/>
    <w:rsid w:val="009E2B31"/>
    <w:rsid w:val="009E3825"/>
    <w:rsid w:val="009E3BD4"/>
    <w:rsid w:val="009E778F"/>
    <w:rsid w:val="009F3AB6"/>
    <w:rsid w:val="009F424D"/>
    <w:rsid w:val="009F728D"/>
    <w:rsid w:val="00A013DE"/>
    <w:rsid w:val="00A05B66"/>
    <w:rsid w:val="00A05E4D"/>
    <w:rsid w:val="00A05F8F"/>
    <w:rsid w:val="00A062B6"/>
    <w:rsid w:val="00A11611"/>
    <w:rsid w:val="00A17FD8"/>
    <w:rsid w:val="00A217E7"/>
    <w:rsid w:val="00A22641"/>
    <w:rsid w:val="00A256CD"/>
    <w:rsid w:val="00A30B2B"/>
    <w:rsid w:val="00A31976"/>
    <w:rsid w:val="00A32EF9"/>
    <w:rsid w:val="00A35B8F"/>
    <w:rsid w:val="00A35D84"/>
    <w:rsid w:val="00A449D8"/>
    <w:rsid w:val="00A462E5"/>
    <w:rsid w:val="00A53C92"/>
    <w:rsid w:val="00A54080"/>
    <w:rsid w:val="00A55643"/>
    <w:rsid w:val="00A64181"/>
    <w:rsid w:val="00A70290"/>
    <w:rsid w:val="00A7117B"/>
    <w:rsid w:val="00A73664"/>
    <w:rsid w:val="00A743D5"/>
    <w:rsid w:val="00A75C77"/>
    <w:rsid w:val="00A77E9E"/>
    <w:rsid w:val="00A82A46"/>
    <w:rsid w:val="00A859DB"/>
    <w:rsid w:val="00A901C5"/>
    <w:rsid w:val="00A90482"/>
    <w:rsid w:val="00A9157A"/>
    <w:rsid w:val="00A93FD5"/>
    <w:rsid w:val="00A94035"/>
    <w:rsid w:val="00A965FE"/>
    <w:rsid w:val="00AA1165"/>
    <w:rsid w:val="00AA788D"/>
    <w:rsid w:val="00AB07E7"/>
    <w:rsid w:val="00AB0DB6"/>
    <w:rsid w:val="00AB3F67"/>
    <w:rsid w:val="00AB64B8"/>
    <w:rsid w:val="00AB6B7B"/>
    <w:rsid w:val="00AB79B0"/>
    <w:rsid w:val="00AC3D40"/>
    <w:rsid w:val="00AC4F24"/>
    <w:rsid w:val="00AD0264"/>
    <w:rsid w:val="00AD250D"/>
    <w:rsid w:val="00AD45E7"/>
    <w:rsid w:val="00AE0159"/>
    <w:rsid w:val="00AE2E68"/>
    <w:rsid w:val="00AE5535"/>
    <w:rsid w:val="00AE5BFB"/>
    <w:rsid w:val="00AF421E"/>
    <w:rsid w:val="00B02DA5"/>
    <w:rsid w:val="00B0337A"/>
    <w:rsid w:val="00B03E69"/>
    <w:rsid w:val="00B04B4D"/>
    <w:rsid w:val="00B07889"/>
    <w:rsid w:val="00B11A45"/>
    <w:rsid w:val="00B11E06"/>
    <w:rsid w:val="00B133E7"/>
    <w:rsid w:val="00B14BD5"/>
    <w:rsid w:val="00B155D8"/>
    <w:rsid w:val="00B21AA1"/>
    <w:rsid w:val="00B251E0"/>
    <w:rsid w:val="00B25354"/>
    <w:rsid w:val="00B27CF1"/>
    <w:rsid w:val="00B30681"/>
    <w:rsid w:val="00B310BD"/>
    <w:rsid w:val="00B322E2"/>
    <w:rsid w:val="00B32BF9"/>
    <w:rsid w:val="00B36157"/>
    <w:rsid w:val="00B46012"/>
    <w:rsid w:val="00B5131E"/>
    <w:rsid w:val="00B54E90"/>
    <w:rsid w:val="00B55204"/>
    <w:rsid w:val="00B55DAC"/>
    <w:rsid w:val="00B561B5"/>
    <w:rsid w:val="00B562A3"/>
    <w:rsid w:val="00B563C5"/>
    <w:rsid w:val="00B57EA5"/>
    <w:rsid w:val="00B60785"/>
    <w:rsid w:val="00B609BC"/>
    <w:rsid w:val="00B613F9"/>
    <w:rsid w:val="00B63553"/>
    <w:rsid w:val="00B64D55"/>
    <w:rsid w:val="00B72DEC"/>
    <w:rsid w:val="00B743C6"/>
    <w:rsid w:val="00B75880"/>
    <w:rsid w:val="00B76615"/>
    <w:rsid w:val="00B76FAF"/>
    <w:rsid w:val="00B801B8"/>
    <w:rsid w:val="00B809FD"/>
    <w:rsid w:val="00B80C47"/>
    <w:rsid w:val="00B81112"/>
    <w:rsid w:val="00B85220"/>
    <w:rsid w:val="00B93135"/>
    <w:rsid w:val="00BA252D"/>
    <w:rsid w:val="00BA28FB"/>
    <w:rsid w:val="00BB056D"/>
    <w:rsid w:val="00BB165B"/>
    <w:rsid w:val="00BB3564"/>
    <w:rsid w:val="00BB4B21"/>
    <w:rsid w:val="00BC2FDA"/>
    <w:rsid w:val="00BC3B6A"/>
    <w:rsid w:val="00BC3EB9"/>
    <w:rsid w:val="00BC486F"/>
    <w:rsid w:val="00BC6360"/>
    <w:rsid w:val="00BD6CA5"/>
    <w:rsid w:val="00BE1342"/>
    <w:rsid w:val="00BE22D9"/>
    <w:rsid w:val="00BE32BF"/>
    <w:rsid w:val="00BE6F15"/>
    <w:rsid w:val="00BE793B"/>
    <w:rsid w:val="00BF1512"/>
    <w:rsid w:val="00BF22EF"/>
    <w:rsid w:val="00BF4DB9"/>
    <w:rsid w:val="00BF63CD"/>
    <w:rsid w:val="00C063A1"/>
    <w:rsid w:val="00C07EFB"/>
    <w:rsid w:val="00C12ABE"/>
    <w:rsid w:val="00C200B9"/>
    <w:rsid w:val="00C21461"/>
    <w:rsid w:val="00C21C4F"/>
    <w:rsid w:val="00C25FDA"/>
    <w:rsid w:val="00C33735"/>
    <w:rsid w:val="00C37A30"/>
    <w:rsid w:val="00C4407C"/>
    <w:rsid w:val="00C4521A"/>
    <w:rsid w:val="00C454BA"/>
    <w:rsid w:val="00C46C99"/>
    <w:rsid w:val="00C51F03"/>
    <w:rsid w:val="00C619B5"/>
    <w:rsid w:val="00C61D47"/>
    <w:rsid w:val="00C63292"/>
    <w:rsid w:val="00C637D3"/>
    <w:rsid w:val="00C66F48"/>
    <w:rsid w:val="00C712E0"/>
    <w:rsid w:val="00C80255"/>
    <w:rsid w:val="00C81D9C"/>
    <w:rsid w:val="00C83CFB"/>
    <w:rsid w:val="00C84174"/>
    <w:rsid w:val="00C872B3"/>
    <w:rsid w:val="00C8760D"/>
    <w:rsid w:val="00C9257C"/>
    <w:rsid w:val="00CA53DD"/>
    <w:rsid w:val="00CB0FAA"/>
    <w:rsid w:val="00CB24CF"/>
    <w:rsid w:val="00CB3526"/>
    <w:rsid w:val="00CC3E7B"/>
    <w:rsid w:val="00CC5A64"/>
    <w:rsid w:val="00CC71B8"/>
    <w:rsid w:val="00CD0DCE"/>
    <w:rsid w:val="00CD2501"/>
    <w:rsid w:val="00CD25C1"/>
    <w:rsid w:val="00CD2B1C"/>
    <w:rsid w:val="00CD3333"/>
    <w:rsid w:val="00CD52B4"/>
    <w:rsid w:val="00CD5D61"/>
    <w:rsid w:val="00CE07EA"/>
    <w:rsid w:val="00CE1AF8"/>
    <w:rsid w:val="00CE2ADE"/>
    <w:rsid w:val="00CE34C4"/>
    <w:rsid w:val="00CE49BE"/>
    <w:rsid w:val="00CE5463"/>
    <w:rsid w:val="00CE58E0"/>
    <w:rsid w:val="00CE7D60"/>
    <w:rsid w:val="00CF1504"/>
    <w:rsid w:val="00CF46BA"/>
    <w:rsid w:val="00D03E43"/>
    <w:rsid w:val="00D050E0"/>
    <w:rsid w:val="00D05781"/>
    <w:rsid w:val="00D06C96"/>
    <w:rsid w:val="00D112CC"/>
    <w:rsid w:val="00D1542D"/>
    <w:rsid w:val="00D1626D"/>
    <w:rsid w:val="00D16C50"/>
    <w:rsid w:val="00D17821"/>
    <w:rsid w:val="00D3402A"/>
    <w:rsid w:val="00D377CF"/>
    <w:rsid w:val="00D40D85"/>
    <w:rsid w:val="00D45CD2"/>
    <w:rsid w:val="00D4644A"/>
    <w:rsid w:val="00D47C87"/>
    <w:rsid w:val="00D5134B"/>
    <w:rsid w:val="00D545F0"/>
    <w:rsid w:val="00D54AD1"/>
    <w:rsid w:val="00D55AAD"/>
    <w:rsid w:val="00D55AD9"/>
    <w:rsid w:val="00D56342"/>
    <w:rsid w:val="00D56D94"/>
    <w:rsid w:val="00D63CB1"/>
    <w:rsid w:val="00D67C4A"/>
    <w:rsid w:val="00D72127"/>
    <w:rsid w:val="00D722B8"/>
    <w:rsid w:val="00D766FC"/>
    <w:rsid w:val="00D82CE4"/>
    <w:rsid w:val="00D8323C"/>
    <w:rsid w:val="00D85941"/>
    <w:rsid w:val="00D86489"/>
    <w:rsid w:val="00D92DCF"/>
    <w:rsid w:val="00D938F8"/>
    <w:rsid w:val="00D96A6D"/>
    <w:rsid w:val="00DA6892"/>
    <w:rsid w:val="00DB3773"/>
    <w:rsid w:val="00DB3D1B"/>
    <w:rsid w:val="00DB577A"/>
    <w:rsid w:val="00DB57B1"/>
    <w:rsid w:val="00DB7D94"/>
    <w:rsid w:val="00DC1751"/>
    <w:rsid w:val="00DC2362"/>
    <w:rsid w:val="00DC3962"/>
    <w:rsid w:val="00DC61A2"/>
    <w:rsid w:val="00DD2F01"/>
    <w:rsid w:val="00DD3F55"/>
    <w:rsid w:val="00DD4455"/>
    <w:rsid w:val="00DE287F"/>
    <w:rsid w:val="00DE47BE"/>
    <w:rsid w:val="00DE732E"/>
    <w:rsid w:val="00DE7FED"/>
    <w:rsid w:val="00DF09B2"/>
    <w:rsid w:val="00DF3102"/>
    <w:rsid w:val="00DF482C"/>
    <w:rsid w:val="00DF74D9"/>
    <w:rsid w:val="00E01248"/>
    <w:rsid w:val="00E020EA"/>
    <w:rsid w:val="00E06905"/>
    <w:rsid w:val="00E11082"/>
    <w:rsid w:val="00E11E58"/>
    <w:rsid w:val="00E20EB0"/>
    <w:rsid w:val="00E213C6"/>
    <w:rsid w:val="00E21849"/>
    <w:rsid w:val="00E33378"/>
    <w:rsid w:val="00E357C7"/>
    <w:rsid w:val="00E40463"/>
    <w:rsid w:val="00E43096"/>
    <w:rsid w:val="00E4389E"/>
    <w:rsid w:val="00E4553C"/>
    <w:rsid w:val="00E45F4B"/>
    <w:rsid w:val="00E45FAB"/>
    <w:rsid w:val="00E51640"/>
    <w:rsid w:val="00E52177"/>
    <w:rsid w:val="00E54C6E"/>
    <w:rsid w:val="00E653AD"/>
    <w:rsid w:val="00E65A9C"/>
    <w:rsid w:val="00E66019"/>
    <w:rsid w:val="00E76CD0"/>
    <w:rsid w:val="00E85E1A"/>
    <w:rsid w:val="00E91465"/>
    <w:rsid w:val="00E92F16"/>
    <w:rsid w:val="00E94D35"/>
    <w:rsid w:val="00E94E09"/>
    <w:rsid w:val="00E9722E"/>
    <w:rsid w:val="00EA0032"/>
    <w:rsid w:val="00EA0A32"/>
    <w:rsid w:val="00EA0D32"/>
    <w:rsid w:val="00EA1448"/>
    <w:rsid w:val="00EA2ED8"/>
    <w:rsid w:val="00EA491C"/>
    <w:rsid w:val="00EB2FFF"/>
    <w:rsid w:val="00EC4FC8"/>
    <w:rsid w:val="00EC7D39"/>
    <w:rsid w:val="00ED5B55"/>
    <w:rsid w:val="00ED664D"/>
    <w:rsid w:val="00ED79CF"/>
    <w:rsid w:val="00EE0157"/>
    <w:rsid w:val="00EE4AA9"/>
    <w:rsid w:val="00EE544B"/>
    <w:rsid w:val="00EF7E2F"/>
    <w:rsid w:val="00F00E20"/>
    <w:rsid w:val="00F03631"/>
    <w:rsid w:val="00F05042"/>
    <w:rsid w:val="00F063D3"/>
    <w:rsid w:val="00F06942"/>
    <w:rsid w:val="00F10758"/>
    <w:rsid w:val="00F13DAC"/>
    <w:rsid w:val="00F31693"/>
    <w:rsid w:val="00F320B4"/>
    <w:rsid w:val="00F33FE4"/>
    <w:rsid w:val="00F35C2C"/>
    <w:rsid w:val="00F3633F"/>
    <w:rsid w:val="00F376D8"/>
    <w:rsid w:val="00F4269D"/>
    <w:rsid w:val="00F429B4"/>
    <w:rsid w:val="00F42B6A"/>
    <w:rsid w:val="00F45E68"/>
    <w:rsid w:val="00F50617"/>
    <w:rsid w:val="00F54FF4"/>
    <w:rsid w:val="00F55923"/>
    <w:rsid w:val="00F5612A"/>
    <w:rsid w:val="00F56A9B"/>
    <w:rsid w:val="00F62DA5"/>
    <w:rsid w:val="00F642C7"/>
    <w:rsid w:val="00F705B1"/>
    <w:rsid w:val="00F70AB4"/>
    <w:rsid w:val="00F719D8"/>
    <w:rsid w:val="00F74017"/>
    <w:rsid w:val="00F80079"/>
    <w:rsid w:val="00F805FF"/>
    <w:rsid w:val="00F84178"/>
    <w:rsid w:val="00F844DA"/>
    <w:rsid w:val="00F92910"/>
    <w:rsid w:val="00F96895"/>
    <w:rsid w:val="00FA2449"/>
    <w:rsid w:val="00FB2FF1"/>
    <w:rsid w:val="00FB3876"/>
    <w:rsid w:val="00FB3D53"/>
    <w:rsid w:val="00FB68C0"/>
    <w:rsid w:val="00FB75AC"/>
    <w:rsid w:val="00FC1D49"/>
    <w:rsid w:val="00FC2AFE"/>
    <w:rsid w:val="00FC39BA"/>
    <w:rsid w:val="00FC3FF4"/>
    <w:rsid w:val="00FC7869"/>
    <w:rsid w:val="00FD0244"/>
    <w:rsid w:val="00FD265F"/>
    <w:rsid w:val="00FD7CEE"/>
    <w:rsid w:val="00FE0420"/>
    <w:rsid w:val="00FE0CF4"/>
    <w:rsid w:val="00FE1CA4"/>
    <w:rsid w:val="00FE28E5"/>
    <w:rsid w:val="00FE7BCB"/>
    <w:rsid w:val="00FF2867"/>
    <w:rsid w:val="00FF4E31"/>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FC159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rPr>
  </w:style>
  <w:style w:type="paragraph" w:styleId="Heading1">
    <w:name w:val="heading 1"/>
    <w:basedOn w:val="Normal"/>
    <w:next w:val="Normal"/>
    <w:qFormat/>
    <w:pPr>
      <w:keepNext/>
      <w:spacing w:line="360" w:lineRule="auto"/>
      <w:ind w:left="720"/>
      <w:outlineLvl w:val="0"/>
    </w:pPr>
    <w:rPr>
      <w:b/>
    </w:rPr>
  </w:style>
  <w:style w:type="paragraph" w:styleId="Heading2">
    <w:name w:val="heading 2"/>
    <w:basedOn w:val="Normal"/>
    <w:next w:val="Normal"/>
    <w:qFormat/>
    <w:pPr>
      <w:keepNext/>
      <w:spacing w:line="360" w:lineRule="auto"/>
      <w:jc w:val="both"/>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LineNumber">
    <w:name w:val="line number"/>
    <w:basedOn w:val="DefaultParagraphFont"/>
  </w:style>
  <w:style w:type="paragraph" w:styleId="ListParagraph">
    <w:name w:val="List Paragraph"/>
    <w:basedOn w:val="Normal"/>
    <w:uiPriority w:val="34"/>
    <w:qFormat/>
    <w:rsid w:val="009304E7"/>
    <w:pPr>
      <w:ind w:left="720"/>
    </w:pPr>
  </w:style>
  <w:style w:type="paragraph" w:styleId="BalloonText">
    <w:name w:val="Balloon Text"/>
    <w:basedOn w:val="Normal"/>
    <w:link w:val="BalloonTextChar"/>
    <w:rsid w:val="00F642C7"/>
    <w:rPr>
      <w:rFonts w:ascii="Segoe UI" w:hAnsi="Segoe UI" w:cs="Segoe UI"/>
      <w:sz w:val="18"/>
      <w:szCs w:val="18"/>
    </w:rPr>
  </w:style>
  <w:style w:type="character" w:customStyle="1" w:styleId="BalloonTextChar">
    <w:name w:val="Balloon Text Char"/>
    <w:link w:val="BalloonText"/>
    <w:rsid w:val="00F642C7"/>
    <w:rPr>
      <w:rFonts w:ascii="Segoe UI" w:hAnsi="Segoe UI" w:cs="Segoe UI"/>
      <w:sz w:val="18"/>
      <w:szCs w:val="18"/>
      <w:lang w:eastAsia="en-US"/>
    </w:rPr>
  </w:style>
  <w:style w:type="character" w:styleId="CommentReference">
    <w:name w:val="annotation reference"/>
    <w:basedOn w:val="DefaultParagraphFont"/>
    <w:rsid w:val="001D1DB8"/>
    <w:rPr>
      <w:sz w:val="18"/>
      <w:szCs w:val="18"/>
    </w:rPr>
  </w:style>
  <w:style w:type="paragraph" w:styleId="CommentText">
    <w:name w:val="annotation text"/>
    <w:basedOn w:val="Normal"/>
    <w:link w:val="CommentTextChar"/>
    <w:rsid w:val="001D1DB8"/>
    <w:rPr>
      <w:sz w:val="24"/>
      <w:szCs w:val="24"/>
    </w:rPr>
  </w:style>
  <w:style w:type="character" w:customStyle="1" w:styleId="CommentTextChar">
    <w:name w:val="Comment Text Char"/>
    <w:basedOn w:val="DefaultParagraphFont"/>
    <w:link w:val="CommentText"/>
    <w:rsid w:val="001D1DB8"/>
    <w:rPr>
      <w:rFonts w:ascii="Arial" w:hAnsi="Arial"/>
      <w:sz w:val="24"/>
      <w:szCs w:val="24"/>
      <w:lang w:val="en-GB"/>
    </w:rPr>
  </w:style>
  <w:style w:type="paragraph" w:styleId="CommentSubject">
    <w:name w:val="annotation subject"/>
    <w:basedOn w:val="CommentText"/>
    <w:next w:val="CommentText"/>
    <w:link w:val="CommentSubjectChar"/>
    <w:rsid w:val="001D1DB8"/>
    <w:rPr>
      <w:b/>
      <w:bCs/>
      <w:sz w:val="20"/>
      <w:szCs w:val="20"/>
    </w:rPr>
  </w:style>
  <w:style w:type="character" w:customStyle="1" w:styleId="CommentSubjectChar">
    <w:name w:val="Comment Subject Char"/>
    <w:basedOn w:val="CommentTextChar"/>
    <w:link w:val="CommentSubject"/>
    <w:rsid w:val="001D1DB8"/>
    <w:rPr>
      <w:rFonts w:ascii="Arial" w:hAnsi="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eal\Local%20Settings\Temporary%20Internet%20Files\OLK6\REPORT%20TEMPLATE%20-%20SEPT%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1B97-88AF-4396-9400-58022F91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SEPT  07</Template>
  <TotalTime>26</TotalTime>
  <Pages>16</Pages>
  <Words>4225</Words>
  <Characters>22035</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1</vt:lpstr>
    </vt:vector>
  </TitlesOfParts>
  <Company>Kemp &amp; Kemp</Company>
  <LinksUpToDate>false</LinksUpToDate>
  <CharactersWithSpaces>26208</CharactersWithSpaces>
  <SharedDoc>false</SharedDoc>
  <HLinks>
    <vt:vector size="12" baseType="variant">
      <vt:variant>
        <vt:i4>720993</vt:i4>
      </vt:variant>
      <vt:variant>
        <vt:i4>2227</vt:i4>
      </vt:variant>
      <vt:variant>
        <vt:i4>1025</vt:i4>
      </vt:variant>
      <vt:variant>
        <vt:i4>1</vt:i4>
      </vt:variant>
      <vt:variant>
        <vt:lpwstr>KEMP&amp;KEMP 2col logo on 4 col blue (small)</vt:lpwstr>
      </vt:variant>
      <vt:variant>
        <vt:lpwstr/>
      </vt:variant>
      <vt:variant>
        <vt:i4>720993</vt:i4>
      </vt:variant>
      <vt:variant>
        <vt:i4>40376</vt:i4>
      </vt:variant>
      <vt:variant>
        <vt:i4>1026</vt:i4>
      </vt:variant>
      <vt:variant>
        <vt:i4>1</vt:i4>
      </vt:variant>
      <vt:variant>
        <vt:lpwstr>KEMP&amp;KEMP 2col logo on 4 col blue (small)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mjeal</dc:creator>
  <cp:keywords/>
  <cp:lastModifiedBy>Lane, Marisia</cp:lastModifiedBy>
  <cp:revision>5</cp:revision>
  <cp:lastPrinted>2018-04-11T15:25:00Z</cp:lastPrinted>
  <dcterms:created xsi:type="dcterms:W3CDTF">2018-04-11T14:14:00Z</dcterms:created>
  <dcterms:modified xsi:type="dcterms:W3CDTF">2018-04-11T15:25:00Z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4393883v1</vt:lpwstr>
  </property>
</Properties>
</file>