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96"/>
        <w:gridCol w:w="7366"/>
      </w:tblGrid>
      <w:tr w:rsidR="004713A3" w:rsidRPr="003822D4" w:rsidTr="00F34639">
        <w:tc>
          <w:tcPr>
            <w:tcW w:w="1696" w:type="dxa"/>
          </w:tcPr>
          <w:p w:rsidR="004713A3" w:rsidRPr="003822D4" w:rsidRDefault="004713A3" w:rsidP="00F34639">
            <w:pPr>
              <w:rPr>
                <w:rFonts w:ascii="Lucida Sans" w:hAnsi="Lucida Sans"/>
                <w:b/>
                <w:sz w:val="24"/>
                <w:lang w:val="en-GB"/>
              </w:rPr>
            </w:pPr>
            <w:r w:rsidRPr="003822D4">
              <w:rPr>
                <w:rFonts w:ascii="Lucida Sans" w:hAnsi="Lucida Sans"/>
                <w:b/>
                <w:sz w:val="24"/>
                <w:lang w:val="en-GB"/>
              </w:rPr>
              <w:t xml:space="preserve">Title: </w:t>
            </w:r>
          </w:p>
        </w:tc>
        <w:tc>
          <w:tcPr>
            <w:tcW w:w="7366" w:type="dxa"/>
          </w:tcPr>
          <w:p w:rsidR="004713A3" w:rsidRPr="003822D4" w:rsidRDefault="004713A3" w:rsidP="00316A29">
            <w:pPr>
              <w:rPr>
                <w:rFonts w:ascii="Lucida Sans" w:hAnsi="Lucida Sans"/>
                <w:b/>
                <w:sz w:val="28"/>
                <w:lang w:val="en-GB"/>
              </w:rPr>
            </w:pPr>
            <w:r w:rsidRPr="003822D4">
              <w:rPr>
                <w:rFonts w:ascii="Lucida Sans" w:hAnsi="Lucida Sans"/>
                <w:b/>
                <w:sz w:val="24"/>
                <w:lang w:val="en-GB"/>
              </w:rPr>
              <w:t xml:space="preserve">Planning Condition: </w:t>
            </w:r>
            <w:r w:rsidR="00316A29" w:rsidRPr="00057F7A">
              <w:rPr>
                <w:rFonts w:ascii="Lucida Sans" w:hAnsi="Lucida Sans"/>
                <w:b/>
                <w:sz w:val="24"/>
                <w:lang w:val="en-GB"/>
              </w:rPr>
              <w:t>Energy (17/00471/DISC) Land South West Of Bicester Adjoining Oxford Road And Middleton Stoney Road Bicester</w:t>
            </w:r>
          </w:p>
        </w:tc>
      </w:tr>
      <w:tr w:rsidR="004713A3" w:rsidRPr="003822D4" w:rsidTr="00F34639">
        <w:tc>
          <w:tcPr>
            <w:tcW w:w="1696" w:type="dxa"/>
          </w:tcPr>
          <w:p w:rsidR="004713A3" w:rsidRPr="003822D4" w:rsidRDefault="004713A3" w:rsidP="00F34639">
            <w:pPr>
              <w:rPr>
                <w:rFonts w:ascii="Lucida Sans" w:hAnsi="Lucida Sans"/>
                <w:b/>
                <w:sz w:val="24"/>
                <w:lang w:val="en-GB"/>
              </w:rPr>
            </w:pPr>
            <w:r w:rsidRPr="003822D4">
              <w:rPr>
                <w:rFonts w:ascii="Lucida Sans" w:hAnsi="Lucida Sans"/>
                <w:b/>
                <w:sz w:val="24"/>
                <w:lang w:val="en-GB"/>
              </w:rPr>
              <w:t xml:space="preserve">Request Date: </w:t>
            </w:r>
          </w:p>
        </w:tc>
        <w:tc>
          <w:tcPr>
            <w:tcW w:w="7366" w:type="dxa"/>
          </w:tcPr>
          <w:p w:rsidR="004713A3" w:rsidRPr="003822D4" w:rsidRDefault="007E4880" w:rsidP="00F34639">
            <w:pPr>
              <w:rPr>
                <w:rFonts w:ascii="Lucida Sans" w:hAnsi="Lucida Sans"/>
                <w:sz w:val="20"/>
                <w:lang w:val="en-GB"/>
              </w:rPr>
            </w:pPr>
            <w:r>
              <w:rPr>
                <w:rFonts w:ascii="Lucida Sans" w:hAnsi="Lucida Sans"/>
                <w:sz w:val="20"/>
                <w:lang w:val="en-GB"/>
              </w:rPr>
              <w:t>15 January 2018</w:t>
            </w:r>
          </w:p>
        </w:tc>
      </w:tr>
      <w:tr w:rsidR="004713A3" w:rsidRPr="003822D4" w:rsidTr="00F34639">
        <w:tc>
          <w:tcPr>
            <w:tcW w:w="1696" w:type="dxa"/>
          </w:tcPr>
          <w:p w:rsidR="004713A3" w:rsidRPr="003822D4" w:rsidRDefault="004713A3" w:rsidP="00F34639">
            <w:pPr>
              <w:rPr>
                <w:rFonts w:ascii="Lucida Sans" w:hAnsi="Lucida Sans"/>
                <w:b/>
                <w:sz w:val="24"/>
                <w:lang w:val="en-GB"/>
              </w:rPr>
            </w:pPr>
            <w:r w:rsidRPr="003822D4">
              <w:rPr>
                <w:rFonts w:ascii="Lucida Sans" w:hAnsi="Lucida Sans"/>
                <w:b/>
                <w:sz w:val="24"/>
                <w:lang w:val="en-GB"/>
              </w:rPr>
              <w:t xml:space="preserve">Due: </w:t>
            </w:r>
          </w:p>
        </w:tc>
        <w:tc>
          <w:tcPr>
            <w:tcW w:w="7366" w:type="dxa"/>
          </w:tcPr>
          <w:p w:rsidR="004713A3" w:rsidRPr="003822D4" w:rsidRDefault="004713A3" w:rsidP="00F34639">
            <w:pPr>
              <w:rPr>
                <w:rFonts w:ascii="Lucida Sans" w:hAnsi="Lucida Sans"/>
                <w:sz w:val="20"/>
                <w:lang w:val="en-GB"/>
              </w:rPr>
            </w:pPr>
          </w:p>
        </w:tc>
      </w:tr>
      <w:tr w:rsidR="004713A3" w:rsidRPr="003822D4" w:rsidTr="00F34639">
        <w:tc>
          <w:tcPr>
            <w:tcW w:w="1696" w:type="dxa"/>
          </w:tcPr>
          <w:p w:rsidR="004713A3" w:rsidRPr="003822D4" w:rsidRDefault="004713A3" w:rsidP="00F34639">
            <w:pPr>
              <w:rPr>
                <w:rFonts w:ascii="Lucida Sans" w:hAnsi="Lucida Sans"/>
                <w:b/>
                <w:sz w:val="24"/>
                <w:lang w:val="en-GB"/>
              </w:rPr>
            </w:pPr>
            <w:r w:rsidRPr="003822D4">
              <w:rPr>
                <w:rFonts w:ascii="Lucida Sans" w:hAnsi="Lucida Sans"/>
                <w:b/>
                <w:sz w:val="24"/>
                <w:lang w:val="en-GB"/>
              </w:rPr>
              <w:t xml:space="preserve">Issued: </w:t>
            </w:r>
          </w:p>
        </w:tc>
        <w:tc>
          <w:tcPr>
            <w:tcW w:w="7366" w:type="dxa"/>
          </w:tcPr>
          <w:p w:rsidR="004713A3" w:rsidRPr="003822D4" w:rsidRDefault="006D37F6" w:rsidP="00740667">
            <w:pPr>
              <w:rPr>
                <w:rFonts w:ascii="Lucida Sans" w:hAnsi="Lucida Sans"/>
                <w:sz w:val="20"/>
                <w:lang w:val="en-GB"/>
              </w:rPr>
            </w:pPr>
            <w:r>
              <w:rPr>
                <w:rFonts w:ascii="Lucida Sans" w:hAnsi="Lucida Sans"/>
                <w:sz w:val="20"/>
                <w:lang w:val="en-GB"/>
              </w:rPr>
              <w:t>5</w:t>
            </w:r>
            <w:bookmarkStart w:id="0" w:name="_GoBack"/>
            <w:bookmarkEnd w:id="0"/>
            <w:r w:rsidR="007E4880">
              <w:rPr>
                <w:rFonts w:ascii="Lucida Sans" w:hAnsi="Lucida Sans"/>
                <w:sz w:val="20"/>
                <w:lang w:val="en-GB"/>
              </w:rPr>
              <w:t xml:space="preserve"> February 2018</w:t>
            </w:r>
          </w:p>
        </w:tc>
      </w:tr>
      <w:tr w:rsidR="004713A3" w:rsidRPr="003822D4" w:rsidTr="00F34639">
        <w:tc>
          <w:tcPr>
            <w:tcW w:w="1696" w:type="dxa"/>
          </w:tcPr>
          <w:p w:rsidR="004713A3" w:rsidRPr="003822D4" w:rsidRDefault="004713A3" w:rsidP="00F34639">
            <w:pPr>
              <w:rPr>
                <w:rFonts w:ascii="Lucida Sans" w:hAnsi="Lucida Sans"/>
                <w:b/>
                <w:sz w:val="24"/>
                <w:lang w:val="en-GB"/>
              </w:rPr>
            </w:pPr>
            <w:r w:rsidRPr="003822D4">
              <w:rPr>
                <w:rFonts w:ascii="Lucida Sans" w:hAnsi="Lucida Sans"/>
                <w:b/>
                <w:sz w:val="24"/>
                <w:lang w:val="en-GB"/>
              </w:rPr>
              <w:t>Name of Cherwell Employee Requesting:</w:t>
            </w:r>
          </w:p>
        </w:tc>
        <w:tc>
          <w:tcPr>
            <w:tcW w:w="7366" w:type="dxa"/>
          </w:tcPr>
          <w:p w:rsidR="004713A3" w:rsidRPr="003822D4" w:rsidRDefault="004713A3" w:rsidP="00F34639">
            <w:pPr>
              <w:rPr>
                <w:rFonts w:ascii="Lucida Sans" w:hAnsi="Lucida Sans"/>
                <w:sz w:val="20"/>
              </w:rPr>
            </w:pPr>
            <w:r w:rsidRPr="003822D4">
              <w:rPr>
                <w:rFonts w:ascii="Lucida Sans" w:hAnsi="Lucida Sans"/>
                <w:sz w:val="20"/>
              </w:rPr>
              <w:t>Jenny Barker</w:t>
            </w:r>
          </w:p>
          <w:p w:rsidR="004713A3" w:rsidRPr="003822D4" w:rsidRDefault="00AA39C3" w:rsidP="00F34639">
            <w:pPr>
              <w:rPr>
                <w:rFonts w:ascii="Lucida Sans" w:hAnsi="Lucida Sans"/>
                <w:sz w:val="20"/>
              </w:rPr>
            </w:pPr>
            <w:hyperlink r:id="rId8" w:history="1">
              <w:r w:rsidR="004713A3" w:rsidRPr="003822D4">
                <w:rPr>
                  <w:rStyle w:val="Hyperlink"/>
                  <w:rFonts w:ascii="Lucida Sans" w:hAnsi="Lucida Sans"/>
                  <w:sz w:val="20"/>
                </w:rPr>
                <w:t>jenny.barker@cherwellandsouthnorthants.gov.uk</w:t>
              </w:r>
            </w:hyperlink>
            <w:r w:rsidR="004713A3" w:rsidRPr="003822D4">
              <w:rPr>
                <w:rFonts w:ascii="Lucida Sans" w:hAnsi="Lucida Sans"/>
                <w:sz w:val="20"/>
              </w:rPr>
              <w:t xml:space="preserve"> </w:t>
            </w:r>
          </w:p>
          <w:p w:rsidR="004713A3" w:rsidRPr="003822D4" w:rsidRDefault="004713A3" w:rsidP="00F34639">
            <w:pPr>
              <w:rPr>
                <w:rFonts w:ascii="Lucida Sans" w:hAnsi="Lucida Sans"/>
                <w:sz w:val="20"/>
              </w:rPr>
            </w:pPr>
            <w:r w:rsidRPr="003822D4">
              <w:rPr>
                <w:rFonts w:ascii="Lucida Sans" w:hAnsi="Lucida Sans"/>
                <w:lang w:eastAsia="en-GB"/>
              </w:rPr>
              <w:t xml:space="preserve">01295 221828  </w:t>
            </w:r>
            <w:r w:rsidRPr="003822D4">
              <w:rPr>
                <w:rFonts w:ascii="Lucida Sans" w:hAnsi="Lucida Sans" w:cs="Arial"/>
                <w:sz w:val="20"/>
                <w:szCs w:val="20"/>
                <w:lang w:eastAsia="en-GB"/>
              </w:rPr>
              <w:t xml:space="preserve"> </w:t>
            </w:r>
          </w:p>
        </w:tc>
      </w:tr>
      <w:tr w:rsidR="004713A3" w:rsidRPr="003822D4" w:rsidTr="00F34639">
        <w:tc>
          <w:tcPr>
            <w:tcW w:w="1696" w:type="dxa"/>
          </w:tcPr>
          <w:p w:rsidR="004713A3" w:rsidRPr="003822D4" w:rsidRDefault="004713A3" w:rsidP="00F34639">
            <w:pPr>
              <w:rPr>
                <w:rFonts w:ascii="Lucida Sans" w:hAnsi="Lucida Sans"/>
                <w:b/>
                <w:sz w:val="24"/>
                <w:lang w:val="en-GB"/>
              </w:rPr>
            </w:pPr>
            <w:r w:rsidRPr="003822D4">
              <w:rPr>
                <w:rFonts w:ascii="Lucida Sans" w:hAnsi="Lucida Sans"/>
                <w:b/>
                <w:sz w:val="24"/>
                <w:lang w:val="en-GB"/>
              </w:rPr>
              <w:t xml:space="preserve">Details of Request: </w:t>
            </w:r>
          </w:p>
        </w:tc>
        <w:tc>
          <w:tcPr>
            <w:tcW w:w="7366" w:type="dxa"/>
          </w:tcPr>
          <w:p w:rsidR="004713A3" w:rsidRPr="003822D4" w:rsidRDefault="007E4880" w:rsidP="007E4880">
            <w:pPr>
              <w:rPr>
                <w:rFonts w:ascii="Lucida Sans" w:hAnsi="Lucida Sans"/>
                <w:sz w:val="20"/>
                <w:lang w:val="en-GB"/>
              </w:rPr>
            </w:pPr>
            <w:r>
              <w:rPr>
                <w:rFonts w:ascii="Lucida Sans" w:hAnsi="Lucida Sans"/>
                <w:sz w:val="20"/>
                <w:lang w:val="en-GB"/>
              </w:rPr>
              <w:t xml:space="preserve">Revised Energy Strategy submission following initial comments regarding compliance with policy requirements for further review and assessment </w:t>
            </w:r>
          </w:p>
        </w:tc>
      </w:tr>
      <w:tr w:rsidR="004713A3" w:rsidRPr="003822D4" w:rsidTr="00F34639">
        <w:tc>
          <w:tcPr>
            <w:tcW w:w="1696" w:type="dxa"/>
          </w:tcPr>
          <w:p w:rsidR="004713A3" w:rsidRPr="003822D4" w:rsidRDefault="004713A3" w:rsidP="00F34639">
            <w:pPr>
              <w:rPr>
                <w:rFonts w:ascii="Lucida Sans" w:hAnsi="Lucida Sans"/>
                <w:b/>
                <w:sz w:val="24"/>
                <w:lang w:val="en-GB"/>
              </w:rPr>
            </w:pPr>
            <w:r w:rsidRPr="003822D4">
              <w:rPr>
                <w:rFonts w:ascii="Lucida Sans" w:hAnsi="Lucida Sans"/>
                <w:b/>
                <w:sz w:val="24"/>
                <w:lang w:val="en-GB"/>
              </w:rPr>
              <w:t xml:space="preserve">Actions: </w:t>
            </w:r>
          </w:p>
        </w:tc>
        <w:tc>
          <w:tcPr>
            <w:tcW w:w="7366" w:type="dxa"/>
          </w:tcPr>
          <w:p w:rsidR="004713A3" w:rsidRPr="003822D4" w:rsidRDefault="004713A3" w:rsidP="00F34639">
            <w:pPr>
              <w:rPr>
                <w:rFonts w:ascii="Lucida Sans" w:hAnsi="Lucida Sans"/>
                <w:sz w:val="20"/>
                <w:lang w:val="en-GB"/>
              </w:rPr>
            </w:pPr>
            <w:r w:rsidRPr="003822D4">
              <w:rPr>
                <w:rFonts w:ascii="Lucida Sans" w:hAnsi="Lucida Sans"/>
                <w:sz w:val="20"/>
                <w:lang w:val="en-GB"/>
              </w:rPr>
              <w:t>See comments below</w:t>
            </w:r>
          </w:p>
        </w:tc>
      </w:tr>
    </w:tbl>
    <w:p w:rsidR="00316A29" w:rsidRPr="003822D4" w:rsidRDefault="00316A29">
      <w:pPr>
        <w:rPr>
          <w:b/>
          <w:sz w:val="14"/>
          <w:lang w:val="en-GB"/>
        </w:rPr>
      </w:pPr>
    </w:p>
    <w:p w:rsidR="003748F7" w:rsidRPr="003822D4" w:rsidRDefault="003748F7">
      <w:pPr>
        <w:rPr>
          <w:rFonts w:ascii="Lucida Sans" w:hAnsi="Lucida Sans"/>
          <w:b/>
          <w:sz w:val="20"/>
          <w:szCs w:val="20"/>
          <w:lang w:val="en-GB"/>
        </w:rPr>
      </w:pPr>
      <w:r w:rsidRPr="003822D4">
        <w:rPr>
          <w:rFonts w:ascii="Lucida Sans" w:hAnsi="Lucida Sans"/>
          <w:b/>
          <w:sz w:val="20"/>
          <w:szCs w:val="20"/>
          <w:lang w:val="en-GB"/>
        </w:rPr>
        <w:t xml:space="preserve">Condition: </w:t>
      </w:r>
    </w:p>
    <w:p w:rsidR="00F26E87" w:rsidRDefault="008D196D" w:rsidP="00F26E87">
      <w:pPr>
        <w:rPr>
          <w:rFonts w:ascii="Lucida Sans" w:hAnsi="Lucida Sans"/>
          <w:sz w:val="20"/>
          <w:szCs w:val="20"/>
          <w:lang w:val="en-GB"/>
        </w:rPr>
      </w:pPr>
      <w:r w:rsidRPr="003822D4">
        <w:rPr>
          <w:rFonts w:ascii="Lucida Sans" w:hAnsi="Lucida Sans"/>
          <w:sz w:val="20"/>
          <w:szCs w:val="20"/>
          <w:lang w:val="en-GB"/>
        </w:rPr>
        <w:t xml:space="preserve">The original condition states that: </w:t>
      </w:r>
    </w:p>
    <w:p w:rsidR="00C7341B" w:rsidRPr="00FD681F" w:rsidRDefault="00C7341B" w:rsidP="00C7341B">
      <w:pPr>
        <w:rPr>
          <w:rFonts w:ascii="Lucida Sans" w:hAnsi="Lucida Sans"/>
          <w:i/>
          <w:sz w:val="20"/>
          <w:szCs w:val="20"/>
          <w:lang w:val="en-GB"/>
        </w:rPr>
      </w:pPr>
      <w:r w:rsidRPr="00FD681F">
        <w:rPr>
          <w:rFonts w:ascii="Lucida Sans" w:hAnsi="Lucida Sans" w:cs="Arial"/>
          <w:i/>
          <w:sz w:val="20"/>
          <w:szCs w:val="20"/>
          <w:lang w:val="en-GB"/>
        </w:rPr>
        <w:t xml:space="preserve">The dwellings hereby approved shall be constructed to be 19% more efficient than required by building regulations (2013 Part L). This shall be demonstrated in an Energy Statement which shall be submitted to and approved in writing by the LPA prior to the commencement of any development on the site. The development shall be built in accordance with the approved Energy Statement.    </w:t>
      </w:r>
    </w:p>
    <w:p w:rsidR="00C7341B" w:rsidRPr="00FD681F" w:rsidRDefault="00C7341B" w:rsidP="00C7341B">
      <w:pPr>
        <w:rPr>
          <w:rFonts w:ascii="Lucida Sans" w:hAnsi="Lucida Sans" w:cs="Arial"/>
          <w:i/>
          <w:sz w:val="20"/>
          <w:szCs w:val="20"/>
          <w:lang w:val="en-GB"/>
        </w:rPr>
      </w:pPr>
      <w:r w:rsidRPr="00FD681F">
        <w:rPr>
          <w:rFonts w:ascii="Lucida Sans" w:hAnsi="Lucida Sans" w:cs="Arial"/>
          <w:i/>
          <w:sz w:val="20"/>
          <w:szCs w:val="20"/>
          <w:lang w:val="en-GB"/>
        </w:rPr>
        <w:t>Reason - To ensure sustainable construction and reduce carbon emissions in accordance with Policy ESD3 of the adopted Cherwell Local Plan Part 1 2011-2031 and Government guidance contained within the National Planning Policy Framework.</w:t>
      </w:r>
    </w:p>
    <w:p w:rsidR="00C7341B" w:rsidRPr="003822D4" w:rsidRDefault="00C7341B" w:rsidP="00C7341B">
      <w:pPr>
        <w:rPr>
          <w:rFonts w:ascii="Lucida Sans" w:hAnsi="Lucida Sans" w:cs="Arial"/>
          <w:sz w:val="20"/>
          <w:szCs w:val="20"/>
          <w:lang w:val="en-GB"/>
        </w:rPr>
      </w:pPr>
      <w:r w:rsidRPr="003822D4">
        <w:rPr>
          <w:rFonts w:ascii="Lucida Sans" w:hAnsi="Lucida Sans" w:cs="Arial"/>
          <w:sz w:val="20"/>
          <w:szCs w:val="20"/>
          <w:lang w:val="en-GB"/>
        </w:rPr>
        <w:t>The energy statement attached to the application (dated August 2017, prepared by David Wright)</w:t>
      </w:r>
      <w:r>
        <w:rPr>
          <w:rFonts w:ascii="Lucida Sans" w:hAnsi="Lucida Sans" w:cs="Arial"/>
          <w:sz w:val="20"/>
          <w:szCs w:val="20"/>
          <w:lang w:val="en-GB"/>
        </w:rPr>
        <w:t xml:space="preserve"> stated</w:t>
      </w:r>
      <w:r w:rsidRPr="003822D4">
        <w:rPr>
          <w:rFonts w:ascii="Lucida Sans" w:hAnsi="Lucida Sans" w:cs="Arial"/>
          <w:sz w:val="20"/>
          <w:szCs w:val="20"/>
          <w:lang w:val="en-GB"/>
        </w:rPr>
        <w:t xml:space="preserve">: </w:t>
      </w:r>
    </w:p>
    <w:p w:rsidR="00C7341B" w:rsidRPr="003822D4" w:rsidRDefault="00C7341B" w:rsidP="00C7341B">
      <w:pPr>
        <w:rPr>
          <w:rFonts w:ascii="Lucida Sans" w:hAnsi="Lucida Sans"/>
          <w:i/>
          <w:sz w:val="20"/>
          <w:szCs w:val="20"/>
          <w:lang w:val="en-GB"/>
        </w:rPr>
      </w:pPr>
      <w:r w:rsidRPr="003822D4">
        <w:rPr>
          <w:rFonts w:ascii="Lucida Sans" w:hAnsi="Lucida Sans"/>
          <w:i/>
          <w:sz w:val="20"/>
          <w:szCs w:val="20"/>
          <w:lang w:val="en-GB"/>
        </w:rPr>
        <w:t>Bovis Homes have been requested to provide a report showing its approach to reducing CO</w:t>
      </w:r>
      <w:r w:rsidRPr="003822D4">
        <w:rPr>
          <w:rFonts w:ascii="Lucida Sans" w:hAnsi="Lucida Sans"/>
          <w:i/>
          <w:sz w:val="20"/>
          <w:szCs w:val="20"/>
          <w:vertAlign w:val="subscript"/>
          <w:lang w:val="en-GB"/>
        </w:rPr>
        <w:t>2</w:t>
      </w:r>
      <w:r w:rsidRPr="003822D4">
        <w:rPr>
          <w:rFonts w:ascii="Lucida Sans" w:hAnsi="Lucida Sans"/>
          <w:i/>
          <w:sz w:val="20"/>
          <w:szCs w:val="20"/>
          <w:lang w:val="en-GB"/>
        </w:rPr>
        <w:t xml:space="preserve"> emissions by 19% through the “Fabric First” approach and the use of renewable energy.</w:t>
      </w:r>
    </w:p>
    <w:p w:rsidR="00D11150" w:rsidRPr="003822D4" w:rsidRDefault="002E364B">
      <w:pPr>
        <w:rPr>
          <w:rFonts w:ascii="Lucida Sans" w:hAnsi="Lucida Sans"/>
          <w:b/>
          <w:sz w:val="20"/>
          <w:szCs w:val="20"/>
          <w:lang w:val="en-GB"/>
        </w:rPr>
      </w:pPr>
      <w:r w:rsidRPr="003822D4">
        <w:rPr>
          <w:rFonts w:ascii="Lucida Sans" w:hAnsi="Lucida Sans"/>
          <w:b/>
          <w:sz w:val="20"/>
          <w:szCs w:val="20"/>
          <w:lang w:val="en-GB"/>
        </w:rPr>
        <w:t xml:space="preserve">Assessment: </w:t>
      </w:r>
    </w:p>
    <w:p w:rsidR="008834B9" w:rsidRDefault="00C7341B">
      <w:pPr>
        <w:rPr>
          <w:rFonts w:ascii="Lucida Sans" w:hAnsi="Lucida Sans"/>
          <w:sz w:val="20"/>
          <w:szCs w:val="20"/>
          <w:lang w:val="en-GB"/>
        </w:rPr>
      </w:pPr>
      <w:r>
        <w:rPr>
          <w:rFonts w:ascii="Lucida Sans" w:hAnsi="Lucida Sans"/>
          <w:sz w:val="20"/>
          <w:szCs w:val="20"/>
          <w:lang w:val="en-GB"/>
        </w:rPr>
        <w:t>An assessment against the requirements set out in Policy ESD 3 was undertaken in October 2017 and found that there were two areas of non-compliance:</w:t>
      </w:r>
    </w:p>
    <w:p w:rsidR="00F9440E" w:rsidRPr="00F9440E" w:rsidRDefault="00F9440E" w:rsidP="00F9440E">
      <w:pPr>
        <w:pStyle w:val="ListParagraph"/>
        <w:numPr>
          <w:ilvl w:val="0"/>
          <w:numId w:val="6"/>
        </w:numPr>
        <w:rPr>
          <w:rFonts w:ascii="Lucida Sans" w:hAnsi="Lucida Sans"/>
          <w:sz w:val="20"/>
          <w:szCs w:val="20"/>
          <w:lang w:val="en-GB"/>
        </w:rPr>
      </w:pPr>
      <w:r w:rsidRPr="00F9440E">
        <w:rPr>
          <w:rFonts w:ascii="Lucida Sans" w:hAnsi="Lucida Sans"/>
          <w:sz w:val="20"/>
          <w:szCs w:val="20"/>
          <w:lang w:val="en-GB"/>
        </w:rPr>
        <w:t xml:space="preserve">The energy calculations provided take a blended reduction of 19% across the 207 units within the application. The policy requires that the ‘dwellings hereby approved shall be constructed to be 19% more efficient than required by building regulations </w:t>
      </w:r>
      <w:r w:rsidRPr="00F9440E">
        <w:rPr>
          <w:rFonts w:ascii="Lucida Sans" w:hAnsi="Lucida Sans"/>
          <w:sz w:val="20"/>
          <w:szCs w:val="20"/>
          <w:lang w:val="en-GB"/>
        </w:rPr>
        <w:lastRenderedPageBreak/>
        <w:t>(2013 Part L)’. As the energy strategy takes a blended approach to achieving this 19% reduction and therefore it is in non-compliance with the policy</w:t>
      </w:r>
      <w:r>
        <w:rPr>
          <w:rFonts w:ascii="Lucida Sans" w:hAnsi="Lucida Sans"/>
          <w:sz w:val="20"/>
          <w:szCs w:val="20"/>
          <w:lang w:val="en-GB"/>
        </w:rPr>
        <w:t>.</w:t>
      </w:r>
    </w:p>
    <w:p w:rsidR="00F9440E" w:rsidRDefault="00F9440E" w:rsidP="006A3B09">
      <w:pPr>
        <w:pStyle w:val="ListParagraph"/>
        <w:numPr>
          <w:ilvl w:val="0"/>
          <w:numId w:val="6"/>
        </w:numPr>
        <w:rPr>
          <w:rFonts w:ascii="Lucida Sans" w:hAnsi="Lucida Sans"/>
          <w:sz w:val="20"/>
          <w:szCs w:val="20"/>
          <w:lang w:val="en-GB"/>
        </w:rPr>
      </w:pPr>
      <w:r w:rsidRPr="00F9440E">
        <w:rPr>
          <w:rFonts w:ascii="Lucida Sans" w:hAnsi="Lucida Sans"/>
          <w:sz w:val="20"/>
          <w:szCs w:val="20"/>
          <w:lang w:val="en-GB"/>
        </w:rPr>
        <w:t xml:space="preserve">The Local Plan document sets out a requirement for a limit of 110 litres/person/day. The energy strategy document provided states that the design consumption for the application will be: </w:t>
      </w:r>
    </w:p>
    <w:p w:rsidR="00F9440E" w:rsidRDefault="00F9440E" w:rsidP="00F9440E">
      <w:pPr>
        <w:pStyle w:val="ListParagraph"/>
        <w:numPr>
          <w:ilvl w:val="0"/>
          <w:numId w:val="8"/>
        </w:numPr>
        <w:rPr>
          <w:rFonts w:ascii="Lucida Sans" w:hAnsi="Lucida Sans"/>
          <w:sz w:val="20"/>
          <w:szCs w:val="20"/>
          <w:lang w:val="en-GB"/>
        </w:rPr>
      </w:pPr>
      <w:r w:rsidRPr="00F9440E">
        <w:rPr>
          <w:rFonts w:ascii="Lucida Sans" w:hAnsi="Lucida Sans"/>
          <w:sz w:val="20"/>
          <w:szCs w:val="20"/>
          <w:lang w:val="en-GB"/>
        </w:rPr>
        <w:t xml:space="preserve">Private: 125 litres/person/day </w:t>
      </w:r>
    </w:p>
    <w:p w:rsidR="00F9440E" w:rsidRPr="00F9440E" w:rsidRDefault="00F9440E" w:rsidP="00F9440E">
      <w:pPr>
        <w:pStyle w:val="ListParagraph"/>
        <w:numPr>
          <w:ilvl w:val="0"/>
          <w:numId w:val="8"/>
        </w:numPr>
        <w:rPr>
          <w:rFonts w:ascii="Lucida Sans" w:hAnsi="Lucida Sans"/>
          <w:sz w:val="20"/>
          <w:szCs w:val="20"/>
          <w:lang w:val="en-GB"/>
        </w:rPr>
      </w:pPr>
      <w:r w:rsidRPr="00F9440E">
        <w:rPr>
          <w:rFonts w:ascii="Lucida Sans" w:hAnsi="Lucida Sans"/>
          <w:sz w:val="20"/>
          <w:szCs w:val="20"/>
          <w:lang w:val="en-GB"/>
        </w:rPr>
        <w:t>Social / Affordable: 105 litres/ person/ day</w:t>
      </w:r>
    </w:p>
    <w:p w:rsidR="00C7341B" w:rsidRDefault="00F9440E" w:rsidP="00F9440E">
      <w:pPr>
        <w:pStyle w:val="ListParagraph"/>
        <w:rPr>
          <w:rFonts w:ascii="Lucida Sans" w:hAnsi="Lucida Sans"/>
          <w:sz w:val="20"/>
          <w:szCs w:val="20"/>
          <w:lang w:val="en-GB"/>
        </w:rPr>
      </w:pPr>
      <w:r w:rsidRPr="00F9440E">
        <w:rPr>
          <w:rFonts w:ascii="Lucida Sans" w:hAnsi="Lucida Sans"/>
          <w:sz w:val="20"/>
          <w:szCs w:val="20"/>
          <w:lang w:val="en-GB"/>
        </w:rPr>
        <w:t>This is not compliant with the policy.</w:t>
      </w:r>
    </w:p>
    <w:p w:rsidR="00E54A28" w:rsidRDefault="00E54A28" w:rsidP="00E54A28">
      <w:pPr>
        <w:rPr>
          <w:rFonts w:ascii="Lucida Sans" w:hAnsi="Lucida Sans"/>
          <w:sz w:val="20"/>
          <w:szCs w:val="20"/>
          <w:lang w:val="en-GB"/>
        </w:rPr>
      </w:pPr>
      <w:r>
        <w:rPr>
          <w:rFonts w:ascii="Lucida Sans" w:hAnsi="Lucida Sans"/>
          <w:b/>
          <w:sz w:val="20"/>
          <w:szCs w:val="20"/>
          <w:lang w:val="en-GB"/>
        </w:rPr>
        <w:t xml:space="preserve">Revised Energy </w:t>
      </w:r>
      <w:r w:rsidR="00057F7A">
        <w:rPr>
          <w:rFonts w:ascii="Lucida Sans" w:hAnsi="Lucida Sans"/>
          <w:b/>
          <w:sz w:val="20"/>
          <w:szCs w:val="20"/>
          <w:lang w:val="en-GB"/>
        </w:rPr>
        <w:t>Statement</w:t>
      </w:r>
    </w:p>
    <w:p w:rsidR="00E54A28" w:rsidRPr="00E54A28" w:rsidRDefault="00E54A28" w:rsidP="00E54A28">
      <w:pPr>
        <w:rPr>
          <w:rFonts w:ascii="Lucida Sans" w:hAnsi="Lucida Sans"/>
          <w:sz w:val="20"/>
          <w:szCs w:val="20"/>
          <w:lang w:val="en-GB"/>
        </w:rPr>
      </w:pPr>
      <w:r>
        <w:rPr>
          <w:rFonts w:ascii="Lucida Sans" w:hAnsi="Lucida Sans"/>
          <w:sz w:val="20"/>
          <w:szCs w:val="20"/>
          <w:lang w:val="en-GB"/>
        </w:rPr>
        <w:t>A revised Energy</w:t>
      </w:r>
      <w:r w:rsidR="00057F7A">
        <w:rPr>
          <w:rFonts w:ascii="Lucida Sans" w:hAnsi="Lucida Sans"/>
          <w:sz w:val="20"/>
          <w:szCs w:val="20"/>
          <w:lang w:val="en-GB"/>
        </w:rPr>
        <w:t xml:space="preserve"> Statement</w:t>
      </w:r>
      <w:r>
        <w:rPr>
          <w:rFonts w:ascii="Lucida Sans" w:hAnsi="Lucida Sans"/>
          <w:sz w:val="20"/>
          <w:szCs w:val="20"/>
          <w:lang w:val="en-GB"/>
        </w:rPr>
        <w:t xml:space="preserve"> was submitted to </w:t>
      </w:r>
      <w:r w:rsidR="00057F7A">
        <w:rPr>
          <w:rFonts w:ascii="Lucida Sans" w:hAnsi="Lucida Sans"/>
          <w:sz w:val="20"/>
          <w:szCs w:val="20"/>
          <w:lang w:val="en-GB"/>
        </w:rPr>
        <w:t xml:space="preserve">Cherwell District Council in response to that assessment was submitted and this assessment reviews that and provides advised in relation to its compliance with policy. </w:t>
      </w:r>
    </w:p>
    <w:tbl>
      <w:tblPr>
        <w:tblStyle w:val="TableGrid"/>
        <w:tblW w:w="0" w:type="auto"/>
        <w:tblLook w:val="04A0" w:firstRow="1" w:lastRow="0" w:firstColumn="1" w:lastColumn="0" w:noHBand="0" w:noVBand="1"/>
      </w:tblPr>
      <w:tblGrid>
        <w:gridCol w:w="1129"/>
        <w:gridCol w:w="4253"/>
        <w:gridCol w:w="3680"/>
      </w:tblGrid>
      <w:tr w:rsidR="00357729" w:rsidRPr="003822D4" w:rsidTr="00F36003">
        <w:tc>
          <w:tcPr>
            <w:tcW w:w="1129" w:type="dxa"/>
          </w:tcPr>
          <w:p w:rsidR="00357729" w:rsidRPr="003822D4" w:rsidRDefault="00357729">
            <w:pPr>
              <w:rPr>
                <w:rFonts w:ascii="Lucida Sans" w:hAnsi="Lucida Sans"/>
                <w:sz w:val="20"/>
                <w:szCs w:val="20"/>
                <w:lang w:val="en-GB"/>
              </w:rPr>
            </w:pPr>
          </w:p>
        </w:tc>
        <w:tc>
          <w:tcPr>
            <w:tcW w:w="4253" w:type="dxa"/>
          </w:tcPr>
          <w:p w:rsidR="00357729" w:rsidRPr="00C87AED" w:rsidRDefault="00357729" w:rsidP="00740667">
            <w:pPr>
              <w:jc w:val="center"/>
              <w:rPr>
                <w:rFonts w:ascii="Lucida Sans" w:hAnsi="Lucida Sans"/>
                <w:b/>
                <w:sz w:val="20"/>
                <w:szCs w:val="20"/>
                <w:lang w:val="en-GB"/>
              </w:rPr>
            </w:pPr>
            <w:r w:rsidRPr="00C87AED">
              <w:rPr>
                <w:rFonts w:ascii="Lucida Sans" w:hAnsi="Lucida Sans"/>
                <w:b/>
                <w:sz w:val="20"/>
                <w:szCs w:val="20"/>
                <w:lang w:val="en-GB"/>
              </w:rPr>
              <w:t xml:space="preserve">Requirement </w:t>
            </w:r>
            <w:r w:rsidR="007E7E97">
              <w:rPr>
                <w:rFonts w:ascii="Lucida Sans" w:hAnsi="Lucida Sans"/>
                <w:b/>
                <w:sz w:val="20"/>
                <w:szCs w:val="20"/>
                <w:lang w:val="en-GB"/>
              </w:rPr>
              <w:t>(ESD 3)</w:t>
            </w:r>
          </w:p>
        </w:tc>
        <w:tc>
          <w:tcPr>
            <w:tcW w:w="3680" w:type="dxa"/>
          </w:tcPr>
          <w:p w:rsidR="00357729" w:rsidRPr="00C87AED" w:rsidRDefault="00C87AED" w:rsidP="00C87AED">
            <w:pPr>
              <w:jc w:val="center"/>
              <w:rPr>
                <w:rFonts w:ascii="Lucida Sans" w:hAnsi="Lucida Sans"/>
                <w:b/>
                <w:sz w:val="20"/>
                <w:szCs w:val="20"/>
                <w:lang w:val="en-GB"/>
              </w:rPr>
            </w:pPr>
            <w:r w:rsidRPr="00C87AED">
              <w:rPr>
                <w:rFonts w:ascii="Lucida Sans" w:hAnsi="Lucida Sans"/>
                <w:b/>
                <w:sz w:val="20"/>
                <w:szCs w:val="20"/>
                <w:lang w:val="en-GB"/>
              </w:rPr>
              <w:t>Response</w:t>
            </w:r>
          </w:p>
        </w:tc>
      </w:tr>
      <w:tr w:rsidR="007E7E97" w:rsidRPr="003822D4" w:rsidTr="00F36003">
        <w:tc>
          <w:tcPr>
            <w:tcW w:w="1129" w:type="dxa"/>
          </w:tcPr>
          <w:p w:rsidR="007E7E97" w:rsidRPr="00F36003" w:rsidRDefault="007E7E97" w:rsidP="007E7E97">
            <w:pPr>
              <w:rPr>
                <w:rFonts w:ascii="Lucida Sans" w:hAnsi="Lucida Sans"/>
                <w:b/>
                <w:sz w:val="20"/>
                <w:szCs w:val="20"/>
                <w:lang w:val="en-GB"/>
              </w:rPr>
            </w:pPr>
            <w:r w:rsidRPr="00F36003">
              <w:rPr>
                <w:rFonts w:ascii="Lucida Sans" w:hAnsi="Lucida Sans"/>
                <w:b/>
                <w:sz w:val="20"/>
                <w:szCs w:val="20"/>
                <w:lang w:val="en-GB"/>
              </w:rPr>
              <w:t>Energy</w:t>
            </w:r>
          </w:p>
        </w:tc>
        <w:tc>
          <w:tcPr>
            <w:tcW w:w="4253" w:type="dxa"/>
          </w:tcPr>
          <w:p w:rsidR="007E7E97" w:rsidRPr="00533E68" w:rsidRDefault="007E7E97" w:rsidP="007E7E97">
            <w:pPr>
              <w:autoSpaceDE w:val="0"/>
              <w:autoSpaceDN w:val="0"/>
              <w:adjustRightInd w:val="0"/>
              <w:rPr>
                <w:rFonts w:ascii="Lucida Sans" w:hAnsi="Lucida Sans"/>
                <w:sz w:val="20"/>
                <w:szCs w:val="20"/>
                <w:lang w:val="en-GB"/>
              </w:rPr>
            </w:pPr>
            <w:r w:rsidRPr="00533E68">
              <w:rPr>
                <w:rFonts w:ascii="Lucida Sans" w:hAnsi="Lucida Sans"/>
                <w:sz w:val="20"/>
                <w:szCs w:val="20"/>
                <w:lang w:val="en-GB"/>
              </w:rPr>
              <w:t>All new residential development will be expe</w:t>
            </w:r>
            <w:r>
              <w:rPr>
                <w:rFonts w:ascii="Lucida Sans" w:hAnsi="Lucida Sans"/>
                <w:sz w:val="20"/>
                <w:szCs w:val="20"/>
                <w:lang w:val="en-GB"/>
              </w:rPr>
              <w:t xml:space="preserve">cted to incorporate sustainable </w:t>
            </w:r>
            <w:r w:rsidRPr="00533E68">
              <w:rPr>
                <w:rFonts w:ascii="Lucida Sans" w:hAnsi="Lucida Sans"/>
                <w:sz w:val="20"/>
                <w:szCs w:val="20"/>
                <w:lang w:val="en-GB"/>
              </w:rPr>
              <w:t xml:space="preserve">design and construction technology to </w:t>
            </w:r>
            <w:r>
              <w:rPr>
                <w:rFonts w:ascii="Lucida Sans" w:hAnsi="Lucida Sans"/>
                <w:sz w:val="20"/>
                <w:szCs w:val="20"/>
                <w:lang w:val="en-GB"/>
              </w:rPr>
              <w:t xml:space="preserve">achieve zero carbon development </w:t>
            </w:r>
            <w:r w:rsidRPr="00533E68">
              <w:rPr>
                <w:rFonts w:ascii="Lucida Sans" w:hAnsi="Lucida Sans"/>
                <w:sz w:val="20"/>
                <w:szCs w:val="20"/>
                <w:lang w:val="en-GB"/>
              </w:rPr>
              <w:t>through a combination of fabric energy ef</w:t>
            </w:r>
            <w:r>
              <w:rPr>
                <w:rFonts w:ascii="Lucida Sans" w:hAnsi="Lucida Sans"/>
                <w:sz w:val="20"/>
                <w:szCs w:val="20"/>
                <w:lang w:val="en-GB"/>
              </w:rPr>
              <w:t xml:space="preserve">ficiency, carbon compliance and </w:t>
            </w:r>
            <w:r w:rsidRPr="00533E68">
              <w:rPr>
                <w:rFonts w:ascii="Lucida Sans" w:hAnsi="Lucida Sans"/>
                <w:sz w:val="20"/>
                <w:szCs w:val="20"/>
                <w:lang w:val="en-GB"/>
              </w:rPr>
              <w:t>allowable solutions in line with Government policy.</w:t>
            </w:r>
          </w:p>
        </w:tc>
        <w:tc>
          <w:tcPr>
            <w:tcW w:w="3680" w:type="dxa"/>
          </w:tcPr>
          <w:p w:rsidR="007E7E97" w:rsidRPr="00C87AED" w:rsidRDefault="00C22AB1" w:rsidP="00C22AB1">
            <w:pPr>
              <w:rPr>
                <w:rFonts w:ascii="Lucida Sans" w:hAnsi="Lucida Sans"/>
                <w:b/>
                <w:sz w:val="20"/>
                <w:szCs w:val="20"/>
                <w:lang w:val="en-GB"/>
              </w:rPr>
            </w:pPr>
            <w:r>
              <w:rPr>
                <w:rFonts w:ascii="Lucida Sans" w:hAnsi="Lucida Sans"/>
                <w:b/>
                <w:sz w:val="20"/>
                <w:szCs w:val="20"/>
                <w:lang w:val="en-GB"/>
              </w:rPr>
              <w:t>On the basis of the discussion held on 22 January 2018, it was agreed that an aggregated reduction would be acceptable. The updated Energy Statement complies with this and therefore</w:t>
            </w:r>
            <w:r w:rsidR="00DF1E26">
              <w:rPr>
                <w:rFonts w:ascii="Lucida Sans" w:hAnsi="Lucida Sans"/>
                <w:b/>
                <w:sz w:val="20"/>
                <w:szCs w:val="20"/>
                <w:lang w:val="en-GB"/>
              </w:rPr>
              <w:t xml:space="preserve"> meets the required criteria. </w:t>
            </w:r>
            <w:r w:rsidR="00B45C05">
              <w:rPr>
                <w:rFonts w:ascii="Lucida Sans" w:hAnsi="Lucida Sans"/>
                <w:b/>
                <w:sz w:val="20"/>
                <w:szCs w:val="20"/>
                <w:lang w:val="en-GB"/>
              </w:rPr>
              <w:t xml:space="preserve"> </w:t>
            </w:r>
          </w:p>
        </w:tc>
      </w:tr>
      <w:tr w:rsidR="007E7E97" w:rsidRPr="003822D4" w:rsidTr="00F36003">
        <w:tc>
          <w:tcPr>
            <w:tcW w:w="1129" w:type="dxa"/>
          </w:tcPr>
          <w:p w:rsidR="007E7E97" w:rsidRPr="00F36003" w:rsidRDefault="007E7E97" w:rsidP="007E7E97">
            <w:pPr>
              <w:rPr>
                <w:rFonts w:ascii="Lucida Sans" w:hAnsi="Lucida Sans"/>
                <w:b/>
                <w:sz w:val="20"/>
                <w:szCs w:val="20"/>
                <w:lang w:val="en-GB"/>
              </w:rPr>
            </w:pPr>
            <w:r w:rsidRPr="00F36003">
              <w:rPr>
                <w:rFonts w:ascii="Lucida Sans" w:hAnsi="Lucida Sans"/>
                <w:b/>
                <w:sz w:val="20"/>
                <w:szCs w:val="20"/>
                <w:lang w:val="en-GB"/>
              </w:rPr>
              <w:t xml:space="preserve">Water  </w:t>
            </w:r>
          </w:p>
        </w:tc>
        <w:tc>
          <w:tcPr>
            <w:tcW w:w="4253" w:type="dxa"/>
          </w:tcPr>
          <w:p w:rsidR="007E7E97" w:rsidRPr="003822D4" w:rsidRDefault="007E7E97" w:rsidP="007E7E97">
            <w:pPr>
              <w:rPr>
                <w:rFonts w:ascii="Lucida Sans" w:hAnsi="Lucida Sans"/>
                <w:sz w:val="20"/>
                <w:szCs w:val="20"/>
                <w:lang w:val="en-GB"/>
              </w:rPr>
            </w:pPr>
            <w:r>
              <w:rPr>
                <w:rFonts w:ascii="Lucida Sans" w:hAnsi="Lucida Sans"/>
                <w:sz w:val="20"/>
                <w:lang w:val="en-GB"/>
              </w:rPr>
              <w:t>A</w:t>
            </w:r>
            <w:r w:rsidRPr="00C21D47">
              <w:rPr>
                <w:rFonts w:ascii="Lucida Sans" w:hAnsi="Lucida Sans"/>
                <w:sz w:val="20"/>
                <w:lang w:val="en-GB"/>
              </w:rPr>
              <w:t xml:space="preserve"> limit of 110 litres/person/day</w:t>
            </w:r>
          </w:p>
        </w:tc>
        <w:tc>
          <w:tcPr>
            <w:tcW w:w="3680" w:type="dxa"/>
          </w:tcPr>
          <w:p w:rsidR="007E7E97" w:rsidRDefault="00F54F42" w:rsidP="00F54F42">
            <w:pPr>
              <w:rPr>
                <w:rFonts w:ascii="Lucida Sans" w:hAnsi="Lucida Sans"/>
                <w:b/>
                <w:sz w:val="20"/>
                <w:szCs w:val="20"/>
                <w:lang w:val="en-GB"/>
              </w:rPr>
            </w:pPr>
            <w:r>
              <w:rPr>
                <w:rFonts w:ascii="Lucida Sans" w:hAnsi="Lucida Sans"/>
                <w:b/>
                <w:sz w:val="20"/>
                <w:szCs w:val="20"/>
                <w:lang w:val="en-GB"/>
              </w:rPr>
              <w:t xml:space="preserve">The revised Energy Statement states that: </w:t>
            </w:r>
          </w:p>
          <w:p w:rsidR="00F54F42" w:rsidRDefault="00F54F42" w:rsidP="00F54F42">
            <w:pPr>
              <w:rPr>
                <w:rFonts w:ascii="Lucida Sans" w:hAnsi="Lucida Sans"/>
                <w:b/>
                <w:sz w:val="20"/>
                <w:szCs w:val="20"/>
                <w:lang w:val="en-GB"/>
              </w:rPr>
            </w:pPr>
          </w:p>
          <w:p w:rsidR="00F54F42" w:rsidRDefault="00F54F42" w:rsidP="00F54F42">
            <w:pPr>
              <w:pStyle w:val="ListParagraph"/>
              <w:numPr>
                <w:ilvl w:val="0"/>
                <w:numId w:val="10"/>
              </w:numPr>
              <w:rPr>
                <w:rFonts w:ascii="Lucida Sans" w:hAnsi="Lucida Sans"/>
                <w:b/>
                <w:sz w:val="20"/>
                <w:szCs w:val="20"/>
                <w:lang w:val="en-GB"/>
              </w:rPr>
            </w:pPr>
            <w:r w:rsidRPr="00F54F42">
              <w:rPr>
                <w:rFonts w:ascii="Lucida Sans" w:hAnsi="Lucida Sans"/>
                <w:b/>
                <w:sz w:val="20"/>
                <w:szCs w:val="20"/>
                <w:lang w:val="en-GB"/>
              </w:rPr>
              <w:t>All private for sal</w:t>
            </w:r>
            <w:r w:rsidR="00BA4C19">
              <w:rPr>
                <w:rFonts w:ascii="Lucida Sans" w:hAnsi="Lucida Sans"/>
                <w:b/>
                <w:sz w:val="20"/>
                <w:szCs w:val="20"/>
                <w:lang w:val="en-GB"/>
              </w:rPr>
              <w:t>e properties have been designed</w:t>
            </w:r>
            <w:r w:rsidRPr="00F54F42">
              <w:rPr>
                <w:rFonts w:ascii="Lucida Sans" w:hAnsi="Lucida Sans"/>
                <w:b/>
                <w:sz w:val="20"/>
                <w:szCs w:val="20"/>
                <w:lang w:val="en-GB"/>
              </w:rPr>
              <w:t xml:space="preserve"> by using the BRE Water Calculator in accordance with Part G will have a usage of less than 110 litres/ person/ day.</w:t>
            </w:r>
          </w:p>
          <w:p w:rsidR="00F54F42" w:rsidRDefault="00F54F42" w:rsidP="00F54F42">
            <w:pPr>
              <w:pStyle w:val="ListParagraph"/>
              <w:numPr>
                <w:ilvl w:val="0"/>
                <w:numId w:val="10"/>
              </w:numPr>
              <w:rPr>
                <w:rFonts w:ascii="Lucida Sans" w:hAnsi="Lucida Sans"/>
                <w:b/>
                <w:sz w:val="20"/>
                <w:szCs w:val="20"/>
                <w:lang w:val="en-GB"/>
              </w:rPr>
            </w:pPr>
            <w:r w:rsidRPr="00F54F42">
              <w:rPr>
                <w:rFonts w:ascii="Lucida Sans" w:hAnsi="Lucida Sans"/>
                <w:b/>
                <w:sz w:val="20"/>
                <w:szCs w:val="20"/>
                <w:lang w:val="en-GB"/>
              </w:rPr>
              <w:t>All social/affordabl</w:t>
            </w:r>
            <w:r w:rsidR="00BA4C19">
              <w:rPr>
                <w:rFonts w:ascii="Lucida Sans" w:hAnsi="Lucida Sans"/>
                <w:b/>
                <w:sz w:val="20"/>
                <w:szCs w:val="20"/>
                <w:lang w:val="en-GB"/>
              </w:rPr>
              <w:t>e properties have been designed</w:t>
            </w:r>
            <w:r w:rsidRPr="00F54F42">
              <w:rPr>
                <w:rFonts w:ascii="Lucida Sans" w:hAnsi="Lucida Sans"/>
                <w:b/>
                <w:sz w:val="20"/>
                <w:szCs w:val="20"/>
                <w:lang w:val="en-GB"/>
              </w:rPr>
              <w:t xml:space="preserve"> by using the BRE Water Calculator in accordance with Part G will have a usage of less than 105 litres/ person/ day.</w:t>
            </w:r>
          </w:p>
          <w:p w:rsidR="00137D41" w:rsidRDefault="00137D41" w:rsidP="00137D41">
            <w:pPr>
              <w:rPr>
                <w:rFonts w:ascii="Lucida Sans" w:hAnsi="Lucida Sans"/>
                <w:b/>
                <w:sz w:val="20"/>
                <w:szCs w:val="20"/>
                <w:lang w:val="en-GB"/>
              </w:rPr>
            </w:pPr>
          </w:p>
          <w:p w:rsidR="00137D41" w:rsidRDefault="00137D41" w:rsidP="00137D41">
            <w:pPr>
              <w:rPr>
                <w:rFonts w:ascii="Lucida Sans" w:hAnsi="Lucida Sans"/>
                <w:sz w:val="20"/>
                <w:szCs w:val="20"/>
                <w:lang w:val="en-GB"/>
              </w:rPr>
            </w:pPr>
            <w:r>
              <w:rPr>
                <w:rFonts w:ascii="Lucida Sans" w:hAnsi="Lucida Sans"/>
                <w:sz w:val="20"/>
                <w:szCs w:val="20"/>
                <w:lang w:val="en-GB"/>
              </w:rPr>
              <w:t xml:space="preserve">The quoted figures for total water consumption in litres/person/day in the revised Energy Statement are in compliance with the policy requirements. Where washing </w:t>
            </w:r>
            <w:r>
              <w:rPr>
                <w:rFonts w:ascii="Lucida Sans" w:hAnsi="Lucida Sans"/>
                <w:sz w:val="20"/>
                <w:szCs w:val="20"/>
                <w:lang w:val="en-GB"/>
              </w:rPr>
              <w:lastRenderedPageBreak/>
              <w:t xml:space="preserve">machines and dishwashers have not been specified, reasonable assumptions have been made. The revised Energy Statement </w:t>
            </w:r>
            <w:r w:rsidRPr="002C3332">
              <w:rPr>
                <w:rFonts w:ascii="Lucida Sans" w:hAnsi="Lucida Sans"/>
                <w:sz w:val="20"/>
                <w:szCs w:val="20"/>
                <w:lang w:val="en-GB"/>
              </w:rPr>
              <w:t>document state</w:t>
            </w:r>
            <w:r>
              <w:rPr>
                <w:rFonts w:ascii="Lucida Sans" w:hAnsi="Lucida Sans"/>
                <w:sz w:val="20"/>
                <w:szCs w:val="20"/>
                <w:lang w:val="en-GB"/>
              </w:rPr>
              <w:t>s an installed consumption of 7.43 litres/kg and 0.85 litres/place setting respectively,</w:t>
            </w:r>
            <w:r w:rsidRPr="002C3332">
              <w:rPr>
                <w:rFonts w:ascii="Lucida Sans" w:hAnsi="Lucida Sans"/>
                <w:sz w:val="20"/>
                <w:szCs w:val="20"/>
                <w:lang w:val="en-GB"/>
              </w:rPr>
              <w:t xml:space="preserve"> we would need to see the specification or post-occupancy evidence to demonstrate compliance with the calculations</w:t>
            </w:r>
            <w:r>
              <w:rPr>
                <w:rFonts w:ascii="Lucida Sans" w:hAnsi="Lucida Sans"/>
                <w:sz w:val="20"/>
                <w:szCs w:val="20"/>
                <w:lang w:val="en-GB"/>
              </w:rPr>
              <w:t xml:space="preserve">. </w:t>
            </w:r>
          </w:p>
          <w:p w:rsidR="00137D41" w:rsidRPr="00137D41" w:rsidRDefault="00137D41" w:rsidP="00137D41">
            <w:pPr>
              <w:rPr>
                <w:rFonts w:ascii="Lucida Sans" w:hAnsi="Lucida Sans"/>
                <w:b/>
                <w:sz w:val="20"/>
                <w:szCs w:val="20"/>
                <w:lang w:val="en-GB"/>
              </w:rPr>
            </w:pPr>
          </w:p>
        </w:tc>
      </w:tr>
    </w:tbl>
    <w:p w:rsidR="00172D19" w:rsidRDefault="00172D19">
      <w:pPr>
        <w:rPr>
          <w:rFonts w:ascii="Lucida Sans" w:hAnsi="Lucida Sans"/>
          <w:sz w:val="20"/>
          <w:szCs w:val="20"/>
          <w:lang w:val="en-GB"/>
        </w:rPr>
      </w:pPr>
    </w:p>
    <w:p w:rsidR="002C3332" w:rsidRDefault="00137D41" w:rsidP="00DF1E26">
      <w:pPr>
        <w:rPr>
          <w:rFonts w:ascii="Lucida Sans" w:hAnsi="Lucida Sans"/>
          <w:sz w:val="20"/>
          <w:szCs w:val="20"/>
          <w:lang w:val="en-GB"/>
        </w:rPr>
      </w:pPr>
      <w:r>
        <w:rPr>
          <w:rFonts w:ascii="Lucida Sans" w:hAnsi="Lucida Sans"/>
          <w:b/>
          <w:sz w:val="20"/>
          <w:szCs w:val="20"/>
          <w:lang w:val="en-GB"/>
        </w:rPr>
        <w:t>Conclusion</w:t>
      </w:r>
    </w:p>
    <w:p w:rsidR="008733D7" w:rsidRPr="003D1FD0" w:rsidRDefault="00137D41" w:rsidP="00DF1E26">
      <w:pPr>
        <w:rPr>
          <w:rFonts w:ascii="Lucida Sans" w:hAnsi="Lucida Sans"/>
          <w:b/>
          <w:sz w:val="20"/>
          <w:szCs w:val="20"/>
          <w:highlight w:val="yellow"/>
          <w:lang w:val="en-GB"/>
        </w:rPr>
      </w:pPr>
      <w:r>
        <w:rPr>
          <w:rFonts w:ascii="Lucida Sans" w:hAnsi="Lucida Sans"/>
          <w:sz w:val="20"/>
          <w:szCs w:val="20"/>
          <w:lang w:val="en-GB"/>
        </w:rPr>
        <w:t xml:space="preserve">On the basis of the discussions held and the revised Energy Statement submitted, the two remaining elements – energy and water consumption – are </w:t>
      </w:r>
      <w:r w:rsidRPr="003D1FD0">
        <w:rPr>
          <w:rFonts w:ascii="Lucida Sans" w:hAnsi="Lucida Sans"/>
          <w:b/>
          <w:sz w:val="20"/>
          <w:szCs w:val="20"/>
          <w:lang w:val="en-GB"/>
        </w:rPr>
        <w:t>compliant with policy and can be dischar</w:t>
      </w:r>
      <w:r w:rsidR="003D1FD0">
        <w:rPr>
          <w:rFonts w:ascii="Lucida Sans" w:hAnsi="Lucida Sans"/>
          <w:b/>
          <w:sz w:val="20"/>
          <w:szCs w:val="20"/>
          <w:lang w:val="en-GB"/>
        </w:rPr>
        <w:t>g</w:t>
      </w:r>
      <w:r w:rsidRPr="003D1FD0">
        <w:rPr>
          <w:rFonts w:ascii="Lucida Sans" w:hAnsi="Lucida Sans"/>
          <w:b/>
          <w:sz w:val="20"/>
          <w:szCs w:val="20"/>
          <w:lang w:val="en-GB"/>
        </w:rPr>
        <w:t xml:space="preserve">ed. </w:t>
      </w:r>
    </w:p>
    <w:sectPr w:rsidR="008733D7" w:rsidRPr="003D1F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C3" w:rsidRDefault="00AA39C3" w:rsidP="00A058AC">
      <w:pPr>
        <w:spacing w:after="0" w:line="240" w:lineRule="auto"/>
      </w:pPr>
      <w:r>
        <w:separator/>
      </w:r>
    </w:p>
  </w:endnote>
  <w:endnote w:type="continuationSeparator" w:id="0">
    <w:p w:rsidR="00AA39C3" w:rsidRDefault="00AA39C3" w:rsidP="00A0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506"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5387"/>
      <w:gridCol w:w="3119"/>
    </w:tblGrid>
    <w:tr w:rsidR="00C40F25" w:rsidRPr="00AA18F6" w:rsidTr="00CB3607">
      <w:trPr>
        <w:trHeight w:hRule="exact" w:val="200"/>
      </w:trPr>
      <w:tc>
        <w:tcPr>
          <w:tcW w:w="5387" w:type="dxa"/>
        </w:tcPr>
        <w:p w:rsidR="00C40F25" w:rsidRPr="00065622" w:rsidRDefault="00C40F25" w:rsidP="004B580A">
          <w:pPr>
            <w:pStyle w:val="Tyrns-Cellrubrik"/>
          </w:pPr>
          <w:r>
            <w:t xml:space="preserve">Project: </w:t>
          </w:r>
          <w:bookmarkStart w:id="1" w:name="ProjectNumber2"/>
          <w:bookmarkStart w:id="2" w:name="ProjectName2"/>
          <w:bookmarkEnd w:id="1"/>
          <w:bookmarkEnd w:id="2"/>
        </w:p>
      </w:tc>
      <w:tc>
        <w:tcPr>
          <w:tcW w:w="3119" w:type="dxa"/>
        </w:tcPr>
        <w:p w:rsidR="00C40F25" w:rsidRPr="00AA18F6" w:rsidRDefault="00C40F25" w:rsidP="004B580A">
          <w:pPr>
            <w:pStyle w:val="Tyrns-Cellrubrik"/>
            <w:jc w:val="right"/>
            <w:rPr>
              <w:sz w:val="12"/>
              <w:szCs w:val="12"/>
            </w:rPr>
          </w:pPr>
          <w:r w:rsidRPr="00AA18F6">
            <w:rPr>
              <w:sz w:val="12"/>
              <w:szCs w:val="12"/>
              <w:lang w:val="sv-SE"/>
            </w:rPr>
            <w:fldChar w:fldCharType="begin"/>
          </w:r>
          <w:r w:rsidRPr="00AA18F6">
            <w:rPr>
              <w:sz w:val="12"/>
              <w:szCs w:val="12"/>
            </w:rPr>
            <w:instrText xml:space="preserve"> REF date_first_page \h </w:instrText>
          </w:r>
          <w:r>
            <w:rPr>
              <w:sz w:val="12"/>
              <w:szCs w:val="12"/>
              <w:lang w:val="sv-SE"/>
            </w:rPr>
            <w:instrText xml:space="preserve"> \* MERGEFORMAT </w:instrText>
          </w:r>
          <w:r w:rsidRPr="00AA18F6">
            <w:rPr>
              <w:sz w:val="12"/>
              <w:szCs w:val="12"/>
              <w:lang w:val="sv-SE"/>
            </w:rPr>
          </w:r>
          <w:r w:rsidRPr="00AA18F6">
            <w:rPr>
              <w:sz w:val="12"/>
              <w:szCs w:val="12"/>
              <w:lang w:val="sv-SE"/>
            </w:rPr>
            <w:fldChar w:fldCharType="separate"/>
          </w:r>
          <w:r w:rsidR="004B580A">
            <w:rPr>
              <w:b/>
              <w:bCs/>
              <w:sz w:val="12"/>
              <w:szCs w:val="12"/>
              <w:lang w:val="en-US"/>
            </w:rPr>
            <w:t>2 February 2018</w:t>
          </w:r>
          <w:r w:rsidRPr="00AA18F6">
            <w:rPr>
              <w:sz w:val="12"/>
              <w:szCs w:val="12"/>
              <w:lang w:val="sv-SE"/>
            </w:rPr>
            <w:fldChar w:fldCharType="end"/>
          </w:r>
        </w:p>
      </w:tc>
    </w:tr>
    <w:tr w:rsidR="00C40F25" w:rsidRPr="0006772C" w:rsidTr="00CB3607">
      <w:trPr>
        <w:trHeight w:hRule="exact" w:val="200"/>
      </w:trPr>
      <w:tc>
        <w:tcPr>
          <w:tcW w:w="8506" w:type="dxa"/>
          <w:gridSpan w:val="2"/>
        </w:tcPr>
        <w:p w:rsidR="00C40F25" w:rsidRPr="009A3C9A" w:rsidRDefault="00C40F25" w:rsidP="004B580A">
          <w:pPr>
            <w:pStyle w:val="Tyrns-Cellrubrik"/>
            <w:tabs>
              <w:tab w:val="right" w:pos="8364"/>
            </w:tabs>
          </w:pPr>
          <w:r>
            <w:t>Document Number</w:t>
          </w:r>
          <w:r w:rsidRPr="00C0454D">
            <w:t>:</w:t>
          </w:r>
          <w:r>
            <w:t xml:space="preserve"> </w:t>
          </w:r>
          <w:r w:rsidRPr="00C0454D">
            <w:fldChar w:fldCharType="begin"/>
          </w:r>
          <w:r w:rsidRPr="00C0454D">
            <w:instrText xml:space="preserve"> REF doc_no_first_page \h </w:instrText>
          </w:r>
          <w:r>
            <w:instrText xml:space="preserve"> \* MERGEFORMAT </w:instrText>
          </w:r>
          <w:r w:rsidRPr="00C0454D">
            <w:fldChar w:fldCharType="end"/>
          </w:r>
          <w:r>
            <w:tab/>
          </w:r>
        </w:p>
      </w:tc>
    </w:tr>
  </w:tbl>
  <w:p w:rsidR="00C40F25" w:rsidRPr="00C40F25" w:rsidRDefault="00C40F2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C3" w:rsidRDefault="00AA39C3" w:rsidP="00A058AC">
      <w:pPr>
        <w:spacing w:after="0" w:line="240" w:lineRule="auto"/>
      </w:pPr>
      <w:r>
        <w:separator/>
      </w:r>
    </w:p>
  </w:footnote>
  <w:footnote w:type="continuationSeparator" w:id="0">
    <w:p w:rsidR="00AA39C3" w:rsidRDefault="00AA39C3" w:rsidP="00A05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25" w:rsidRDefault="00C40F25">
    <w:pPr>
      <w:pStyle w:val="Header"/>
    </w:pPr>
    <w:r>
      <w:rPr>
        <w:noProof/>
        <w:lang w:val="en-GB" w:eastAsia="en-GB"/>
      </w:rPr>
      <w:drawing>
        <wp:inline distT="0" distB="0" distL="0" distR="0" wp14:anchorId="48AB3A4C" wp14:editId="6BE855E4">
          <wp:extent cx="1800000" cy="396396"/>
          <wp:effectExtent l="0" t="0" r="0" b="381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ns_CMYK_coated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963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342F"/>
    <w:multiLevelType w:val="hybridMultilevel"/>
    <w:tmpl w:val="4A889514"/>
    <w:lvl w:ilvl="0" w:tplc="B6402B2A">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11A17BE8"/>
    <w:multiLevelType w:val="hybridMultilevel"/>
    <w:tmpl w:val="9CFAB82A"/>
    <w:lvl w:ilvl="0" w:tplc="E79C0C36">
      <w:start w:val="1"/>
      <w:numFmt w:val="bullet"/>
      <w:lvlText w:val="-"/>
      <w:lvlJc w:val="left"/>
      <w:pPr>
        <w:ind w:left="360" w:hanging="360"/>
      </w:pPr>
      <w:rPr>
        <w:rFonts w:ascii="Lucida Sans" w:eastAsiaTheme="minorHAnsi" w:hAnsi="Lucida Sans"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9A916DA"/>
    <w:multiLevelType w:val="hybridMultilevel"/>
    <w:tmpl w:val="D03642E8"/>
    <w:lvl w:ilvl="0" w:tplc="CE5AE414">
      <w:start w:val="1"/>
      <w:numFmt w:val="bullet"/>
      <w:lvlText w:val="•"/>
      <w:lvlJc w:val="left"/>
      <w:pPr>
        <w:ind w:left="360" w:hanging="360"/>
      </w:pPr>
      <w:rPr>
        <w:rFonts w:ascii="Calibri" w:hAnsi="Calibri" w:hint="default"/>
        <w:b w:val="0"/>
        <w:i w:val="0"/>
        <w:color w:val="auto"/>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29EF7521"/>
    <w:multiLevelType w:val="hybridMultilevel"/>
    <w:tmpl w:val="EC008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D04BC"/>
    <w:multiLevelType w:val="hybridMultilevel"/>
    <w:tmpl w:val="96E6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23259B"/>
    <w:multiLevelType w:val="hybridMultilevel"/>
    <w:tmpl w:val="C4AC734E"/>
    <w:lvl w:ilvl="0" w:tplc="E79C0C36">
      <w:start w:val="1"/>
      <w:numFmt w:val="bullet"/>
      <w:lvlText w:val="-"/>
      <w:lvlJc w:val="left"/>
      <w:pPr>
        <w:ind w:left="1080" w:hanging="360"/>
      </w:pPr>
      <w:rPr>
        <w:rFonts w:ascii="Lucida Sans" w:eastAsiaTheme="minorHAnsi" w:hAnsi="Lucida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9711C8"/>
    <w:multiLevelType w:val="hybridMultilevel"/>
    <w:tmpl w:val="ABD20A28"/>
    <w:lvl w:ilvl="0" w:tplc="E79C0C36">
      <w:start w:val="1"/>
      <w:numFmt w:val="bullet"/>
      <w:lvlText w:val="-"/>
      <w:lvlJc w:val="left"/>
      <w:pPr>
        <w:ind w:left="1080" w:hanging="360"/>
      </w:pPr>
      <w:rPr>
        <w:rFonts w:ascii="Lucida Sans" w:eastAsiaTheme="minorHAnsi" w:hAnsi="Lucida San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1A00510"/>
    <w:multiLevelType w:val="hybridMultilevel"/>
    <w:tmpl w:val="D5A26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2A48C2"/>
    <w:multiLevelType w:val="hybridMultilevel"/>
    <w:tmpl w:val="FA589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CA17FB"/>
    <w:multiLevelType w:val="hybridMultilevel"/>
    <w:tmpl w:val="419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4"/>
  </w:num>
  <w:num w:numId="6">
    <w:abstractNumId w:val="3"/>
  </w:num>
  <w:num w:numId="7">
    <w:abstractNumId w:val="5"/>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DB"/>
    <w:rsid w:val="000051D0"/>
    <w:rsid w:val="00013B0A"/>
    <w:rsid w:val="00036C9A"/>
    <w:rsid w:val="00057F7A"/>
    <w:rsid w:val="0006772C"/>
    <w:rsid w:val="000B3F0E"/>
    <w:rsid w:val="00137D41"/>
    <w:rsid w:val="00172D19"/>
    <w:rsid w:val="001975B3"/>
    <w:rsid w:val="001E0792"/>
    <w:rsid w:val="001E2D3C"/>
    <w:rsid w:val="00246A0B"/>
    <w:rsid w:val="002622FF"/>
    <w:rsid w:val="002C3332"/>
    <w:rsid w:val="002E364B"/>
    <w:rsid w:val="00316A29"/>
    <w:rsid w:val="00357729"/>
    <w:rsid w:val="003748F7"/>
    <w:rsid w:val="003822D4"/>
    <w:rsid w:val="003A5BEC"/>
    <w:rsid w:val="003D1FD0"/>
    <w:rsid w:val="004713A3"/>
    <w:rsid w:val="004B580A"/>
    <w:rsid w:val="004D0875"/>
    <w:rsid w:val="004D77C1"/>
    <w:rsid w:val="004F4B87"/>
    <w:rsid w:val="00514031"/>
    <w:rsid w:val="00526936"/>
    <w:rsid w:val="00533E68"/>
    <w:rsid w:val="0057757E"/>
    <w:rsid w:val="005E7AC3"/>
    <w:rsid w:val="00617AB2"/>
    <w:rsid w:val="00697566"/>
    <w:rsid w:val="006D37F6"/>
    <w:rsid w:val="0073619E"/>
    <w:rsid w:val="00740667"/>
    <w:rsid w:val="007667E7"/>
    <w:rsid w:val="007E39B4"/>
    <w:rsid w:val="007E4880"/>
    <w:rsid w:val="007E7E97"/>
    <w:rsid w:val="008733D7"/>
    <w:rsid w:val="0088112B"/>
    <w:rsid w:val="00881D0D"/>
    <w:rsid w:val="008834B9"/>
    <w:rsid w:val="008B0AE1"/>
    <w:rsid w:val="008D0D78"/>
    <w:rsid w:val="008D196D"/>
    <w:rsid w:val="008D6844"/>
    <w:rsid w:val="0093437C"/>
    <w:rsid w:val="009B1BDB"/>
    <w:rsid w:val="009D7B21"/>
    <w:rsid w:val="00A058AC"/>
    <w:rsid w:val="00A15737"/>
    <w:rsid w:val="00A33152"/>
    <w:rsid w:val="00A62806"/>
    <w:rsid w:val="00A70A46"/>
    <w:rsid w:val="00AA39C3"/>
    <w:rsid w:val="00AD23E3"/>
    <w:rsid w:val="00AE0232"/>
    <w:rsid w:val="00B21AFF"/>
    <w:rsid w:val="00B45C05"/>
    <w:rsid w:val="00BA4C19"/>
    <w:rsid w:val="00BB1D63"/>
    <w:rsid w:val="00C21D47"/>
    <w:rsid w:val="00C22AB1"/>
    <w:rsid w:val="00C40F25"/>
    <w:rsid w:val="00C56CCE"/>
    <w:rsid w:val="00C7341B"/>
    <w:rsid w:val="00C85B1B"/>
    <w:rsid w:val="00C87AED"/>
    <w:rsid w:val="00CC4F37"/>
    <w:rsid w:val="00CD475C"/>
    <w:rsid w:val="00D11150"/>
    <w:rsid w:val="00D8267D"/>
    <w:rsid w:val="00DF1E26"/>
    <w:rsid w:val="00E52B52"/>
    <w:rsid w:val="00E54A28"/>
    <w:rsid w:val="00E6394D"/>
    <w:rsid w:val="00E84FC6"/>
    <w:rsid w:val="00E90277"/>
    <w:rsid w:val="00F15A87"/>
    <w:rsid w:val="00F26E87"/>
    <w:rsid w:val="00F36003"/>
    <w:rsid w:val="00F40B97"/>
    <w:rsid w:val="00F54F42"/>
    <w:rsid w:val="00F81E27"/>
    <w:rsid w:val="00F9440E"/>
    <w:rsid w:val="00F96BAC"/>
    <w:rsid w:val="00FD68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5167F-A6E8-44C1-AB63-14015299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8AC"/>
    <w:rPr>
      <w:sz w:val="20"/>
      <w:szCs w:val="20"/>
    </w:rPr>
  </w:style>
  <w:style w:type="character" w:styleId="FootnoteReference">
    <w:name w:val="footnote reference"/>
    <w:basedOn w:val="DefaultParagraphFont"/>
    <w:uiPriority w:val="99"/>
    <w:semiHidden/>
    <w:unhideWhenUsed/>
    <w:rsid w:val="00A058AC"/>
    <w:rPr>
      <w:vertAlign w:val="superscript"/>
    </w:rPr>
  </w:style>
  <w:style w:type="character" w:styleId="Hyperlink">
    <w:name w:val="Hyperlink"/>
    <w:basedOn w:val="DefaultParagraphFont"/>
    <w:uiPriority w:val="99"/>
    <w:unhideWhenUsed/>
    <w:rsid w:val="00A058AC"/>
    <w:rPr>
      <w:color w:val="0563C1" w:themeColor="hyperlink"/>
      <w:u w:val="single"/>
    </w:rPr>
  </w:style>
  <w:style w:type="character" w:customStyle="1" w:styleId="UnresolvedMention">
    <w:name w:val="Unresolved Mention"/>
    <w:basedOn w:val="DefaultParagraphFont"/>
    <w:uiPriority w:val="99"/>
    <w:semiHidden/>
    <w:unhideWhenUsed/>
    <w:rsid w:val="00A058AC"/>
    <w:rPr>
      <w:color w:val="808080"/>
      <w:shd w:val="clear" w:color="auto" w:fill="E6E6E6"/>
    </w:rPr>
  </w:style>
  <w:style w:type="paragraph" w:styleId="ListParagraph">
    <w:name w:val="List Paragraph"/>
    <w:basedOn w:val="Normal"/>
    <w:uiPriority w:val="34"/>
    <w:qFormat/>
    <w:rsid w:val="00C56CCE"/>
    <w:pPr>
      <w:ind w:left="720"/>
      <w:contextualSpacing/>
    </w:pPr>
  </w:style>
  <w:style w:type="paragraph" w:styleId="Header">
    <w:name w:val="header"/>
    <w:basedOn w:val="Normal"/>
    <w:link w:val="HeaderChar"/>
    <w:uiPriority w:val="99"/>
    <w:unhideWhenUsed/>
    <w:rsid w:val="00C4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25"/>
  </w:style>
  <w:style w:type="paragraph" w:styleId="Footer">
    <w:name w:val="footer"/>
    <w:basedOn w:val="Normal"/>
    <w:link w:val="FooterChar"/>
    <w:uiPriority w:val="99"/>
    <w:unhideWhenUsed/>
    <w:rsid w:val="00C4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25"/>
  </w:style>
  <w:style w:type="table" w:styleId="TableGrid">
    <w:name w:val="Table Grid"/>
    <w:basedOn w:val="TableNormal"/>
    <w:uiPriority w:val="59"/>
    <w:rsid w:val="00C4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rns-Cellrubrik">
    <w:name w:val="Tyréns - Cellrubrik"/>
    <w:qFormat/>
    <w:rsid w:val="00C40F25"/>
    <w:pPr>
      <w:spacing w:after="0" w:line="180" w:lineRule="exact"/>
    </w:pPr>
    <w:rPr>
      <w:rFonts w:ascii="Lucida Sans" w:eastAsia="Times New Roman" w:hAnsi="Lucida Sans" w:cs="Arial"/>
      <w:sz w:val="14"/>
      <w:szCs w:val="1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4300">
      <w:bodyDiv w:val="1"/>
      <w:marLeft w:val="0"/>
      <w:marRight w:val="0"/>
      <w:marTop w:val="0"/>
      <w:marBottom w:val="0"/>
      <w:divBdr>
        <w:top w:val="none" w:sz="0" w:space="0" w:color="auto"/>
        <w:left w:val="none" w:sz="0" w:space="0" w:color="auto"/>
        <w:bottom w:val="none" w:sz="0" w:space="0" w:color="auto"/>
        <w:right w:val="none" w:sz="0" w:space="0" w:color="auto"/>
      </w:divBdr>
    </w:div>
    <w:div w:id="192111769">
      <w:bodyDiv w:val="1"/>
      <w:marLeft w:val="0"/>
      <w:marRight w:val="0"/>
      <w:marTop w:val="0"/>
      <w:marBottom w:val="0"/>
      <w:divBdr>
        <w:top w:val="none" w:sz="0" w:space="0" w:color="auto"/>
        <w:left w:val="none" w:sz="0" w:space="0" w:color="auto"/>
        <w:bottom w:val="none" w:sz="0" w:space="0" w:color="auto"/>
        <w:right w:val="none" w:sz="0" w:space="0" w:color="auto"/>
      </w:divBdr>
    </w:div>
    <w:div w:id="1352803758">
      <w:bodyDiv w:val="1"/>
      <w:marLeft w:val="0"/>
      <w:marRight w:val="0"/>
      <w:marTop w:val="0"/>
      <w:marBottom w:val="0"/>
      <w:divBdr>
        <w:top w:val="none" w:sz="0" w:space="0" w:color="auto"/>
        <w:left w:val="none" w:sz="0" w:space="0" w:color="auto"/>
        <w:bottom w:val="none" w:sz="0" w:space="0" w:color="auto"/>
        <w:right w:val="none" w:sz="0" w:space="0" w:color="auto"/>
      </w:divBdr>
    </w:div>
    <w:div w:id="16465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barker@cherwellandsouthnorthant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20Creed\Desktop\Environmental%20Consultancy%20work\CLIENTS\Tyrens\Tyrens%20template%20for%20responses%20to%20Bicester%20work%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DC28A-B441-458E-9351-1ACFE3AD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Tyrens template for responses to Bicester work </Template>
  <TotalTime>378</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Glance</dc:creator>
  <cp:keywords/>
  <dc:description/>
  <cp:lastModifiedBy>Last Glance</cp:lastModifiedBy>
  <cp:revision>23</cp:revision>
  <dcterms:created xsi:type="dcterms:W3CDTF">2018-02-02T03:25:00Z</dcterms:created>
  <dcterms:modified xsi:type="dcterms:W3CDTF">2018-02-05T11:49:00Z</dcterms:modified>
</cp:coreProperties>
</file>