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D61488" w:rsidRDefault="00E8522C" w:rsidP="00D61488">
      <w:pPr>
        <w:numPr>
          <w:ilvl w:val="0"/>
          <w:numId w:val="2"/>
        </w:numPr>
        <w:tabs>
          <w:tab w:val="clear" w:pos="360"/>
        </w:tabs>
        <w:ind w:left="567" w:hanging="567"/>
        <w:jc w:val="both"/>
        <w:rPr>
          <w:rFonts w:ascii="Arial" w:hAnsi="Arial" w:cs="Arial"/>
          <w:b/>
        </w:rPr>
      </w:pPr>
      <w:r w:rsidRPr="00D61488">
        <w:rPr>
          <w:rFonts w:ascii="Arial" w:hAnsi="Arial" w:cs="Arial"/>
          <w:b/>
        </w:rPr>
        <w:t xml:space="preserve">Application </w:t>
      </w:r>
      <w:r w:rsidR="00E34DE8" w:rsidRPr="00D61488">
        <w:rPr>
          <w:rFonts w:ascii="Arial" w:hAnsi="Arial" w:cs="Arial"/>
          <w:b/>
        </w:rPr>
        <w:t xml:space="preserve">Site </w:t>
      </w:r>
      <w:r w:rsidRPr="00D61488">
        <w:rPr>
          <w:rFonts w:ascii="Arial" w:hAnsi="Arial" w:cs="Arial"/>
          <w:b/>
        </w:rPr>
        <w:t xml:space="preserve">and Locality </w:t>
      </w:r>
    </w:p>
    <w:p w:rsidR="005D7365" w:rsidRPr="00D61488" w:rsidRDefault="00532DC0" w:rsidP="00D61488">
      <w:pPr>
        <w:numPr>
          <w:ilvl w:val="1"/>
          <w:numId w:val="4"/>
        </w:numPr>
        <w:spacing w:before="240"/>
        <w:ind w:left="567" w:hanging="567"/>
        <w:jc w:val="both"/>
        <w:rPr>
          <w:rFonts w:ascii="Arial" w:hAnsi="Arial" w:cs="Arial"/>
        </w:rPr>
      </w:pPr>
      <w:r w:rsidRPr="00D61488">
        <w:rPr>
          <w:rFonts w:ascii="Arial" w:hAnsi="Arial" w:cs="Arial"/>
        </w:rPr>
        <w:t>The application site</w:t>
      </w:r>
      <w:r w:rsidR="005D7365" w:rsidRPr="00D61488">
        <w:rPr>
          <w:rFonts w:ascii="Arial" w:hAnsi="Arial" w:cs="Arial"/>
        </w:rPr>
        <w:t xml:space="preserve"> relates to the </w:t>
      </w:r>
      <w:proofErr w:type="spellStart"/>
      <w:r w:rsidR="005D7365" w:rsidRPr="00D61488">
        <w:rPr>
          <w:rFonts w:ascii="Arial" w:hAnsi="Arial" w:cs="Arial"/>
        </w:rPr>
        <w:t>Begbroke</w:t>
      </w:r>
      <w:proofErr w:type="spellEnd"/>
      <w:r w:rsidR="005D7365" w:rsidRPr="00D61488">
        <w:rPr>
          <w:rFonts w:ascii="Arial" w:hAnsi="Arial" w:cs="Arial"/>
        </w:rPr>
        <w:t xml:space="preserve"> Science Park site which is operated by Oxford University. </w:t>
      </w:r>
      <w:r w:rsidR="00AA47F4" w:rsidRPr="00D61488">
        <w:rPr>
          <w:rFonts w:ascii="Arial" w:hAnsi="Arial" w:cs="Arial"/>
        </w:rPr>
        <w:t xml:space="preserve">The site has a long history of use for scientific research and in 2001 permission was granted for </w:t>
      </w:r>
      <w:r w:rsidR="00AA47F4" w:rsidRPr="00D61488">
        <w:rPr>
          <w:rFonts w:ascii="Arial" w:hAnsi="Arial" w:cs="Arial"/>
        </w:rPr>
        <w:t>new research buildings</w:t>
      </w:r>
      <w:r w:rsidR="00262282" w:rsidRPr="00D61488">
        <w:rPr>
          <w:rFonts w:ascii="Arial" w:hAnsi="Arial" w:cs="Arial"/>
        </w:rPr>
        <w:t xml:space="preserve"> (application </w:t>
      </w:r>
      <w:r w:rsidR="00262282" w:rsidRPr="00D61488">
        <w:rPr>
          <w:rFonts w:ascii="Arial" w:hAnsi="Arial" w:cs="Arial"/>
        </w:rPr>
        <w:t>01/00662/OUT</w:t>
      </w:r>
      <w:r w:rsidR="00262282" w:rsidRPr="00D61488">
        <w:rPr>
          <w:rFonts w:ascii="Arial" w:hAnsi="Arial" w:cs="Arial"/>
        </w:rPr>
        <w:t xml:space="preserve"> refers)</w:t>
      </w:r>
      <w:r w:rsidR="00AA47F4" w:rsidRPr="00D61488">
        <w:rPr>
          <w:rFonts w:ascii="Arial" w:hAnsi="Arial" w:cs="Arial"/>
        </w:rPr>
        <w:t>. Subsequent permission was granted in 201</w:t>
      </w:r>
      <w:r w:rsidR="00262282" w:rsidRPr="00D61488">
        <w:rPr>
          <w:rFonts w:ascii="Arial" w:hAnsi="Arial" w:cs="Arial"/>
        </w:rPr>
        <w:t>5</w:t>
      </w:r>
      <w:r w:rsidR="00AA47F4" w:rsidRPr="00D61488">
        <w:rPr>
          <w:rFonts w:ascii="Arial" w:hAnsi="Arial" w:cs="Arial"/>
        </w:rPr>
        <w:t xml:space="preserve"> for the variation of condition 4 to 01/00662/OUT</w:t>
      </w:r>
      <w:r w:rsidR="00262282" w:rsidRPr="00D61488">
        <w:rPr>
          <w:rFonts w:ascii="Arial" w:hAnsi="Arial" w:cs="Arial"/>
        </w:rPr>
        <w:t xml:space="preserve"> (application </w:t>
      </w:r>
      <w:r w:rsidR="00262282" w:rsidRPr="00D61488">
        <w:rPr>
          <w:rFonts w:ascii="Arial" w:hAnsi="Arial" w:cs="Arial"/>
        </w:rPr>
        <w:t>15/00309/OUT</w:t>
      </w:r>
      <w:r w:rsidR="00262282" w:rsidRPr="00D61488">
        <w:rPr>
          <w:rFonts w:ascii="Arial" w:hAnsi="Arial" w:cs="Arial"/>
        </w:rPr>
        <w:t xml:space="preserve"> refers)</w:t>
      </w:r>
      <w:r w:rsidR="00AA47F4" w:rsidRPr="00D61488">
        <w:rPr>
          <w:rFonts w:ascii="Arial" w:hAnsi="Arial" w:cs="Arial"/>
        </w:rPr>
        <w:t xml:space="preserve">. </w:t>
      </w:r>
    </w:p>
    <w:p w:rsidR="00D649CF" w:rsidRPr="00D61488" w:rsidRDefault="00D649CF" w:rsidP="00D61488">
      <w:pPr>
        <w:tabs>
          <w:tab w:val="left" w:pos="6480"/>
        </w:tabs>
        <w:ind w:left="567" w:hanging="567"/>
        <w:jc w:val="both"/>
        <w:rPr>
          <w:rFonts w:ascii="Arial" w:hAnsi="Arial" w:cs="Arial"/>
        </w:rPr>
      </w:pPr>
    </w:p>
    <w:p w:rsidR="00055B98" w:rsidRPr="00D61488" w:rsidRDefault="00E8522C" w:rsidP="00D61488">
      <w:pPr>
        <w:numPr>
          <w:ilvl w:val="0"/>
          <w:numId w:val="2"/>
        </w:numPr>
        <w:tabs>
          <w:tab w:val="clear" w:pos="360"/>
          <w:tab w:val="num" w:pos="567"/>
          <w:tab w:val="left" w:pos="6480"/>
        </w:tabs>
        <w:spacing w:after="240"/>
        <w:ind w:left="567" w:hanging="567"/>
        <w:jc w:val="both"/>
        <w:rPr>
          <w:rFonts w:ascii="Arial" w:hAnsi="Arial" w:cs="Arial"/>
          <w:b/>
        </w:rPr>
      </w:pPr>
      <w:r w:rsidRPr="00D61488">
        <w:rPr>
          <w:rFonts w:ascii="Arial" w:hAnsi="Arial" w:cs="Arial"/>
          <w:b/>
        </w:rPr>
        <w:t>Description of Proposed Development</w:t>
      </w:r>
    </w:p>
    <w:p w:rsidR="00532DC0" w:rsidRPr="00D61488" w:rsidRDefault="00532DC0" w:rsidP="00D61488">
      <w:pPr>
        <w:numPr>
          <w:ilvl w:val="1"/>
          <w:numId w:val="2"/>
        </w:numPr>
        <w:tabs>
          <w:tab w:val="clear" w:pos="1152"/>
          <w:tab w:val="num" w:pos="567"/>
        </w:tabs>
        <w:spacing w:after="240"/>
        <w:ind w:left="567" w:hanging="567"/>
        <w:jc w:val="both"/>
        <w:rPr>
          <w:rFonts w:ascii="Arial" w:hAnsi="Arial" w:cs="Arial"/>
        </w:rPr>
      </w:pPr>
      <w:r w:rsidRPr="00D61488">
        <w:rPr>
          <w:rFonts w:ascii="Arial" w:hAnsi="Arial" w:cs="Arial"/>
        </w:rPr>
        <w:t>The current applicati</w:t>
      </w:r>
      <w:r w:rsidR="00262282" w:rsidRPr="00D61488">
        <w:rPr>
          <w:rFonts w:ascii="Arial" w:hAnsi="Arial" w:cs="Arial"/>
        </w:rPr>
        <w:t>on seeks to discharge Condition 9 to 15/00309/OUT</w:t>
      </w:r>
      <w:r w:rsidRPr="00D61488">
        <w:rPr>
          <w:rFonts w:ascii="Arial" w:hAnsi="Arial" w:cs="Arial"/>
        </w:rPr>
        <w:t xml:space="preserve">. </w:t>
      </w:r>
    </w:p>
    <w:p w:rsidR="00532DC0" w:rsidRPr="00D61488" w:rsidRDefault="00532DC0" w:rsidP="00D61488">
      <w:pPr>
        <w:numPr>
          <w:ilvl w:val="0"/>
          <w:numId w:val="2"/>
        </w:numPr>
        <w:tabs>
          <w:tab w:val="clear" w:pos="360"/>
          <w:tab w:val="num" w:pos="567"/>
          <w:tab w:val="left" w:pos="6480"/>
        </w:tabs>
        <w:spacing w:after="240"/>
        <w:ind w:left="567" w:hanging="567"/>
        <w:jc w:val="both"/>
        <w:rPr>
          <w:rFonts w:ascii="Arial" w:hAnsi="Arial" w:cs="Arial"/>
          <w:b/>
        </w:rPr>
      </w:pPr>
      <w:r w:rsidRPr="00D61488">
        <w:rPr>
          <w:rFonts w:ascii="Arial" w:hAnsi="Arial" w:cs="Arial"/>
          <w:b/>
        </w:rPr>
        <w:t>Appraisal</w:t>
      </w:r>
    </w:p>
    <w:p w:rsidR="00532DC0" w:rsidRPr="00D61488" w:rsidRDefault="00532DC0" w:rsidP="00D61488">
      <w:pPr>
        <w:pStyle w:val="ListParagraph"/>
        <w:tabs>
          <w:tab w:val="left" w:pos="567"/>
        </w:tabs>
        <w:spacing w:before="240"/>
        <w:ind w:left="567"/>
        <w:jc w:val="both"/>
        <w:rPr>
          <w:rFonts w:ascii="Arial" w:hAnsi="Arial" w:cs="Arial"/>
        </w:rPr>
      </w:pPr>
      <w:r w:rsidRPr="00D61488">
        <w:rPr>
          <w:rFonts w:ascii="Arial" w:hAnsi="Arial" w:cs="Arial"/>
          <w:u w:val="single"/>
        </w:rPr>
        <w:t xml:space="preserve">Condition </w:t>
      </w:r>
      <w:r w:rsidR="00AA16E3" w:rsidRPr="00D61488">
        <w:rPr>
          <w:rFonts w:ascii="Arial" w:hAnsi="Arial" w:cs="Arial"/>
          <w:u w:val="single"/>
        </w:rPr>
        <w:t>9</w:t>
      </w:r>
      <w:r w:rsidRPr="00D61488">
        <w:rPr>
          <w:rFonts w:ascii="Arial" w:hAnsi="Arial" w:cs="Arial"/>
        </w:rPr>
        <w:t xml:space="preserve"> required </w:t>
      </w:r>
      <w:r w:rsidR="00AC7DC8" w:rsidRPr="00D61488">
        <w:rPr>
          <w:rFonts w:ascii="Arial" w:hAnsi="Arial" w:cs="Arial"/>
        </w:rPr>
        <w:t xml:space="preserve">that </w:t>
      </w:r>
      <w:r w:rsidR="00AC7DC8" w:rsidRPr="00D61488">
        <w:rPr>
          <w:rFonts w:ascii="Arial" w:hAnsi="Arial" w:cs="Arial"/>
        </w:rPr>
        <w:t>a Travel Plan be submitted to and approved in writing by the local planning authority</w:t>
      </w:r>
      <w:r w:rsidR="00AC7DC8" w:rsidRPr="00D61488">
        <w:rPr>
          <w:rFonts w:ascii="Arial" w:hAnsi="Arial" w:cs="Arial"/>
        </w:rPr>
        <w:t xml:space="preserve">, prior to the first occupation of the development. The Travel Plan was required to </w:t>
      </w:r>
      <w:r w:rsidR="00AC7DC8" w:rsidRPr="00D61488">
        <w:rPr>
          <w:rFonts w:ascii="Arial" w:hAnsi="Arial" w:cs="Arial"/>
        </w:rPr>
        <w:t>include details of the means of regulating the use of private cars at the development in favour of other modes of transport and the means of its implementation and methods of regular monitoring</w:t>
      </w:r>
      <w:r w:rsidR="00AC7DC8" w:rsidRPr="00D61488">
        <w:rPr>
          <w:rFonts w:ascii="Arial" w:hAnsi="Arial" w:cs="Arial"/>
        </w:rPr>
        <w:t xml:space="preserve">. </w:t>
      </w:r>
      <w:r w:rsidRPr="00D61488">
        <w:rPr>
          <w:rFonts w:ascii="Arial" w:hAnsi="Arial" w:cs="Arial"/>
        </w:rPr>
        <w:t xml:space="preserve">This information has been included </w:t>
      </w:r>
      <w:r w:rsidR="0029249C">
        <w:rPr>
          <w:rFonts w:ascii="Arial" w:hAnsi="Arial" w:cs="Arial"/>
        </w:rPr>
        <w:t>plan</w:t>
      </w:r>
      <w:r w:rsidRPr="00D61488">
        <w:rPr>
          <w:rFonts w:ascii="Arial" w:hAnsi="Arial" w:cs="Arial"/>
        </w:rPr>
        <w:t xml:space="preserve"> numbered: </w:t>
      </w:r>
      <w:r w:rsidR="0058509A" w:rsidRPr="00D61488">
        <w:rPr>
          <w:rFonts w:ascii="Arial" w:hAnsi="Arial" w:cs="Arial"/>
        </w:rPr>
        <w:t>Full T</w:t>
      </w:r>
      <w:r w:rsidR="0029249C">
        <w:rPr>
          <w:rFonts w:ascii="Arial" w:hAnsi="Arial" w:cs="Arial"/>
        </w:rPr>
        <w:t>r</w:t>
      </w:r>
      <w:r w:rsidR="0058509A" w:rsidRPr="00D61488">
        <w:rPr>
          <w:rFonts w:ascii="Arial" w:hAnsi="Arial" w:cs="Arial"/>
        </w:rPr>
        <w:t>avel Plan – 2016 Update (IMA-15-141 – June 2016)</w:t>
      </w:r>
      <w:r w:rsidRPr="00D61488">
        <w:rPr>
          <w:rFonts w:ascii="Arial" w:hAnsi="Arial" w:cs="Arial"/>
        </w:rPr>
        <w:t xml:space="preserve">. </w:t>
      </w:r>
      <w:r w:rsidR="0058509A" w:rsidRPr="00D61488">
        <w:rPr>
          <w:rFonts w:ascii="Arial" w:hAnsi="Arial" w:cs="Arial"/>
        </w:rPr>
        <w:t xml:space="preserve">Following consultation with Oxfordshire County Council Highways, it was </w:t>
      </w:r>
      <w:r w:rsidRPr="00D61488">
        <w:rPr>
          <w:rFonts w:ascii="Arial" w:hAnsi="Arial" w:cs="Arial"/>
        </w:rPr>
        <w:t xml:space="preserve">deemed </w:t>
      </w:r>
      <w:r w:rsidR="0058509A" w:rsidRPr="00D61488">
        <w:rPr>
          <w:rFonts w:ascii="Arial" w:hAnsi="Arial" w:cs="Arial"/>
        </w:rPr>
        <w:t xml:space="preserve">that </w:t>
      </w:r>
      <w:r w:rsidRPr="00D61488">
        <w:rPr>
          <w:rFonts w:ascii="Arial" w:hAnsi="Arial" w:cs="Arial"/>
        </w:rPr>
        <w:t xml:space="preserve">the information </w:t>
      </w:r>
      <w:r w:rsidR="0058509A" w:rsidRPr="00D61488">
        <w:rPr>
          <w:rFonts w:ascii="Arial" w:hAnsi="Arial" w:cs="Arial"/>
        </w:rPr>
        <w:t xml:space="preserve">provided was </w:t>
      </w:r>
      <w:r w:rsidRPr="00D61488">
        <w:rPr>
          <w:rFonts w:ascii="Arial" w:hAnsi="Arial" w:cs="Arial"/>
        </w:rPr>
        <w:t>acceptable and as such the applicant has sufficiently provided the required information to discharge this condition.</w:t>
      </w:r>
    </w:p>
    <w:p w:rsidR="00E34DE8" w:rsidRPr="00D61488" w:rsidRDefault="00E34DE8" w:rsidP="00D61488">
      <w:pPr>
        <w:tabs>
          <w:tab w:val="left" w:pos="0"/>
          <w:tab w:val="left" w:pos="567"/>
        </w:tabs>
        <w:jc w:val="both"/>
        <w:rPr>
          <w:rFonts w:ascii="Arial" w:hAnsi="Arial" w:cs="Arial"/>
        </w:rPr>
      </w:pPr>
    </w:p>
    <w:p w:rsidR="00E56EB3" w:rsidRPr="00D61488" w:rsidRDefault="0032279D" w:rsidP="00D61488">
      <w:pPr>
        <w:numPr>
          <w:ilvl w:val="0"/>
          <w:numId w:val="2"/>
        </w:numPr>
        <w:tabs>
          <w:tab w:val="clear" w:pos="360"/>
          <w:tab w:val="num" w:pos="567"/>
          <w:tab w:val="left" w:pos="1440"/>
          <w:tab w:val="left" w:pos="2160"/>
          <w:tab w:val="left" w:pos="2880"/>
          <w:tab w:val="left" w:pos="6450"/>
        </w:tabs>
        <w:jc w:val="both"/>
        <w:rPr>
          <w:rFonts w:ascii="Arial" w:hAnsi="Arial" w:cs="Arial"/>
          <w:b/>
          <w:bCs/>
          <w:lang w:eastAsia="en-US"/>
        </w:rPr>
      </w:pPr>
      <w:r w:rsidRPr="00D61488">
        <w:rPr>
          <w:rFonts w:ascii="Arial" w:hAnsi="Arial" w:cs="Arial"/>
          <w:b/>
          <w:bCs/>
          <w:lang w:eastAsia="en-US"/>
        </w:rPr>
        <w:t>Recommendation</w:t>
      </w:r>
    </w:p>
    <w:p w:rsidR="0034682D" w:rsidRPr="00D61488" w:rsidRDefault="0034682D" w:rsidP="00D61488">
      <w:pPr>
        <w:widowControl w:val="0"/>
        <w:autoSpaceDE w:val="0"/>
        <w:autoSpaceDN w:val="0"/>
        <w:jc w:val="both"/>
        <w:rPr>
          <w:rFonts w:ascii="Arial" w:hAnsi="Arial" w:cs="Arial"/>
        </w:rPr>
      </w:pPr>
    </w:p>
    <w:p w:rsidR="001C274C" w:rsidRPr="00D61488" w:rsidRDefault="001C274C" w:rsidP="00D61488">
      <w:pPr>
        <w:keepNext/>
        <w:widowControl w:val="0"/>
        <w:autoSpaceDE w:val="0"/>
        <w:autoSpaceDN w:val="0"/>
        <w:spacing w:line="276" w:lineRule="auto"/>
        <w:ind w:left="567"/>
        <w:jc w:val="both"/>
        <w:outlineLvl w:val="3"/>
        <w:rPr>
          <w:rFonts w:ascii="Arial" w:hAnsi="Arial" w:cs="Arial"/>
          <w:lang w:eastAsia="en-US"/>
        </w:rPr>
      </w:pPr>
      <w:r w:rsidRPr="00D61488">
        <w:rPr>
          <w:rFonts w:ascii="Arial" w:hAnsi="Arial" w:cs="Arial"/>
          <w:b/>
          <w:bCs/>
          <w:lang w:eastAsia="en-US"/>
        </w:rPr>
        <w:t>Approve, subject to:</w:t>
      </w:r>
    </w:p>
    <w:p w:rsidR="001C274C" w:rsidRPr="00D61488" w:rsidRDefault="001C274C" w:rsidP="00D61488">
      <w:pPr>
        <w:keepLines/>
        <w:widowControl w:val="0"/>
        <w:autoSpaceDE w:val="0"/>
        <w:autoSpaceDN w:val="0"/>
        <w:ind w:left="709"/>
        <w:jc w:val="both"/>
        <w:rPr>
          <w:rFonts w:ascii="Arial" w:hAnsi="Arial" w:cs="Arial"/>
        </w:rPr>
      </w:pPr>
    </w:p>
    <w:p w:rsidR="00532DC0" w:rsidRPr="00D61488" w:rsidRDefault="00532DC0" w:rsidP="00D61488">
      <w:pPr>
        <w:pStyle w:val="ListParagraph"/>
        <w:tabs>
          <w:tab w:val="left" w:pos="6480"/>
        </w:tabs>
        <w:ind w:left="567"/>
        <w:jc w:val="both"/>
        <w:rPr>
          <w:rFonts w:ascii="Arial" w:hAnsi="Arial" w:cs="Arial"/>
        </w:rPr>
      </w:pPr>
      <w:r w:rsidRPr="00D61488">
        <w:rPr>
          <w:rFonts w:ascii="Arial" w:hAnsi="Arial" w:cs="Arial"/>
          <w:u w:val="single"/>
        </w:rPr>
        <w:t>Condition 23:</w:t>
      </w:r>
      <w:r w:rsidRPr="00D61488">
        <w:rPr>
          <w:rFonts w:ascii="Arial" w:hAnsi="Arial" w:cs="Arial"/>
        </w:rPr>
        <w:t xml:space="preserve"> </w:t>
      </w:r>
    </w:p>
    <w:p w:rsidR="00532DC0" w:rsidRPr="00D61488" w:rsidRDefault="00532DC0" w:rsidP="00D61488">
      <w:pPr>
        <w:pStyle w:val="ListParagraph"/>
        <w:tabs>
          <w:tab w:val="left" w:pos="6480"/>
        </w:tabs>
        <w:ind w:left="567"/>
        <w:jc w:val="both"/>
        <w:rPr>
          <w:rFonts w:ascii="Arial" w:hAnsi="Arial" w:cs="Arial"/>
        </w:rPr>
      </w:pPr>
      <w:bookmarkStart w:id="0" w:name="_GoBack"/>
      <w:r w:rsidRPr="00D61488">
        <w:rPr>
          <w:rFonts w:ascii="Arial" w:hAnsi="Arial" w:cs="Arial"/>
        </w:rPr>
        <w:t xml:space="preserve">Approval is given for the </w:t>
      </w:r>
      <w:r w:rsidR="0084309E">
        <w:rPr>
          <w:rFonts w:ascii="Arial" w:hAnsi="Arial" w:cs="Arial"/>
        </w:rPr>
        <w:t xml:space="preserve">Travel Plan in accordance with plan titled: </w:t>
      </w:r>
      <w:r w:rsidR="0058509A" w:rsidRPr="00D61488">
        <w:rPr>
          <w:rFonts w:ascii="Arial" w:hAnsi="Arial" w:cs="Arial"/>
        </w:rPr>
        <w:t>Full Travel Plan</w:t>
      </w:r>
      <w:r w:rsidRPr="00D61488">
        <w:rPr>
          <w:rFonts w:ascii="Arial" w:hAnsi="Arial" w:cs="Arial"/>
        </w:rPr>
        <w:t xml:space="preserve"> - </w:t>
      </w:r>
      <w:r w:rsidR="0058509A" w:rsidRPr="00D61488">
        <w:rPr>
          <w:rFonts w:ascii="Arial" w:hAnsi="Arial" w:cs="Arial"/>
        </w:rPr>
        <w:t>2016 Update (IMA-15-141 – June 2016)</w:t>
      </w:r>
      <w:r w:rsidRPr="00D61488">
        <w:rPr>
          <w:rFonts w:ascii="Arial" w:hAnsi="Arial" w:cs="Arial"/>
        </w:rPr>
        <w:t>. The</w:t>
      </w:r>
      <w:r w:rsidR="0058509A" w:rsidRPr="00D61488">
        <w:rPr>
          <w:rFonts w:ascii="Arial" w:hAnsi="Arial" w:cs="Arial"/>
        </w:rPr>
        <w:t xml:space="preserve">re shall be no variation to the </w:t>
      </w:r>
      <w:r w:rsidRPr="00D61488">
        <w:rPr>
          <w:rFonts w:ascii="Arial" w:hAnsi="Arial" w:cs="Arial"/>
        </w:rPr>
        <w:t xml:space="preserve">approved Travel </w:t>
      </w:r>
      <w:r w:rsidR="0058509A" w:rsidRPr="00D61488">
        <w:rPr>
          <w:rFonts w:ascii="Arial" w:hAnsi="Arial" w:cs="Arial"/>
        </w:rPr>
        <w:t xml:space="preserve">Plan without the prior written approval of the Local Planning Authority. </w:t>
      </w:r>
    </w:p>
    <w:bookmarkEnd w:id="0"/>
    <w:p w:rsidR="00532DC0" w:rsidRPr="00D61488" w:rsidRDefault="00532DC0" w:rsidP="00D61488">
      <w:pPr>
        <w:pStyle w:val="ListParagraph"/>
        <w:tabs>
          <w:tab w:val="left" w:pos="6480"/>
        </w:tabs>
        <w:ind w:left="567"/>
        <w:jc w:val="both"/>
        <w:rPr>
          <w:rFonts w:ascii="Arial" w:hAnsi="Arial" w:cs="Arial"/>
        </w:rPr>
      </w:pPr>
    </w:p>
    <w:p w:rsidR="00D61488" w:rsidRPr="00D61488" w:rsidRDefault="00D61488" w:rsidP="00D61488">
      <w:pPr>
        <w:pStyle w:val="ListParagraph"/>
        <w:tabs>
          <w:tab w:val="left" w:pos="6480"/>
        </w:tabs>
        <w:ind w:left="567"/>
        <w:jc w:val="both"/>
        <w:rPr>
          <w:rFonts w:ascii="Arial" w:hAnsi="Arial" w:cs="Arial"/>
        </w:rPr>
      </w:pPr>
    </w:p>
    <w:p w:rsidR="0019459F" w:rsidRPr="00D61488" w:rsidRDefault="00EF5F71" w:rsidP="00D61488">
      <w:pPr>
        <w:jc w:val="center"/>
        <w:rPr>
          <w:rFonts w:ascii="Arial" w:hAnsi="Arial" w:cs="Arial"/>
        </w:rPr>
      </w:pPr>
      <w:r w:rsidRPr="00D61488">
        <w:rPr>
          <w:rFonts w:ascii="Arial" w:hAnsi="Arial" w:cs="Arial"/>
        </w:rPr>
        <w:t>Case Officer: Matthew Coyne</w:t>
      </w:r>
      <w:r w:rsidR="0019459F" w:rsidRPr="00D61488">
        <w:rPr>
          <w:rFonts w:ascii="Arial" w:hAnsi="Arial" w:cs="Arial"/>
        </w:rPr>
        <w:tab/>
      </w:r>
      <w:r w:rsidR="00532DC0" w:rsidRPr="00D61488">
        <w:rPr>
          <w:rFonts w:ascii="Arial" w:hAnsi="Arial" w:cs="Arial"/>
        </w:rPr>
        <w:tab/>
      </w:r>
      <w:r w:rsidR="00532DC0" w:rsidRPr="00D61488">
        <w:rPr>
          <w:rFonts w:ascii="Arial" w:hAnsi="Arial" w:cs="Arial"/>
        </w:rPr>
        <w:tab/>
      </w:r>
      <w:r w:rsidR="0019459F" w:rsidRPr="00D61488">
        <w:rPr>
          <w:rFonts w:ascii="Arial" w:hAnsi="Arial" w:cs="Arial"/>
        </w:rPr>
        <w:tab/>
        <w:t>DATED: 1 August 2016</w:t>
      </w:r>
    </w:p>
    <w:sectPr w:rsidR="0019459F" w:rsidRPr="00D61488"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487F60"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proofErr w:type="spellStart"/>
          <w:r w:rsidRPr="00BB5D30">
            <w:rPr>
              <w:rFonts w:ascii="Arial" w:hAnsi="Arial" w:cs="Arial"/>
              <w:sz w:val="22"/>
              <w:szCs w:val="22"/>
            </w:rPr>
            <w:t>Begbroke</w:t>
          </w:r>
          <w:proofErr w:type="spellEnd"/>
          <w:r w:rsidRPr="00BB5D30">
            <w:rPr>
              <w:rFonts w:ascii="Arial" w:hAnsi="Arial" w:cs="Arial"/>
              <w:sz w:val="22"/>
              <w:szCs w:val="22"/>
            </w:rPr>
            <w:t xml:space="preserve"> Science Park</w:t>
          </w:r>
        </w:p>
        <w:p w:rsidR="008A6B7C" w:rsidRPr="00BB5D30" w:rsidRDefault="008A6B7C" w:rsidP="00001C4A">
          <w:pPr>
            <w:spacing w:after="0"/>
            <w:jc w:val="both"/>
            <w:rPr>
              <w:rFonts w:ascii="Arial" w:hAnsi="Arial" w:cs="Arial"/>
              <w:sz w:val="22"/>
              <w:szCs w:val="22"/>
            </w:rPr>
          </w:pPr>
          <w:proofErr w:type="spellStart"/>
          <w:r w:rsidRPr="00BB5D30">
            <w:rPr>
              <w:rFonts w:ascii="Arial" w:hAnsi="Arial" w:cs="Arial"/>
              <w:sz w:val="22"/>
              <w:szCs w:val="22"/>
            </w:rPr>
            <w:t>Begbroke</w:t>
          </w:r>
          <w:proofErr w:type="spellEnd"/>
          <w:r w:rsidRPr="00BB5D30">
            <w:rPr>
              <w:rFonts w:ascii="Arial" w:hAnsi="Arial" w:cs="Arial"/>
              <w:sz w:val="22"/>
              <w:szCs w:val="22"/>
            </w:rPr>
            <w:t xml:space="preserve"> Hill</w:t>
          </w:r>
        </w:p>
        <w:p w:rsidR="008A6B7C" w:rsidRPr="00BB5D30" w:rsidRDefault="008A6B7C" w:rsidP="00001C4A">
          <w:pPr>
            <w:spacing w:after="0"/>
            <w:jc w:val="both"/>
            <w:rPr>
              <w:rFonts w:ascii="Arial" w:hAnsi="Arial" w:cs="Arial"/>
              <w:sz w:val="22"/>
              <w:szCs w:val="22"/>
            </w:rPr>
          </w:pPr>
          <w:proofErr w:type="spellStart"/>
          <w:r w:rsidRPr="00BB5D30">
            <w:rPr>
              <w:rFonts w:ascii="Arial" w:hAnsi="Arial" w:cs="Arial"/>
              <w:sz w:val="22"/>
              <w:szCs w:val="22"/>
            </w:rPr>
            <w:t>Begbroke</w:t>
          </w:r>
          <w:proofErr w:type="spellEnd"/>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Kidlington</w:t>
          </w:r>
        </w:p>
        <w:p w:rsidR="008A6B7C" w:rsidRPr="004738C1" w:rsidRDefault="004738C1" w:rsidP="004738C1">
          <w:pPr>
            <w:spacing w:after="0"/>
            <w:jc w:val="both"/>
            <w:rPr>
              <w:rFonts w:ascii="Arial" w:hAnsi="Arial" w:cs="Arial"/>
              <w:sz w:val="22"/>
              <w:szCs w:val="22"/>
            </w:rPr>
          </w:pPr>
          <w:r>
            <w:rPr>
              <w:rFonts w:ascii="Arial" w:hAnsi="Arial" w:cs="Arial"/>
              <w:sz w:val="22"/>
              <w:szCs w:val="22"/>
            </w:rPr>
            <w:t>OX5 1PF</w:t>
          </w: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16/00312/DISC</w:t>
          </w:r>
        </w:p>
      </w:tc>
    </w:tr>
    <w:tr w:rsidR="00346878" w:rsidRPr="001C244E" w:rsidTr="004738C1">
      <w:trPr>
        <w:trHeight w:val="363"/>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Matthew Coyne</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01345F">
            <w:rPr>
              <w:rFonts w:ascii="Arial" w:hAnsi="Arial" w:cs="Arial"/>
              <w:sz w:val="22"/>
              <w:szCs w:val="22"/>
            </w:rPr>
            <w:t>Approve</w:t>
          </w:r>
        </w:p>
      </w:tc>
    </w:tr>
    <w:tr w:rsidR="008A6B7C" w:rsidTr="004738C1">
      <w:trPr>
        <w:trHeight w:val="299"/>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The Chancellor Masters And Scholars University Oxford</w:t>
          </w:r>
        </w:p>
      </w:tc>
    </w:tr>
    <w:tr w:rsidR="001C244E" w:rsidTr="004738C1">
      <w:trPr>
        <w:trHeight w:val="275"/>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Discharge of Condition 9 - Application 15/00309/OUT</w:t>
          </w:r>
        </w:p>
      </w:tc>
    </w:tr>
    <w:tr w:rsidR="008A6B7C" w:rsidTr="004738C1">
      <w:trPr>
        <w:trHeight w:val="280"/>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5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4">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6">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0"/>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 w:numId="9">
    <w:abstractNumId w:val="9"/>
  </w:num>
  <w:num w:numId="10">
    <w:abstractNumId w:val="8"/>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5B98"/>
    <w:rsid w:val="0005605C"/>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6656E"/>
    <w:rsid w:val="001675B9"/>
    <w:rsid w:val="00167904"/>
    <w:rsid w:val="00175CAE"/>
    <w:rsid w:val="0018308A"/>
    <w:rsid w:val="0018664C"/>
    <w:rsid w:val="0019459F"/>
    <w:rsid w:val="00196591"/>
    <w:rsid w:val="001A6174"/>
    <w:rsid w:val="001A67DC"/>
    <w:rsid w:val="001B3666"/>
    <w:rsid w:val="001C244E"/>
    <w:rsid w:val="001C274C"/>
    <w:rsid w:val="001C7B03"/>
    <w:rsid w:val="001D44D6"/>
    <w:rsid w:val="001D4CF0"/>
    <w:rsid w:val="001F658B"/>
    <w:rsid w:val="00203755"/>
    <w:rsid w:val="00213ACA"/>
    <w:rsid w:val="00213EE1"/>
    <w:rsid w:val="00222A79"/>
    <w:rsid w:val="002325EF"/>
    <w:rsid w:val="00233023"/>
    <w:rsid w:val="00243141"/>
    <w:rsid w:val="00243FFC"/>
    <w:rsid w:val="0024539F"/>
    <w:rsid w:val="002459B7"/>
    <w:rsid w:val="00262282"/>
    <w:rsid w:val="0026422C"/>
    <w:rsid w:val="00265354"/>
    <w:rsid w:val="00277BBF"/>
    <w:rsid w:val="002867C2"/>
    <w:rsid w:val="00291B98"/>
    <w:rsid w:val="0029249C"/>
    <w:rsid w:val="002A378A"/>
    <w:rsid w:val="002B2596"/>
    <w:rsid w:val="002D5911"/>
    <w:rsid w:val="002E35F7"/>
    <w:rsid w:val="002F2C57"/>
    <w:rsid w:val="00301E60"/>
    <w:rsid w:val="00310ABF"/>
    <w:rsid w:val="0032279D"/>
    <w:rsid w:val="0032789C"/>
    <w:rsid w:val="0034682D"/>
    <w:rsid w:val="00346878"/>
    <w:rsid w:val="0035130D"/>
    <w:rsid w:val="0037252B"/>
    <w:rsid w:val="003744D6"/>
    <w:rsid w:val="003806D3"/>
    <w:rsid w:val="00381F5A"/>
    <w:rsid w:val="00384125"/>
    <w:rsid w:val="003858CB"/>
    <w:rsid w:val="00385F21"/>
    <w:rsid w:val="00387013"/>
    <w:rsid w:val="00394D26"/>
    <w:rsid w:val="003A0119"/>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738C1"/>
    <w:rsid w:val="00481D94"/>
    <w:rsid w:val="00482FFD"/>
    <w:rsid w:val="004853D7"/>
    <w:rsid w:val="00487F60"/>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31430"/>
    <w:rsid w:val="00531FEA"/>
    <w:rsid w:val="00532DC0"/>
    <w:rsid w:val="00541ED2"/>
    <w:rsid w:val="0056684C"/>
    <w:rsid w:val="0058509A"/>
    <w:rsid w:val="00586288"/>
    <w:rsid w:val="005B79C5"/>
    <w:rsid w:val="005D5FAA"/>
    <w:rsid w:val="005D7365"/>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87F20"/>
    <w:rsid w:val="00691748"/>
    <w:rsid w:val="006A25DF"/>
    <w:rsid w:val="006A294B"/>
    <w:rsid w:val="006A3A26"/>
    <w:rsid w:val="006A48C5"/>
    <w:rsid w:val="006A6B2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3BF0"/>
    <w:rsid w:val="007B384B"/>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309E"/>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56BF"/>
    <w:rsid w:val="0091615F"/>
    <w:rsid w:val="009315CF"/>
    <w:rsid w:val="0094060E"/>
    <w:rsid w:val="00941226"/>
    <w:rsid w:val="0094249F"/>
    <w:rsid w:val="00945D9D"/>
    <w:rsid w:val="00947495"/>
    <w:rsid w:val="0095585F"/>
    <w:rsid w:val="00971164"/>
    <w:rsid w:val="00984781"/>
    <w:rsid w:val="0099210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41752"/>
    <w:rsid w:val="00A4183C"/>
    <w:rsid w:val="00A43FB5"/>
    <w:rsid w:val="00A47884"/>
    <w:rsid w:val="00A51AAE"/>
    <w:rsid w:val="00A51D19"/>
    <w:rsid w:val="00A5293B"/>
    <w:rsid w:val="00A63B22"/>
    <w:rsid w:val="00A64752"/>
    <w:rsid w:val="00A74B28"/>
    <w:rsid w:val="00A76D1F"/>
    <w:rsid w:val="00A9003C"/>
    <w:rsid w:val="00A913FC"/>
    <w:rsid w:val="00A94792"/>
    <w:rsid w:val="00AA16E3"/>
    <w:rsid w:val="00AA1A6D"/>
    <w:rsid w:val="00AA47F4"/>
    <w:rsid w:val="00AB0984"/>
    <w:rsid w:val="00AB1820"/>
    <w:rsid w:val="00AB2C56"/>
    <w:rsid w:val="00AC7DC8"/>
    <w:rsid w:val="00AD206D"/>
    <w:rsid w:val="00AD615D"/>
    <w:rsid w:val="00AE05E7"/>
    <w:rsid w:val="00AE207C"/>
    <w:rsid w:val="00B0322B"/>
    <w:rsid w:val="00B06F36"/>
    <w:rsid w:val="00B10309"/>
    <w:rsid w:val="00B22919"/>
    <w:rsid w:val="00B23A05"/>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14ADE"/>
    <w:rsid w:val="00D20B12"/>
    <w:rsid w:val="00D271DB"/>
    <w:rsid w:val="00D3040C"/>
    <w:rsid w:val="00D41A65"/>
    <w:rsid w:val="00D4712E"/>
    <w:rsid w:val="00D51EA0"/>
    <w:rsid w:val="00D56DAE"/>
    <w:rsid w:val="00D61488"/>
    <w:rsid w:val="00D649CF"/>
    <w:rsid w:val="00D65BB5"/>
    <w:rsid w:val="00D762EE"/>
    <w:rsid w:val="00D96E9D"/>
    <w:rsid w:val="00DA0A06"/>
    <w:rsid w:val="00DB1DAA"/>
    <w:rsid w:val="00DB7700"/>
    <w:rsid w:val="00DC5906"/>
    <w:rsid w:val="00DD0DA3"/>
    <w:rsid w:val="00DF74F7"/>
    <w:rsid w:val="00E109BB"/>
    <w:rsid w:val="00E2356A"/>
    <w:rsid w:val="00E24462"/>
    <w:rsid w:val="00E33344"/>
    <w:rsid w:val="00E34DE8"/>
    <w:rsid w:val="00E40337"/>
    <w:rsid w:val="00E51C4D"/>
    <w:rsid w:val="00E56EB3"/>
    <w:rsid w:val="00E717B8"/>
    <w:rsid w:val="00E8399D"/>
    <w:rsid w:val="00E8522C"/>
    <w:rsid w:val="00E8654C"/>
    <w:rsid w:val="00E92B0A"/>
    <w:rsid w:val="00E944EA"/>
    <w:rsid w:val="00E97C9A"/>
    <w:rsid w:val="00EB6BB6"/>
    <w:rsid w:val="00EC1328"/>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438B"/>
    <w:rsid w:val="00F510D9"/>
    <w:rsid w:val="00F52726"/>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349">
      <w:marLeft w:val="0"/>
      <w:marRight w:val="0"/>
      <w:marTop w:val="0"/>
      <w:marBottom w:val="0"/>
      <w:divBdr>
        <w:top w:val="none" w:sz="0" w:space="0" w:color="auto"/>
        <w:left w:val="none" w:sz="0" w:space="0" w:color="auto"/>
        <w:bottom w:val="none" w:sz="0" w:space="0" w:color="auto"/>
        <w:right w:val="none" w:sz="0" w:space="0" w:color="auto"/>
      </w:divBdr>
    </w:div>
    <w:div w:id="129325350">
      <w:marLeft w:val="0"/>
      <w:marRight w:val="0"/>
      <w:marTop w:val="0"/>
      <w:marBottom w:val="0"/>
      <w:divBdr>
        <w:top w:val="none" w:sz="0" w:space="0" w:color="auto"/>
        <w:left w:val="none" w:sz="0" w:space="0" w:color="auto"/>
        <w:bottom w:val="none" w:sz="0" w:space="0" w:color="auto"/>
        <w:right w:val="none" w:sz="0" w:space="0" w:color="auto"/>
      </w:divBdr>
    </w:div>
    <w:div w:id="129325351">
      <w:marLeft w:val="0"/>
      <w:marRight w:val="0"/>
      <w:marTop w:val="0"/>
      <w:marBottom w:val="0"/>
      <w:divBdr>
        <w:top w:val="none" w:sz="0" w:space="0" w:color="auto"/>
        <w:left w:val="none" w:sz="0" w:space="0" w:color="auto"/>
        <w:bottom w:val="none" w:sz="0" w:space="0" w:color="auto"/>
        <w:right w:val="none" w:sz="0" w:space="0" w:color="auto"/>
      </w:divBdr>
    </w:div>
    <w:div w:id="129325352">
      <w:marLeft w:val="0"/>
      <w:marRight w:val="0"/>
      <w:marTop w:val="0"/>
      <w:marBottom w:val="0"/>
      <w:divBdr>
        <w:top w:val="none" w:sz="0" w:space="0" w:color="auto"/>
        <w:left w:val="none" w:sz="0" w:space="0" w:color="auto"/>
        <w:bottom w:val="none" w:sz="0" w:space="0" w:color="auto"/>
        <w:right w:val="none" w:sz="0" w:space="0" w:color="auto"/>
      </w:divBdr>
    </w:div>
    <w:div w:id="129325353">
      <w:marLeft w:val="0"/>
      <w:marRight w:val="0"/>
      <w:marTop w:val="0"/>
      <w:marBottom w:val="0"/>
      <w:divBdr>
        <w:top w:val="none" w:sz="0" w:space="0" w:color="auto"/>
        <w:left w:val="none" w:sz="0" w:space="0" w:color="auto"/>
        <w:bottom w:val="none" w:sz="0" w:space="0" w:color="auto"/>
        <w:right w:val="none" w:sz="0" w:space="0" w:color="auto"/>
      </w:divBdr>
    </w:div>
    <w:div w:id="129325354">
      <w:marLeft w:val="0"/>
      <w:marRight w:val="0"/>
      <w:marTop w:val="0"/>
      <w:marBottom w:val="0"/>
      <w:divBdr>
        <w:top w:val="none" w:sz="0" w:space="0" w:color="auto"/>
        <w:left w:val="none" w:sz="0" w:space="0" w:color="auto"/>
        <w:bottom w:val="none" w:sz="0" w:space="0" w:color="auto"/>
        <w:right w:val="none" w:sz="0" w:space="0" w:color="auto"/>
      </w:divBdr>
    </w:div>
    <w:div w:id="129325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249</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11</cp:revision>
  <cp:lastPrinted>2012-07-19T09:56:00Z</cp:lastPrinted>
  <dcterms:created xsi:type="dcterms:W3CDTF">2016-08-01T09:57:00Z</dcterms:created>
  <dcterms:modified xsi:type="dcterms:W3CDTF">2016-08-01T10:43:00Z</dcterms:modified>
</cp:coreProperties>
</file>